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302F4" w14:textId="15D403E0" w:rsidR="00CE3BAD" w:rsidRPr="00782BF9" w:rsidRDefault="005D5FB5" w:rsidP="005D5FB5">
      <w:pPr>
        <w:pStyle w:val="Pagedecouverture"/>
        <w:rPr>
          <w:noProof/>
          <w:lang w:val="bg-BG"/>
        </w:rPr>
      </w:pPr>
      <w:bookmarkStart w:id="0" w:name="LW_BM_COVERPAGE"/>
      <w:r>
        <w:rPr>
          <w:noProof/>
          <w:lang w:val="bg-BG"/>
        </w:rPr>
        <w:pict w14:anchorId="6FCB0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693304BA-B91E-4811-A118-216C1B9FFE8F" style="width:455.25pt;height:410.25pt">
            <v:imagedata r:id="rId8" o:title=""/>
          </v:shape>
        </w:pict>
      </w:r>
    </w:p>
    <w:bookmarkEnd w:id="0"/>
    <w:p w14:paraId="267EAD39" w14:textId="77777777" w:rsidR="00CE3BAD" w:rsidRPr="00782BF9" w:rsidRDefault="00CE3BAD">
      <w:pPr>
        <w:rPr>
          <w:noProof/>
          <w:lang w:val="bg-BG"/>
        </w:rPr>
        <w:sectPr w:rsidR="00CE3BAD" w:rsidRPr="00782BF9" w:rsidSect="005D5FB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24E8346" w14:textId="797206E0" w:rsidR="00CE3BAD" w:rsidRPr="00782BF9" w:rsidRDefault="006B5475">
      <w:pPr>
        <w:pStyle w:val="P68B1DB1-Normal1"/>
        <w:spacing w:before="120" w:after="120" w:line="240" w:lineRule="auto"/>
        <w:jc w:val="center"/>
        <w:rPr>
          <w:rFonts w:eastAsia="Calibri" w:cs="Times New Roman"/>
          <w:noProof/>
          <w:lang w:val="bg-BG"/>
        </w:rPr>
      </w:pPr>
      <w:bookmarkStart w:id="1" w:name="_GoBack"/>
      <w:bookmarkEnd w:id="1"/>
      <w:r w:rsidRPr="00782BF9">
        <w:rPr>
          <w:noProof/>
          <w:lang w:val="bg-BG"/>
        </w:rPr>
        <w:lastRenderedPageBreak/>
        <w:t>ПРИЛОЖЕНИЕ</w:t>
      </w:r>
    </w:p>
    <w:p w14:paraId="790F0079"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4F921F50" w14:textId="77777777" w:rsidR="00CE3BAD" w:rsidRPr="00782BF9" w:rsidRDefault="006B5475">
      <w:pPr>
        <w:pStyle w:val="P68B1DB1-Normal2"/>
        <w:spacing w:before="120" w:after="120" w:line="240" w:lineRule="auto"/>
        <w:jc w:val="both"/>
        <w:rPr>
          <w:rFonts w:eastAsia="Calibri" w:cs="Times New Roman"/>
          <w:noProof/>
          <w:lang w:val="bg-BG"/>
        </w:rPr>
      </w:pPr>
      <w:r w:rsidRPr="00782BF9">
        <w:rPr>
          <w:noProof/>
          <w:lang w:val="bg-BG"/>
        </w:rPr>
        <w:t>РАЗДЕЛ 1: РЕФОРМИ И ИНВЕСТИЦИИ В РАМКИТЕ НА ПЛАНА ЗА ВЪЗСТАНОВЯВАНЕ И УСТОЙЧИВОСТ</w:t>
      </w:r>
    </w:p>
    <w:p w14:paraId="33C8158F" w14:textId="77777777" w:rsidR="00CE3BAD" w:rsidRPr="00782BF9" w:rsidRDefault="00CE3BAD">
      <w:pPr>
        <w:spacing w:before="120" w:after="120" w:line="240" w:lineRule="auto"/>
        <w:jc w:val="both"/>
        <w:rPr>
          <w:rFonts w:ascii="Times New Roman" w:eastAsia="Calibri" w:hAnsi="Times New Roman" w:cs="Times New Roman"/>
          <w:b/>
          <w:noProof/>
          <w:sz w:val="24"/>
          <w:lang w:val="bg-BG"/>
        </w:rPr>
      </w:pPr>
    </w:p>
    <w:p w14:paraId="1DEFCC18" w14:textId="66A36C05" w:rsidR="00CE3BAD" w:rsidRPr="00782BF9" w:rsidRDefault="006B5475">
      <w:pPr>
        <w:pStyle w:val="P68B1DB1-ListParagraph3"/>
        <w:numPr>
          <w:ilvl w:val="0"/>
          <w:numId w:val="16"/>
        </w:numPr>
        <w:spacing w:before="120" w:after="120" w:line="240" w:lineRule="auto"/>
        <w:jc w:val="both"/>
        <w:rPr>
          <w:noProof/>
          <w:lang w:val="bg-BG"/>
        </w:rPr>
      </w:pPr>
      <w:r w:rsidRPr="00782BF9">
        <w:rPr>
          <w:noProof/>
          <w:lang w:val="bg-BG"/>
        </w:rPr>
        <w:t>Описание на реформите и инвестициите</w:t>
      </w:r>
    </w:p>
    <w:p w14:paraId="66F0982C" w14:textId="77777777" w:rsidR="00CE3BAD" w:rsidRPr="00782BF9" w:rsidRDefault="00CE3BAD">
      <w:pPr>
        <w:pStyle w:val="ListParagraph"/>
        <w:spacing w:before="120" w:after="120" w:line="240" w:lineRule="auto"/>
        <w:jc w:val="both"/>
        <w:rPr>
          <w:rFonts w:eastAsia="Calibri" w:cs="Times New Roman"/>
          <w:b/>
          <w:noProof/>
          <w:lang w:val="bg-BG"/>
        </w:rPr>
      </w:pPr>
    </w:p>
    <w:p w14:paraId="659B899E" w14:textId="77777777" w:rsidR="00CE3BAD" w:rsidRPr="00782BF9" w:rsidRDefault="006B5475">
      <w:pPr>
        <w:pStyle w:val="Heading2"/>
        <w:ind w:left="0" w:firstLine="0"/>
        <w:rPr>
          <w:noProof/>
          <w:lang w:val="bg-BG"/>
        </w:rPr>
      </w:pPr>
      <w:r w:rsidRPr="00782BF9">
        <w:rPr>
          <w:noProof/>
          <w:lang w:val="bg-BG"/>
        </w:rPr>
        <w:t>А. КОМПОНЕНТ 1: ДЕМОГРАФИЯ И ОБЩЕСТВЕНО ОБРАЗОВАНИЕ</w:t>
      </w:r>
    </w:p>
    <w:p w14:paraId="1AFB4FE9" w14:textId="6F5E00A4"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Този компонент от унгарския план за възстановяване и устойчивост е насочен към предизвикателствата, свързани с приобщаващия достъп до качествено училищно образование, интеграцията на уязвимите групи на пазара на труда и по-широките демографски промени, пред които са изправени унгарската икономика, публичните финанси и обществото. </w:t>
      </w:r>
    </w:p>
    <w:p w14:paraId="36356B7F"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Основните цели на компонента са: </w:t>
      </w:r>
    </w:p>
    <w:p w14:paraId="3A69B669" w14:textId="54BF7713" w:rsidR="00CE3BAD" w:rsidRPr="00782BF9" w:rsidRDefault="006B5475">
      <w:pPr>
        <w:pStyle w:val="ListParagraph"/>
        <w:numPr>
          <w:ilvl w:val="0"/>
          <w:numId w:val="3"/>
        </w:numPr>
        <w:spacing w:after="120" w:line="240" w:lineRule="auto"/>
        <w:jc w:val="both"/>
        <w:rPr>
          <w:rFonts w:cs="Times New Roman"/>
          <w:noProof/>
          <w:lang w:val="bg-BG"/>
        </w:rPr>
      </w:pPr>
      <w:r w:rsidRPr="00782BF9">
        <w:rPr>
          <w:noProof/>
          <w:lang w:val="bg-BG"/>
        </w:rPr>
        <w:t>подобряване на достъпа до качествено училищно образование чрез предоставяне на учениците и учителите на устройствата, необходими за участие в съвременното цифрово образование, и развиване на техните цифрови умения;</w:t>
      </w:r>
    </w:p>
    <w:p w14:paraId="0487BABB" w14:textId="77777777" w:rsidR="00CE3BAD" w:rsidRPr="00782BF9" w:rsidRDefault="006B5475">
      <w:pPr>
        <w:pStyle w:val="ListParagraph"/>
        <w:numPr>
          <w:ilvl w:val="0"/>
          <w:numId w:val="3"/>
        </w:numPr>
        <w:spacing w:after="120" w:line="240" w:lineRule="auto"/>
        <w:jc w:val="both"/>
        <w:rPr>
          <w:rFonts w:cs="Times New Roman"/>
          <w:noProof/>
          <w:lang w:val="bg-BG"/>
        </w:rPr>
      </w:pPr>
      <w:r w:rsidRPr="00782BF9">
        <w:rPr>
          <w:noProof/>
          <w:lang w:val="bg-BG"/>
        </w:rPr>
        <w:t>увеличаване на участието на ученици и студенти в неравностойно положение със специални образователни потребности в качествено общо образование;</w:t>
      </w:r>
    </w:p>
    <w:p w14:paraId="66135094" w14:textId="77777777" w:rsidR="00CE3BAD" w:rsidRPr="00782BF9" w:rsidRDefault="006B5475">
      <w:pPr>
        <w:pStyle w:val="ListParagraph"/>
        <w:numPr>
          <w:ilvl w:val="0"/>
          <w:numId w:val="3"/>
        </w:numPr>
        <w:spacing w:after="120" w:line="240" w:lineRule="auto"/>
        <w:jc w:val="both"/>
        <w:rPr>
          <w:rFonts w:cs="Times New Roman"/>
          <w:noProof/>
          <w:lang w:val="bg-BG"/>
        </w:rPr>
      </w:pPr>
      <w:r w:rsidRPr="00782BF9">
        <w:rPr>
          <w:noProof/>
          <w:lang w:val="bg-BG"/>
        </w:rPr>
        <w:t>намаляване на риска от сегрегация в училищата;</w:t>
      </w:r>
    </w:p>
    <w:p w14:paraId="0E0723E5" w14:textId="663C47AB" w:rsidR="00CE3BAD" w:rsidRPr="00782BF9" w:rsidRDefault="006B5475">
      <w:pPr>
        <w:pStyle w:val="ListParagraph"/>
        <w:numPr>
          <w:ilvl w:val="0"/>
          <w:numId w:val="3"/>
        </w:numPr>
        <w:spacing w:after="120" w:line="240" w:lineRule="auto"/>
        <w:jc w:val="both"/>
        <w:rPr>
          <w:rFonts w:cs="Times New Roman"/>
          <w:noProof/>
          <w:lang w:val="bg-BG"/>
        </w:rPr>
      </w:pPr>
      <w:r w:rsidRPr="00782BF9">
        <w:rPr>
          <w:noProof/>
          <w:lang w:val="bg-BG"/>
        </w:rPr>
        <w:t>повишаване на привлекателността на учителската професия и укрепване на набора от умения на учителите и училищните ръководители;</w:t>
      </w:r>
    </w:p>
    <w:p w14:paraId="42F8D1C5" w14:textId="22973C10" w:rsidR="00CE3BAD" w:rsidRPr="00782BF9" w:rsidRDefault="006B5475">
      <w:pPr>
        <w:pStyle w:val="ListParagraph"/>
        <w:numPr>
          <w:ilvl w:val="0"/>
          <w:numId w:val="3"/>
        </w:numPr>
        <w:spacing w:after="120" w:line="240" w:lineRule="auto"/>
        <w:jc w:val="both"/>
        <w:rPr>
          <w:rFonts w:cs="Times New Roman"/>
          <w:noProof/>
          <w:lang w:val="bg-BG"/>
        </w:rPr>
      </w:pPr>
      <w:r w:rsidRPr="00782BF9">
        <w:rPr>
          <w:noProof/>
          <w:lang w:val="bg-BG"/>
        </w:rPr>
        <w:t>подобряване на достъпа до образование и грижи в ранна детска възраст с цел намаляване на социалните неравенства и улесняване на интеграцията на уязвимите групи на пазара на труда; и че</w:t>
      </w:r>
    </w:p>
    <w:p w14:paraId="5E945AA4" w14:textId="724ED891" w:rsidR="00CE3BAD" w:rsidRPr="00782BF9" w:rsidRDefault="006B5475">
      <w:pPr>
        <w:pStyle w:val="ListParagraph"/>
        <w:numPr>
          <w:ilvl w:val="0"/>
          <w:numId w:val="3"/>
        </w:numPr>
        <w:spacing w:after="120" w:line="240" w:lineRule="auto"/>
        <w:jc w:val="both"/>
        <w:rPr>
          <w:rFonts w:cs="Times New Roman"/>
          <w:noProof/>
          <w:lang w:val="bg-BG"/>
        </w:rPr>
      </w:pPr>
      <w:r w:rsidRPr="00782BF9">
        <w:rPr>
          <w:noProof/>
          <w:lang w:val="bg-BG"/>
        </w:rPr>
        <w:t>насърчаване на средносрочната и дългосрочната фискална устойчивост и адекватност на пенсионната система.</w:t>
      </w:r>
    </w:p>
    <w:p w14:paraId="7C662AE1" w14:textId="543A47C1" w:rsidR="00CE3BAD" w:rsidRPr="00782BF9" w:rsidRDefault="006B5475">
      <w:pPr>
        <w:pStyle w:val="P68B1DB1-Normal5"/>
        <w:spacing w:after="120" w:line="240" w:lineRule="auto"/>
        <w:jc w:val="both"/>
        <w:rPr>
          <w:rFonts w:cs="Times New Roman"/>
          <w:noProof/>
          <w:color w:val="000000" w:themeColor="text1"/>
          <w:lang w:val="bg-BG"/>
        </w:rPr>
      </w:pPr>
      <w:r w:rsidRPr="00782BF9">
        <w:rPr>
          <w:noProof/>
          <w:lang w:val="bg-BG"/>
        </w:rPr>
        <w:t>Компонентът включва мерки, отразяващи принципите на Европейския стълб на социалните права в областта на образованието, обучението и ученето през целия живот, равенството между половете и грижите за децата и подкрепата за децата. Компонентът също така подкрепя цифровия преход чрез увеличаване на цифровия капацитет в общественото образование и чрез повишаване на цифровите умения на учениците и учителите. Акцентът върху намаляването на сегрегацията в училищата допринася за социалното сближаване. Компонентът допринася и за екологичния преход, тъй като при планираното развитие на инфраструктурата се прилагат високи стандарти за енергийна ефективност.</w:t>
      </w:r>
    </w:p>
    <w:p w14:paraId="7687E9C1" w14:textId="77777777" w:rsidR="00CE3BAD" w:rsidRPr="00782BF9" w:rsidRDefault="006B5475">
      <w:pPr>
        <w:pStyle w:val="P68B1DB1-Normal5"/>
        <w:spacing w:after="120" w:line="240" w:lineRule="auto"/>
        <w:jc w:val="both"/>
        <w:rPr>
          <w:rFonts w:cs="Times New Roman"/>
          <w:noProof/>
          <w:lang w:val="bg-BG"/>
        </w:rPr>
      </w:pPr>
      <w:r w:rsidRPr="00782BF9">
        <w:rPr>
          <w:noProof/>
          <w:lang w:val="bg-BG"/>
        </w:rPr>
        <w:t>Компонентът е в съответствие с унгарската стратегия за обществено образование, изготвена за периода 2021—2030 г., унгарския национален план в областта на енергетиката и климата, националната енергийна стратегия до 2030 г. и Националната стратегия за чисто развитие.</w:t>
      </w:r>
    </w:p>
    <w:p w14:paraId="571F803B"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Компонентът допринася за изпълнението на специфичните за всяка държава препоръки относно необходимостта от продължаване на интеграцията на пазара на труда на най-уязвимите групи, по-специално чрез повишаване на квалификацията и подобряване на резултатите от образованието и увеличаване на участието на групите в неравностойно положение, по-специално ромите в качественото общо образование (специфична за държавата препоръка 2 през 2019 г. и специфична за държавата препоръка 3 през 2022 г.), за съсредоточаване на свързаната с инвестициите икономическа политика върху енергийната и ресурсната ефективност (специфична за държавата препоръка 3 през 2019 г.), за гарантиране на достъп до основни услуги и качествено образование за всички (специфична за държавата препоръка 2 през 2020 г.), както и за съсредоточаване на инвестициите върху екологичния и цифровия преход и цифровата инфраструктура за училищата (специфична за държавата препоръка 3 през 2019 г.). Той също така допринася за изпълнението на специфичната за всяка държава препоръка за подобряване на дългосрочната устойчивост на пенсионната система, като същевременно се запазва адекватността, по-специално чрез преодоляване на неравенствата в доходите (специфична за държавата препоръка 1 през 2022 г.).</w:t>
      </w:r>
    </w:p>
    <w:p w14:paraId="6E873FA8" w14:textId="77777777" w:rsidR="00CE3BAD" w:rsidRPr="00782BF9" w:rsidRDefault="006B5475">
      <w:pPr>
        <w:pStyle w:val="P68B1DB1-Normal5"/>
        <w:spacing w:after="120" w:line="240" w:lineRule="auto"/>
        <w:jc w:val="both"/>
        <w:rPr>
          <w:rFonts w:cs="Times New Roman"/>
          <w:noProof/>
          <w:lang w:val="bg-BG"/>
        </w:rPr>
      </w:pPr>
      <w:r w:rsidRPr="00782BF9">
        <w:rPr>
          <w:noProof/>
          <w:lang w:val="bg-BG"/>
        </w:rPr>
        <w:t xml:space="preserve">Очаква се, че нито една мярка в този компонент не нанася значителни вреди на екологичните цели по смисъла на член 17 от Регламент (ЕС) 2020/852, като се вземе предвид описанието на мерките и стъпките за смекчаване, определени в плана за възстановяване и устойчивост в съответствие с Техническите насоки съгласно принципа за ненанасяне на значителни вреди (2021/C58/01). </w:t>
      </w:r>
    </w:p>
    <w:p w14:paraId="55A20345" w14:textId="77777777" w:rsidR="00CE3BAD" w:rsidRPr="00782BF9" w:rsidRDefault="006B5475">
      <w:pPr>
        <w:pStyle w:val="Heading2"/>
        <w:spacing w:before="0" w:after="120" w:line="240" w:lineRule="auto"/>
        <w:ind w:left="0" w:firstLine="0"/>
        <w:rPr>
          <w:noProof/>
          <w:lang w:val="bg-BG"/>
        </w:rPr>
      </w:pPr>
      <w:r w:rsidRPr="00782BF9">
        <w:rPr>
          <w:noProof/>
          <w:lang w:val="bg-BG"/>
        </w:rPr>
        <w:t xml:space="preserve">А.1. </w:t>
      </w:r>
      <w:r w:rsidRPr="00782BF9">
        <w:rPr>
          <w:noProof/>
          <w:lang w:val="bg-BG"/>
        </w:rPr>
        <w:tab/>
        <w:t>Описание на реформите и инвестициите за безвъзмездна финансова подкрепа</w:t>
      </w:r>
    </w:p>
    <w:p w14:paraId="436455FE" w14:textId="1538A4B7" w:rsidR="00CE3BAD" w:rsidRPr="00782BF9" w:rsidRDefault="006B5475">
      <w:pPr>
        <w:pStyle w:val="P68B1DB1-Normal2"/>
        <w:keepNext/>
        <w:spacing w:after="120" w:line="240" w:lineRule="auto"/>
        <w:jc w:val="both"/>
        <w:rPr>
          <w:rFonts w:cs="Times New Roman"/>
          <w:noProof/>
          <w:lang w:val="bg-BG"/>
        </w:rPr>
      </w:pPr>
      <w:r w:rsidRPr="00782BF9">
        <w:rPr>
          <w:noProof/>
          <w:lang w:val="bg-BG"/>
        </w:rPr>
        <w:t>C1.R1: Развитие на конкурентоспособно публично образование, използващо технологиите</w:t>
      </w:r>
      <w:r w:rsidRPr="00782BF9">
        <w:rPr>
          <w:noProof/>
          <w:vertAlign w:val="superscript"/>
          <w:lang w:val="bg-BG"/>
        </w:rPr>
        <w:t>през</w:t>
      </w:r>
      <w:r w:rsidRPr="00782BF9">
        <w:rPr>
          <w:noProof/>
          <w:lang w:val="bg-BG"/>
        </w:rPr>
        <w:t xml:space="preserve"> 21-ви век</w:t>
      </w:r>
    </w:p>
    <w:p w14:paraId="7B43C8A3" w14:textId="6E0AA7D7" w:rsidR="00CE3BAD" w:rsidRPr="00782BF9" w:rsidRDefault="006B5475">
      <w:pPr>
        <w:pStyle w:val="P68B1DB1-Normal4"/>
        <w:keepNext/>
        <w:spacing w:after="120" w:line="240" w:lineRule="auto"/>
        <w:jc w:val="both"/>
        <w:rPr>
          <w:rFonts w:cs="Times New Roman"/>
          <w:noProof/>
          <w:lang w:val="bg-BG"/>
        </w:rPr>
      </w:pPr>
      <w:r w:rsidRPr="00782BF9">
        <w:rPr>
          <w:noProof/>
          <w:lang w:val="bg-BG"/>
        </w:rPr>
        <w:t xml:space="preserve">Целта на реформата е да се подкрепи цифровата трансформация на общественото образование чрез увеличаване на наличността и използването на цифрови устройства и инструменти от учителите и учениците, като по този начин се улесни системното интегриране на цифровите методи на преподаване и учене в образователния процес. Реформата има за цел също така да допринесе за подобряване на образователните резултати по приобщаващ начин, намаляване на преждевременното напускане на училище и, в по-общ план, осигуряване на конкурентна работна сила в бъдеще. </w:t>
      </w:r>
    </w:p>
    <w:p w14:paraId="72750D79" w14:textId="114A546A"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Съгласно тази мярка на учителите, учениците и училищата се предоставят модерни цифрови устройства. Цифровите преносими компютри (стандартни и 2-ин-1) се закупуват и доставят на публичните образователни институции за ползване от ученици в пети и девет степени, за използване от учителите и за развитие на класните стаи в областта на информационните технологии през академичните години 2021/2022, 2022/2023, 2023/2024 и 2024/2025. Като цяло до края на четиригодишната програма се закупуват и доставят най-малко 579 000 цифрови преносими компютри по тази мярка, от които най-малко 55 000 се предоставят на учителите и най-малко 10 000 за училищата, за да разработят своите класни стаи в областта на информационните технологии. Учениците трябва да могат да съхраняват преносимите компютри до завършване на училищното си образование и след това да ги предават на новите групи. </w:t>
      </w:r>
    </w:p>
    <w:p w14:paraId="0F92C954" w14:textId="2307000B" w:rsidR="00CE3BAD" w:rsidRPr="00782BF9" w:rsidRDefault="006B5475">
      <w:pPr>
        <w:pStyle w:val="P68B1DB1-Normal4"/>
        <w:spacing w:after="120" w:line="240" w:lineRule="auto"/>
        <w:jc w:val="both"/>
        <w:rPr>
          <w:rFonts w:cs="Times New Roman"/>
          <w:noProof/>
          <w:lang w:val="bg-BG"/>
        </w:rPr>
      </w:pPr>
      <w:r w:rsidRPr="00782BF9">
        <w:rPr>
          <w:noProof/>
          <w:lang w:val="bg-BG"/>
        </w:rPr>
        <w:t>При разпространението на цифрови преносими компютри приоритет се дава на учениците и учителите в неравностойно положение в училищата, в които делът на учениците в неравностойно положение е над средния. Разработва се и се публикува стратегия за проверка на имущественото състояние за разпределянето на цифрови преносими компютри на учениците. В стратегията се посочва, наред с другото, че учениците с неравностоен произход и без цифров преносим компютър имат най-висок приоритет при приемането на такова устройство. Учениците в неравностойно положение са определени в параграф (1), раздел 67/A от Закона за закрила на детето (XXXI/1997).</w:t>
      </w:r>
    </w:p>
    <w:p w14:paraId="0D42646D" w14:textId="6AE8F534"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Освен това най-малко 3 100 училища трябва да разполагат с интерактивни инструменти и устройства за показване, за да развият креативността и способността на учениците за решаване на проблеми и алгоритмични и програмни умения, като роботи, безпилотни летателни апарати и специални компютри. Училищата, които работят в необлагодетелствани региони, и училищата с висок дял на ученици в неравностойно положение се ползват с приоритет при разпространението на тези, които поддържат устройства за информационни и комуникационни технологии (ИКТ). Учителите преминават целево обучение за това как да използват цифровите устройства и имат достъп до бюро за помощ в областта на информационните технологии. </w:t>
      </w:r>
    </w:p>
    <w:p w14:paraId="471352F5" w14:textId="3FC15D63" w:rsidR="00CE3BAD" w:rsidRPr="00782BF9" w:rsidRDefault="006B5475">
      <w:pPr>
        <w:pStyle w:val="P68B1DB1-Normal4"/>
        <w:spacing w:after="120" w:line="240" w:lineRule="auto"/>
        <w:jc w:val="both"/>
        <w:rPr>
          <w:rFonts w:cs="Times New Roman"/>
          <w:noProof/>
          <w:color w:val="000000" w:themeColor="text1"/>
          <w:lang w:val="bg-BG"/>
        </w:rPr>
      </w:pPr>
      <w:r w:rsidRPr="00782BF9">
        <w:rPr>
          <w:noProof/>
          <w:lang w:val="bg-BG"/>
        </w:rPr>
        <w:t>Прилагането на реформата ще доведе до това</w:t>
      </w:r>
      <w:r w:rsidRPr="00782BF9">
        <w:rPr>
          <w:noProof/>
          <w:color w:val="000000" w:themeColor="text1"/>
          <w:lang w:val="bg-BG"/>
        </w:rPr>
        <w:t xml:space="preserve"> поне 45 % от учителите да използват информационни и комуникационни технологии в поне 40 % от своите класове (в сравнение с 33 % от учителите през 2019 г.).</w:t>
      </w:r>
    </w:p>
    <w:p w14:paraId="4B626508"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трябва да приключи до 30 юни 2026 г.</w:t>
      </w:r>
    </w:p>
    <w:p w14:paraId="1C8587DA" w14:textId="77777777" w:rsidR="00CE3BAD" w:rsidRPr="00782BF9" w:rsidRDefault="00CE3BAD">
      <w:pPr>
        <w:keepNext/>
        <w:spacing w:after="120" w:line="240" w:lineRule="auto"/>
        <w:jc w:val="both"/>
        <w:rPr>
          <w:rFonts w:ascii="Times New Roman" w:hAnsi="Times New Roman" w:cs="Times New Roman"/>
          <w:b/>
          <w:noProof/>
          <w:color w:val="000000" w:themeColor="text1"/>
          <w:sz w:val="24"/>
          <w:lang w:val="bg-BG"/>
        </w:rPr>
      </w:pPr>
    </w:p>
    <w:p w14:paraId="18CAD08E" w14:textId="50C09F75" w:rsidR="00CE3BAD" w:rsidRPr="00782BF9" w:rsidRDefault="000D07CA">
      <w:pPr>
        <w:pStyle w:val="P68B1DB1-Normal6"/>
        <w:keepNext/>
        <w:spacing w:after="120" w:line="240" w:lineRule="auto"/>
        <w:jc w:val="both"/>
        <w:rPr>
          <w:rFonts w:cs="Times New Roman"/>
          <w:noProof/>
          <w:lang w:val="bg-BG"/>
        </w:rPr>
      </w:pPr>
      <w:r w:rsidRPr="00782BF9">
        <w:rPr>
          <w:noProof/>
          <w:lang w:val="bg-BG"/>
        </w:rPr>
        <w:t>C</w:t>
      </w:r>
      <w:r w:rsidR="006B5475" w:rsidRPr="00782BF9">
        <w:rPr>
          <w:noProof/>
          <w:lang w:val="bg-BG"/>
        </w:rPr>
        <w:t>1.</w:t>
      </w:r>
      <w:r w:rsidRPr="00782BF9">
        <w:rPr>
          <w:noProof/>
          <w:lang w:val="bg-BG"/>
        </w:rPr>
        <w:t>I</w:t>
      </w:r>
      <w:r w:rsidR="006B5475" w:rsidRPr="00782BF9">
        <w:rPr>
          <w:noProof/>
          <w:lang w:val="bg-BG"/>
        </w:rPr>
        <w:t>1: Подобряване на достъпа до качествено образование в прогимназиалния етап на основното образование</w:t>
      </w:r>
    </w:p>
    <w:p w14:paraId="37AF9999" w14:textId="77777777" w:rsidR="00CE3BAD" w:rsidRPr="00782BF9" w:rsidRDefault="006B5475">
      <w:pPr>
        <w:pStyle w:val="P68B1DB1-Normal5"/>
        <w:spacing w:after="120" w:line="240" w:lineRule="auto"/>
        <w:jc w:val="both"/>
        <w:rPr>
          <w:rFonts w:cs="Times New Roman"/>
          <w:noProof/>
          <w:lang w:val="bg-BG"/>
        </w:rPr>
      </w:pPr>
      <w:r w:rsidRPr="00782BF9">
        <w:rPr>
          <w:noProof/>
          <w:lang w:val="bg-BG"/>
        </w:rPr>
        <w:t xml:space="preserve">Целта на мярката е да се подобри достъпът на учениците до качествено образование в прогимназиалния етап на основното образование и да се преодолеят предизвикателствата, свързани с недостига на учители в малките населени места. </w:t>
      </w:r>
    </w:p>
    <w:p w14:paraId="66A45D65" w14:textId="06E2D0C5" w:rsidR="00CE3BAD" w:rsidRPr="00782BF9" w:rsidRDefault="006B5475">
      <w:pPr>
        <w:spacing w:after="120" w:line="240" w:lineRule="auto"/>
        <w:jc w:val="both"/>
        <w:rPr>
          <w:rFonts w:ascii="Times New Roman" w:hAnsi="Times New Roman" w:cs="Times New Roman"/>
          <w:noProof/>
          <w:color w:val="000000"/>
          <w:sz w:val="24"/>
          <w:shd w:val="clear" w:color="auto" w:fill="FFFFFF"/>
          <w:lang w:val="bg-BG"/>
        </w:rPr>
      </w:pPr>
      <w:r w:rsidRPr="00782BF9">
        <w:rPr>
          <w:noProof/>
          <w:lang w:val="bg-BG"/>
        </w:rPr>
        <w:t>Мярката</w:t>
      </w:r>
      <w:r w:rsidRPr="00782BF9">
        <w:rPr>
          <w:rFonts w:ascii="Times New Roman" w:hAnsi="Times New Roman"/>
          <w:noProof/>
          <w:color w:val="000000"/>
          <w:sz w:val="24"/>
          <w:shd w:val="clear" w:color="auto" w:fill="FFFFFF"/>
          <w:lang w:val="bg-BG"/>
        </w:rPr>
        <w:t>се прилага поетапно. Като първа стъпка се извършва картографиране</w:t>
      </w:r>
      <w:r w:rsidRPr="00782BF9">
        <w:rPr>
          <w:noProof/>
          <w:lang w:val="bg-BG"/>
        </w:rPr>
        <w:t xml:space="preserve"> </w:t>
      </w:r>
      <w:r w:rsidRPr="00782BF9">
        <w:rPr>
          <w:rFonts w:ascii="Times New Roman" w:hAnsi="Times New Roman"/>
          <w:noProof/>
          <w:color w:val="000000"/>
          <w:sz w:val="24"/>
          <w:shd w:val="clear" w:color="auto" w:fill="FFFFFF"/>
          <w:lang w:val="bg-BG"/>
        </w:rPr>
        <w:t xml:space="preserve">на училищната мрежа на национално равнище с цел идентифициране и подбор на училища за осъществяване на интеграцията на прогимназиалния етап на средното образование с ниски резултати в по-големите училища в съседните населени места. Картографирането се основава на доказателства и диагностициране на нуждите и се извършва с консултации със заинтересованите страни (по-специално учениците и техните родители, учители, училищен персонал, общности и местни органи на управление). </w:t>
      </w:r>
      <w:r w:rsidRPr="00782BF9">
        <w:rPr>
          <w:rFonts w:ascii="Times New Roman" w:hAnsi="Times New Roman"/>
          <w:noProof/>
          <w:color w:val="000000" w:themeColor="text1"/>
          <w:sz w:val="24"/>
          <w:lang w:val="bg-BG"/>
        </w:rPr>
        <w:t xml:space="preserve">Това ще </w:t>
      </w:r>
      <w:r w:rsidRPr="00782BF9">
        <w:rPr>
          <w:rFonts w:ascii="Times New Roman" w:hAnsi="Times New Roman"/>
          <w:noProof/>
          <w:color w:val="000000"/>
          <w:sz w:val="24"/>
          <w:shd w:val="clear" w:color="auto" w:fill="FFFFFF"/>
          <w:lang w:val="bg-BG"/>
        </w:rPr>
        <w:t>доведе до подбор на най-малко 5—10 държавни прогимназии, които да бъдат интегрирани в по-големи приемни училища като част от пилотната фаза. Картографирането оценява въздействието на интеграцията на училищата върху състава на учениците, риска от сегрегация, броя на учителите и персонала, резултатите от обучението, процента на завършилите училище, дела на учениците с висок риск от преждевременно напускане на училище, местоположението на училищата, училищните профили и очакваните бъдещи нужди с оглед на демографското развитие. По отношение на приемните училища се вземат предвид физическите свойства на сградата и нейната инфраструктура, наред с други критерии. Приемните училища не могат да функционират като пансиони за новите ученици.</w:t>
      </w:r>
    </w:p>
    <w:p w14:paraId="4A9FCB3A" w14:textId="7927487B" w:rsidR="00CE3BAD" w:rsidRPr="00782BF9" w:rsidRDefault="006B5475">
      <w:pPr>
        <w:pStyle w:val="P68B1DB1-Normal7"/>
        <w:spacing w:after="120" w:line="240" w:lineRule="auto"/>
        <w:jc w:val="both"/>
        <w:rPr>
          <w:rFonts w:cs="Times New Roman"/>
          <w:noProof/>
          <w:color w:val="000000" w:themeColor="text1"/>
          <w:lang w:val="bg-BG"/>
        </w:rPr>
      </w:pPr>
      <w:r w:rsidRPr="00782BF9">
        <w:rPr>
          <w:noProof/>
          <w:shd w:val="clear" w:color="auto" w:fill="FFFFFF"/>
          <w:lang w:val="bg-BG"/>
        </w:rPr>
        <w:t xml:space="preserve">Като част от пилотната фаза, в рамките на пилотната фаза, в рамките на пилотната фаза се интегрират класове на прогимназиалния етап в най-малко пет държавно поддържани училища в по-големите приемни училища в съседни населени места. Избраните приемащи училища интегрират прогимназиалния етап на основното образование от малки училища, където качественото образование не може да бъде осигурено ефективно. Броят на учителите и персонала трябва да бъде достатъчен в приемните училища, </w:t>
      </w:r>
      <w:r w:rsidRPr="00782BF9">
        <w:rPr>
          <w:noProof/>
          <w:lang w:val="bg-BG"/>
        </w:rPr>
        <w:t>за да бъдат настанени новите ученици</w:t>
      </w:r>
      <w:r w:rsidRPr="00782BF9">
        <w:rPr>
          <w:noProof/>
          <w:shd w:val="clear" w:color="auto" w:fill="FFFFFF"/>
          <w:lang w:val="bg-BG"/>
        </w:rPr>
        <w:t xml:space="preserve">, а учителите и персоналът преминават обучение по приобщаваща педагогика. Нуждите от пътуване до работното място и жилищните нужди, свързани с мярката, се разглеждат по подходящ начин. Процесът на интеграция не води до увеличаване на сегрегацията в приемните </w:t>
      </w:r>
      <w:r w:rsidRPr="00782BF9">
        <w:rPr>
          <w:noProof/>
          <w:lang w:val="bg-BG"/>
        </w:rPr>
        <w:t>училища. Приемните училища не могат да функционират като пансиони за новите ученици.</w:t>
      </w:r>
    </w:p>
    <w:p w14:paraId="6F443A3F" w14:textId="69C16E04" w:rsidR="00CE3BAD" w:rsidRPr="00782BF9" w:rsidRDefault="006B5475">
      <w:pPr>
        <w:pStyle w:val="P68B1DB1-Normal5"/>
        <w:spacing w:after="120" w:line="240" w:lineRule="auto"/>
        <w:jc w:val="both"/>
        <w:rPr>
          <w:rFonts w:cs="Times New Roman"/>
          <w:noProof/>
          <w:lang w:val="bg-BG"/>
        </w:rPr>
      </w:pPr>
      <w:r w:rsidRPr="00782BF9">
        <w:rPr>
          <w:noProof/>
          <w:lang w:val="bg-BG"/>
        </w:rPr>
        <w:t>На последния етап резултатите от пилотните институционални реорганизации и съответните препоръки и насоки за изпълнение се включват в публично достъпен доклад. Въз основа на доклада и картографирането допълнителните класове на прогимназиалния етап на основното образование в поне 30 училища ще бъдат ефективно интегрирани в по-големите приемни училища в съседни населени места.</w:t>
      </w:r>
    </w:p>
    <w:p w14:paraId="277B7C59" w14:textId="77777777" w:rsidR="00CE3BAD" w:rsidRPr="00782BF9" w:rsidRDefault="006B5475">
      <w:pPr>
        <w:pStyle w:val="P68B1DB1-Normal5"/>
        <w:spacing w:after="120" w:line="240" w:lineRule="auto"/>
        <w:jc w:val="both"/>
        <w:rPr>
          <w:rFonts w:cs="Times New Roman"/>
          <w:noProof/>
          <w:lang w:val="bg-BG"/>
        </w:rPr>
      </w:pPr>
      <w:r w:rsidRPr="00782BF9">
        <w:rPr>
          <w:noProof/>
          <w:lang w:val="bg-BG"/>
        </w:rPr>
        <w:t>Изпълнението на инвестицията трябва да приключи до 30 септември 2025 г.</w:t>
      </w:r>
    </w:p>
    <w:p w14:paraId="3A667770" w14:textId="77777777" w:rsidR="00CE3BAD" w:rsidRPr="00782BF9" w:rsidRDefault="00CE3BAD">
      <w:pPr>
        <w:keepNext/>
        <w:spacing w:after="120" w:line="240" w:lineRule="auto"/>
        <w:jc w:val="both"/>
        <w:rPr>
          <w:rFonts w:ascii="Times New Roman" w:hAnsi="Times New Roman" w:cs="Times New Roman"/>
          <w:b/>
          <w:noProof/>
          <w:color w:val="000000" w:themeColor="text1"/>
          <w:sz w:val="24"/>
          <w:lang w:val="bg-BG"/>
        </w:rPr>
      </w:pPr>
    </w:p>
    <w:p w14:paraId="475E26BE" w14:textId="0D41FEA7" w:rsidR="00CE3BAD" w:rsidRPr="00782BF9" w:rsidRDefault="000D07CA">
      <w:pPr>
        <w:pStyle w:val="P68B1DB1-Normal6"/>
        <w:keepNext/>
        <w:spacing w:after="120" w:line="240" w:lineRule="auto"/>
        <w:jc w:val="both"/>
        <w:rPr>
          <w:rFonts w:cs="Times New Roman"/>
          <w:noProof/>
          <w:color w:val="000000"/>
          <w:lang w:val="bg-BG"/>
        </w:rPr>
      </w:pPr>
      <w:r w:rsidRPr="00782BF9">
        <w:rPr>
          <w:noProof/>
          <w:lang w:val="bg-BG"/>
        </w:rPr>
        <w:t>C</w:t>
      </w:r>
      <w:r w:rsidR="006B5475" w:rsidRPr="00782BF9">
        <w:rPr>
          <w:noProof/>
          <w:lang w:val="bg-BG"/>
        </w:rPr>
        <w:t>1.</w:t>
      </w:r>
      <w:r w:rsidRPr="00782BF9">
        <w:rPr>
          <w:noProof/>
          <w:lang w:val="bg-BG"/>
        </w:rPr>
        <w:t>I</w:t>
      </w:r>
      <w:r w:rsidR="006B5475" w:rsidRPr="00782BF9">
        <w:rPr>
          <w:noProof/>
          <w:lang w:val="bg-BG"/>
        </w:rPr>
        <w:t>2: Подкрепа за образованието на ученици със специални образователни потребности</w:t>
      </w:r>
    </w:p>
    <w:p w14:paraId="02011AA6" w14:textId="383E9528" w:rsidR="00CE3BAD" w:rsidRPr="00782BF9" w:rsidRDefault="006B5475">
      <w:pPr>
        <w:pStyle w:val="P68B1DB1-Normal7"/>
        <w:spacing w:after="120" w:line="240" w:lineRule="auto"/>
        <w:jc w:val="both"/>
        <w:rPr>
          <w:rFonts w:cs="Times New Roman"/>
          <w:noProof/>
          <w:color w:val="000000" w:themeColor="text1"/>
          <w:lang w:val="bg-BG"/>
        </w:rPr>
      </w:pPr>
      <w:r w:rsidRPr="00782BF9">
        <w:rPr>
          <w:noProof/>
          <w:shd w:val="clear" w:color="auto" w:fill="FFFFFF"/>
          <w:lang w:val="bg-BG"/>
        </w:rPr>
        <w:t xml:space="preserve">Целта на тази инвестиция е да се подобри качеството на специализираните услуги, предоставяни на училищата, интегриращи ученици със специални образователни потребности, на тези, които са в процес на дългосрочни грижи, и на децата, които се нуждаят от специализирани педагогически услуги. Поради това </w:t>
      </w:r>
      <w:r w:rsidRPr="00782BF9">
        <w:rPr>
          <w:noProof/>
          <w:lang w:val="bg-BG"/>
        </w:rPr>
        <w:t>се очаква изпълнението на тези инвестиции</w:t>
      </w:r>
      <w:r w:rsidRPr="00782BF9">
        <w:rPr>
          <w:noProof/>
          <w:shd w:val="clear" w:color="auto" w:fill="FFFFFF"/>
          <w:lang w:val="bg-BG"/>
        </w:rPr>
        <w:t xml:space="preserve"> да допринесе за подобряване на резултатите от обучението на учениците, намаляване на риска от отпадане от училище и подпомагане на учениците да процъфтяват в зряла възраст и да постигат резултати на пазара на труда. </w:t>
      </w:r>
    </w:p>
    <w:p w14:paraId="7F67FAB0" w14:textId="48B2702E" w:rsidR="00CE3BAD" w:rsidRPr="00782BF9" w:rsidRDefault="006B5475">
      <w:pPr>
        <w:pStyle w:val="P68B1DB1-Normal5"/>
        <w:spacing w:after="120" w:line="240" w:lineRule="auto"/>
        <w:jc w:val="both"/>
        <w:rPr>
          <w:rFonts w:cs="Times New Roman"/>
          <w:noProof/>
          <w:lang w:val="bg-BG"/>
        </w:rPr>
      </w:pPr>
      <w:r w:rsidRPr="00782BF9">
        <w:rPr>
          <w:noProof/>
          <w:lang w:val="bg-BG"/>
        </w:rPr>
        <w:t>Инвестицията е насочена към училищата със специални образователни потребности, към тези, които се намират в дългосрочни грижи, и към децата, които се нуждаят от специализирани педагогически услуги за себе си или за своята мрежа за подкрепа, включително родители, учители и педагогически персонал. Въз основа на индивидуалните планове за развитие на училищата се изготвя и публикува картографиране на нуждите от оборудване, услуги и учители по специализирано образование. Въз основа на това картографиране инвестицията предоставя специализирани образователни услуги, включително подкрепа за развитие на ранен етап, експертни комитети за диагностика, образователни консултации и кариерно ориентиране, физическо възпитание, логическа терапия, кондуктивно образование, училищна психология и грижи за деца със специални потребности. Подкрепата включва също така, в зависимост от положението на съответните училища: и) подобрени услуги както за учители/персонал, така и за ученици, по-специално засилена подкрепа за мобилността, наемане на оборудване, услуги за училищен транспорт, обучение, обмен на знания и програми за социално приемане, и ii) закупуване на оборудване за физическа и ИКТ достъпност, инструменти за разработване, специално медицинско и техническо оборудване, общи и адаптирани електрически превозни средства за предоставяне на услуги.</w:t>
      </w:r>
    </w:p>
    <w:p w14:paraId="53092E78" w14:textId="2B4156E1" w:rsidR="00CE3BAD" w:rsidRPr="00782BF9" w:rsidRDefault="006B5475">
      <w:pPr>
        <w:spacing w:after="120" w:line="240" w:lineRule="auto"/>
        <w:jc w:val="both"/>
        <w:rPr>
          <w:rFonts w:ascii="Times New Roman" w:hAnsi="Times New Roman" w:cs="Times New Roman"/>
          <w:noProof/>
          <w:color w:val="000000" w:themeColor="text1"/>
          <w:sz w:val="24"/>
          <w:lang w:val="bg-BG"/>
        </w:rPr>
      </w:pPr>
      <w:r w:rsidRPr="00782BF9">
        <w:rPr>
          <w:rFonts w:ascii="Times New Roman" w:hAnsi="Times New Roman"/>
          <w:noProof/>
          <w:color w:val="000000"/>
          <w:sz w:val="24"/>
          <w:shd w:val="clear" w:color="auto" w:fill="FFFFFF"/>
          <w:lang w:val="bg-BG"/>
        </w:rPr>
        <w:t>Съгласно тази мярка най-малко 50 % от специалните образователни институции (училища със специални образователни потребности, деца, нуждаещи се от специализирани педагогически услуги), функциониращи през учебната 2025/2026 година, трябва да са получили подкрепа за образованието на ученици със специални образователни потребности, на тези, които се ползват от дългосрочни грижи, и на децата, които се нуждаят от специализирани педагогически услуги. В резултат на това поне 45 000 ученици се възползват от подобрено качество на специализираните услуги. Освен това най-малко 5 000 учители в областта на специалното образование преминават специално обучение за развиване на компетентности и професионално използване на диагностични процедури и инструменти, необходими за работа с</w:t>
      </w:r>
      <w:r w:rsidRPr="00782BF9">
        <w:rPr>
          <w:noProof/>
          <w:lang w:val="bg-BG"/>
        </w:rPr>
        <w:t xml:space="preserve"> ученици със специални образователни потребности, лица, полагащи дългосрочни грижи, и деца, които се нуждаят от специализирани педагогически услуги. </w:t>
      </w:r>
      <w:r w:rsidRPr="00782BF9">
        <w:rPr>
          <w:rFonts w:ascii="Times New Roman" w:hAnsi="Times New Roman"/>
          <w:noProof/>
          <w:color w:val="000000"/>
          <w:sz w:val="24"/>
          <w:shd w:val="clear" w:color="auto" w:fill="FFFFFF"/>
          <w:lang w:val="bg-BG"/>
        </w:rPr>
        <w:t xml:space="preserve"> </w:t>
      </w:r>
    </w:p>
    <w:p w14:paraId="22489E2B" w14:textId="77777777" w:rsidR="00CE3BAD" w:rsidRPr="00782BF9" w:rsidRDefault="006B5475">
      <w:pPr>
        <w:pStyle w:val="P68B1DB1-Normal5"/>
        <w:spacing w:after="120" w:line="240" w:lineRule="auto"/>
        <w:jc w:val="both"/>
        <w:rPr>
          <w:rFonts w:cs="Times New Roman"/>
          <w:noProof/>
          <w:color w:val="000000" w:themeColor="text1"/>
          <w:lang w:val="bg-BG"/>
        </w:rPr>
      </w:pPr>
      <w:r w:rsidRPr="00782BF9">
        <w:rPr>
          <w:noProof/>
          <w:lang w:val="bg-BG"/>
        </w:rPr>
        <w:t>Изпълнението на инвестицията трябва да приключи до 30 септември 2026 г.</w:t>
      </w:r>
    </w:p>
    <w:p w14:paraId="09F3170D" w14:textId="77777777" w:rsidR="00CE3BAD" w:rsidRPr="00782BF9" w:rsidRDefault="00CE3BAD">
      <w:pPr>
        <w:keepNext/>
        <w:spacing w:after="120" w:line="240" w:lineRule="auto"/>
        <w:jc w:val="both"/>
        <w:rPr>
          <w:rFonts w:ascii="Times New Roman" w:hAnsi="Times New Roman" w:cs="Times New Roman"/>
          <w:b/>
          <w:noProof/>
          <w:sz w:val="24"/>
          <w:lang w:val="bg-BG"/>
        </w:rPr>
      </w:pPr>
    </w:p>
    <w:p w14:paraId="56E892AA" w14:textId="44A50665" w:rsidR="00CE3BAD" w:rsidRPr="00782BF9" w:rsidRDefault="006B5475">
      <w:pPr>
        <w:pStyle w:val="P68B1DB1-Normal2"/>
        <w:keepNext/>
        <w:spacing w:after="120" w:line="240" w:lineRule="auto"/>
        <w:jc w:val="both"/>
        <w:rPr>
          <w:rFonts w:cs="Times New Roman"/>
          <w:noProof/>
          <w:lang w:val="bg-BG"/>
        </w:rPr>
      </w:pPr>
      <w:r w:rsidRPr="00782BF9">
        <w:rPr>
          <w:noProof/>
          <w:lang w:val="bg-BG"/>
        </w:rPr>
        <w:t>C1.R2: Намаляване на риска от сегрегация в училищата</w:t>
      </w:r>
    </w:p>
    <w:p w14:paraId="334F62B1"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реформата е да се подкрепи равният достъп до висококачествено училищно образование и да се намали сегрегацията в училищата. </w:t>
      </w:r>
    </w:p>
    <w:p w14:paraId="0789FF77" w14:textId="49599581"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се състои в приемане на законодателство за намаляване на държавната помощ за началните и прогимназиалните училища (класове 1—8) с нисък дял на учениците в неравностойно положение. Съгласно новото законодателство държавната подкрепа за началните и прогимназиалните училища (както държавните училища, така и недържавните училища, получаващи държавно финансиране), функциониращи в многоучилищни селища, се намалява с 10 %, ако делът на учениците в неравностойно положение в тези училища е по-нисък от средния дял в населеното място, където се намира училището, с повече от i) 20 процентни пункта в началото на учебните 2023/2024 и 2024/2025 години и ii) 15 процентни пункта в началото на учебната 2025/2026 година и на следващите години. Законодателните разпоредби се прилагат от учебната 2023/2024 година, а намалението на държавната помощ се прилага за цялата календарна година.</w:t>
      </w:r>
    </w:p>
    <w:p w14:paraId="541A1F91" w14:textId="2BD3C455" w:rsidR="00CE3BAD" w:rsidRPr="00782BF9" w:rsidRDefault="006B5475">
      <w:pPr>
        <w:pStyle w:val="P68B1DB1-Normal4"/>
        <w:spacing w:after="120" w:line="240" w:lineRule="auto"/>
        <w:jc w:val="both"/>
        <w:rPr>
          <w:rFonts w:cs="Times New Roman"/>
          <w:noProof/>
          <w:lang w:val="bg-BG"/>
        </w:rPr>
      </w:pPr>
      <w:r w:rsidRPr="00782BF9">
        <w:rPr>
          <w:noProof/>
          <w:lang w:val="bg-BG"/>
        </w:rPr>
        <w:t>Ще бъде публикуван доклад, показващ, че е приложено новото законодателство, предвиждащо намаляване на държавната подкрепа за началните и прогимназиалните училища с нисък дял на ученици в неравностойно положение. Докладът представя първоначалните резултати от изпълнението в съответните училища през учебните 2023/2024 и 2024/2025 години и началото на учебната 2025/2026 година, както и въздействието по отношение на разпределението на учениците в неравностойно положение в населените места, където се намират тези училища (включително околните селища). Докладът може да включва препоръки за подобряване на правната рамка и повишаване на нейната ефективност за намаляване на риска от сегрегация в началните и прогимназиалните училища.</w:t>
      </w:r>
    </w:p>
    <w:p w14:paraId="0939E561" w14:textId="77777777" w:rsidR="00CE3BAD" w:rsidRPr="00782BF9" w:rsidRDefault="006B5475">
      <w:pPr>
        <w:pStyle w:val="P68B1DB1-Normal4"/>
        <w:spacing w:after="120" w:line="240" w:lineRule="auto"/>
        <w:jc w:val="both"/>
        <w:rPr>
          <w:rFonts w:cs="Times New Roman"/>
          <w:b/>
          <w:noProof/>
          <w:lang w:val="bg-BG"/>
        </w:rPr>
      </w:pPr>
      <w:r w:rsidRPr="00782BF9">
        <w:rPr>
          <w:noProof/>
          <w:lang w:val="bg-BG"/>
        </w:rPr>
        <w:t>Изпълнението на реформата трябва да приключи до 31 декември 2025 г.</w:t>
      </w:r>
    </w:p>
    <w:p w14:paraId="21E28C51" w14:textId="77777777" w:rsidR="00CE3BAD" w:rsidRPr="00782BF9" w:rsidRDefault="00CE3BAD">
      <w:pPr>
        <w:keepNext/>
        <w:spacing w:after="120" w:line="240" w:lineRule="auto"/>
        <w:jc w:val="both"/>
        <w:rPr>
          <w:rFonts w:ascii="Times New Roman" w:hAnsi="Times New Roman" w:cs="Times New Roman"/>
          <w:b/>
          <w:noProof/>
          <w:sz w:val="24"/>
          <w:lang w:val="bg-BG"/>
        </w:rPr>
      </w:pPr>
    </w:p>
    <w:p w14:paraId="0D217CB4" w14:textId="38DD6E70" w:rsidR="00CE3BAD" w:rsidRPr="00782BF9" w:rsidRDefault="006B5475">
      <w:pPr>
        <w:pStyle w:val="P68B1DB1-Normal2"/>
        <w:keepNext/>
        <w:spacing w:after="120" w:line="240" w:lineRule="auto"/>
        <w:jc w:val="both"/>
        <w:rPr>
          <w:rFonts w:cs="Times New Roman"/>
          <w:noProof/>
          <w:lang w:val="bg-BG"/>
        </w:rPr>
      </w:pPr>
      <w:r w:rsidRPr="00782BF9">
        <w:rPr>
          <w:noProof/>
          <w:lang w:val="bg-BG"/>
        </w:rPr>
        <w:t>C1.R3: Повишаване на привлекателността на учителската професия</w:t>
      </w:r>
    </w:p>
    <w:p w14:paraId="58B9BD49"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реформата е да се подобри привлекателността на учителската професия и да се намали недостигът на учители, като по този начин се допринесе за висококачествено училищно образование за всички. </w:t>
      </w:r>
    </w:p>
    <w:p w14:paraId="689F86B0" w14:textId="2940BB91"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Мярката се състои в приемане на законодателство, съгласно което средната заплата на преподавателите в публичната образователна система с висше образование (с изключение на преподавателите в областта на професионалното образование) постепенно достига поне 80 % от средната работна заплата на завършилите висше образование през 2025 г. и се поддържа на равнище най-малко 80 % от средната заплата на завършилите висше образование поне до 31 декември 2030 г. </w:t>
      </w:r>
    </w:p>
    <w:p w14:paraId="4AFF00BA" w14:textId="0B73019B" w:rsidR="00CE3BAD" w:rsidRPr="00782BF9" w:rsidRDefault="006B5475">
      <w:pPr>
        <w:pStyle w:val="P68B1DB1-Normal4"/>
        <w:spacing w:after="120" w:line="240" w:lineRule="auto"/>
        <w:jc w:val="both"/>
        <w:rPr>
          <w:rFonts w:cs="Times New Roman"/>
          <w:noProof/>
          <w:lang w:val="bg-BG"/>
        </w:rPr>
      </w:pPr>
      <w:r w:rsidRPr="00782BF9">
        <w:rPr>
          <w:noProof/>
          <w:lang w:val="bg-BG"/>
        </w:rPr>
        <w:t>Новото законодателство включва също така разпоредби, съгласно които възнаграждението на учителите, които работят в училища с дял на учениците в неравностойно положение от най-малко 10 % (и които определят специални педагогически методи за приобщаващо образование в своите педагогически програми) или в населени места в неравностойно положение, е по-висока с най-малко 12,5 % в сравнение със заплатата на други учители със същата квалификация и опит, считано от 1 януари 2023 г. и поне до 31 декември 2030 г. Освен това увеличението на заплатите през 2025 г. за учителите в началото на образованието трябва да бъде с 10 процентни пункта по-високо от средното увеличение на заплатите за всички учители в системата на общественото образование през тази година, докато годишното им увеличение на заплатите е поне същото като средното годишно увеличение на заплатите за всички учители в системата на общественото образование между 1 януари 2023 г. и 31 декември 2030 г.</w:t>
      </w:r>
    </w:p>
    <w:p w14:paraId="33CBC3E6"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Законопроектът, в който е заложен горепосоченият подход за увеличаване на заплатите на учителите, е предмет на съдържателен социален диалог с най-големите профсъюзи на учителите.</w:t>
      </w:r>
    </w:p>
    <w:p w14:paraId="2B2730B6" w14:textId="1BF6E6ED" w:rsidR="00CE3BAD" w:rsidRPr="00782BF9" w:rsidRDefault="006B5475">
      <w:pPr>
        <w:pStyle w:val="P68B1DB1-Normal4"/>
        <w:spacing w:after="120" w:line="240" w:lineRule="auto"/>
        <w:jc w:val="both"/>
        <w:rPr>
          <w:rFonts w:cs="Times New Roman"/>
          <w:noProof/>
          <w:lang w:val="bg-BG"/>
        </w:rPr>
      </w:pPr>
      <w:r w:rsidRPr="00782BF9">
        <w:rPr>
          <w:noProof/>
          <w:lang w:val="bg-BG"/>
        </w:rPr>
        <w:t>Финансирането за изпълнението на реформата се осигурява изключително от националния бюджет и фондовете на ЕС (ЕСФ +). В плана за възстановяване и устойчивост не са включени разходи, свързани с тази мярка.</w:t>
      </w:r>
    </w:p>
    <w:p w14:paraId="19848E03"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трябва да приключи до 30 юни 2026 г.</w:t>
      </w:r>
    </w:p>
    <w:p w14:paraId="08CA2DF1" w14:textId="77777777" w:rsidR="00CE3BAD" w:rsidRPr="00782BF9" w:rsidRDefault="00CE3BAD">
      <w:pPr>
        <w:keepNext/>
        <w:spacing w:after="120" w:line="240" w:lineRule="auto"/>
        <w:jc w:val="both"/>
        <w:rPr>
          <w:rFonts w:ascii="Times New Roman" w:hAnsi="Times New Roman" w:cs="Times New Roman"/>
          <w:b/>
          <w:noProof/>
          <w:sz w:val="24"/>
          <w:lang w:val="bg-BG"/>
        </w:rPr>
      </w:pPr>
    </w:p>
    <w:p w14:paraId="0D48BF0B" w14:textId="4DD51B8B" w:rsidR="00CE3BAD" w:rsidRPr="00782BF9" w:rsidRDefault="000D07CA">
      <w:pPr>
        <w:pStyle w:val="P68B1DB1-Normal2"/>
        <w:keepNext/>
        <w:spacing w:after="120" w:line="240" w:lineRule="auto"/>
        <w:jc w:val="both"/>
        <w:rPr>
          <w:rFonts w:cs="Times New Roman"/>
          <w:noProof/>
          <w:lang w:val="bg-BG"/>
        </w:rPr>
      </w:pPr>
      <w:r w:rsidRPr="00782BF9">
        <w:rPr>
          <w:noProof/>
          <w:lang w:val="bg-BG"/>
        </w:rPr>
        <w:t>C</w:t>
      </w:r>
      <w:r w:rsidR="006B5475" w:rsidRPr="00782BF9">
        <w:rPr>
          <w:noProof/>
          <w:lang w:val="bg-BG"/>
        </w:rPr>
        <w:t>1.</w:t>
      </w:r>
      <w:r w:rsidRPr="00782BF9">
        <w:rPr>
          <w:noProof/>
          <w:lang w:val="bg-BG"/>
        </w:rPr>
        <w:t>I</w:t>
      </w:r>
      <w:r w:rsidR="006B5475" w:rsidRPr="00782BF9">
        <w:rPr>
          <w:noProof/>
          <w:lang w:val="bg-BG"/>
        </w:rPr>
        <w:t>3: Обучение на учители и подобряване на управленските умения на ръководителите на институции</w:t>
      </w:r>
    </w:p>
    <w:p w14:paraId="3AD5B415" w14:textId="77777777" w:rsidR="00CE3BAD" w:rsidRPr="00782BF9" w:rsidRDefault="006B5475">
      <w:pPr>
        <w:pStyle w:val="P68B1DB1-Normal5"/>
        <w:spacing w:after="120" w:line="240" w:lineRule="auto"/>
        <w:jc w:val="both"/>
        <w:rPr>
          <w:rFonts w:cs="Times New Roman"/>
          <w:noProof/>
          <w:lang w:val="bg-BG"/>
        </w:rPr>
      </w:pPr>
      <w:r w:rsidRPr="00782BF9">
        <w:rPr>
          <w:noProof/>
          <w:lang w:val="bg-BG"/>
        </w:rPr>
        <w:t>Целта на мярката е двойна: да се увеличи предлагането на учители по предмети, за които има голямо търсене, и да се подобрят управленските умения на ръководителите и заместник-ръководителите на публичните образователни институции.</w:t>
      </w:r>
    </w:p>
    <w:p w14:paraId="336A4E1D" w14:textId="5C0526A3" w:rsidR="00CE3BAD" w:rsidRPr="00782BF9" w:rsidRDefault="006B5475">
      <w:pPr>
        <w:pStyle w:val="P68B1DB1-Normal5"/>
        <w:spacing w:after="120" w:line="240" w:lineRule="auto"/>
        <w:jc w:val="both"/>
        <w:rPr>
          <w:rFonts w:cs="Times New Roman"/>
          <w:noProof/>
          <w:lang w:val="bg-BG"/>
        </w:rPr>
      </w:pPr>
      <w:r w:rsidRPr="00782BF9">
        <w:rPr>
          <w:noProof/>
          <w:lang w:val="bg-BG"/>
        </w:rPr>
        <w:t>По тази мярка 5 000 учители в прогимназиалния и гимназиалния етап на средното образование трябва да преминат обучение за придобиване на допълнителна специализация и сертификати за преподаване на учебни области с голямо търсене (по-специално физика, химия, математика и цифрово образование). Обученията се организират под формата на дву- и четиримесечни курсове за висше образование. Освен това около 3 000 ръководители и заместник-ръководители на публични образователни институции преминават специализирано обучение по управление на образователните институции. Учителите и техните работодатели сключват договор за обучение.</w:t>
      </w:r>
    </w:p>
    <w:p w14:paraId="10438920" w14:textId="77777777" w:rsidR="00CE3BAD" w:rsidRPr="00782BF9" w:rsidRDefault="006B5475">
      <w:pPr>
        <w:pStyle w:val="P68B1DB1-Normal5"/>
        <w:spacing w:after="120" w:line="240" w:lineRule="auto"/>
        <w:jc w:val="both"/>
        <w:rPr>
          <w:rFonts w:cs="Times New Roman"/>
          <w:noProof/>
          <w:lang w:val="bg-BG"/>
        </w:rPr>
      </w:pPr>
      <w:r w:rsidRPr="00782BF9">
        <w:rPr>
          <w:noProof/>
          <w:lang w:val="bg-BG"/>
        </w:rPr>
        <w:t>Изпълнението на инвестицията трябва да приключи до 30 юни 2026 г.</w:t>
      </w:r>
    </w:p>
    <w:p w14:paraId="0713CDD1" w14:textId="77777777" w:rsidR="00CE3BAD" w:rsidRPr="00782BF9" w:rsidRDefault="00CE3BAD">
      <w:pPr>
        <w:keepNext/>
        <w:spacing w:after="120" w:line="240" w:lineRule="auto"/>
        <w:jc w:val="both"/>
        <w:rPr>
          <w:rFonts w:ascii="Times New Roman" w:hAnsi="Times New Roman" w:cs="Times New Roman"/>
          <w:b/>
          <w:noProof/>
          <w:sz w:val="24"/>
          <w:lang w:val="bg-BG"/>
        </w:rPr>
      </w:pPr>
    </w:p>
    <w:p w14:paraId="09F05B42" w14:textId="20C0D50B" w:rsidR="00CE3BAD" w:rsidRPr="00782BF9" w:rsidRDefault="000D07CA">
      <w:pPr>
        <w:pStyle w:val="P68B1DB1-Normal2"/>
        <w:keepNext/>
        <w:spacing w:after="120" w:line="240" w:lineRule="auto"/>
        <w:jc w:val="both"/>
        <w:rPr>
          <w:rFonts w:cs="Times New Roman"/>
          <w:noProof/>
          <w:lang w:val="bg-BG"/>
        </w:rPr>
      </w:pPr>
      <w:r w:rsidRPr="00782BF9">
        <w:rPr>
          <w:noProof/>
          <w:lang w:val="bg-BG"/>
        </w:rPr>
        <w:t>C</w:t>
      </w:r>
      <w:r w:rsidR="006B5475" w:rsidRPr="00782BF9">
        <w:rPr>
          <w:noProof/>
          <w:lang w:val="bg-BG"/>
        </w:rPr>
        <w:t>1.</w:t>
      </w:r>
      <w:r w:rsidRPr="00782BF9">
        <w:rPr>
          <w:noProof/>
          <w:lang w:val="bg-BG"/>
        </w:rPr>
        <w:t>I</w:t>
      </w:r>
      <w:r w:rsidR="006B5475" w:rsidRPr="00782BF9">
        <w:rPr>
          <w:noProof/>
          <w:lang w:val="bg-BG"/>
        </w:rPr>
        <w:t>4: Създаване на нови детски ясли</w:t>
      </w:r>
    </w:p>
    <w:p w14:paraId="64E9A327" w14:textId="56869B88" w:rsidR="00CE3BAD" w:rsidRPr="00782BF9" w:rsidRDefault="006B5475">
      <w:pPr>
        <w:pStyle w:val="P68B1DB1-Normal4"/>
        <w:spacing w:after="120" w:line="240" w:lineRule="auto"/>
        <w:jc w:val="both"/>
        <w:rPr>
          <w:rFonts w:cs="Times New Roman"/>
          <w:noProof/>
          <w:color w:val="000000" w:themeColor="text1"/>
          <w:lang w:val="bg-BG"/>
        </w:rPr>
      </w:pPr>
      <w:r w:rsidRPr="00782BF9">
        <w:rPr>
          <w:noProof/>
          <w:color w:val="000000"/>
          <w:shd w:val="clear" w:color="auto" w:fill="FFFFFF"/>
          <w:lang w:val="bg-BG"/>
        </w:rPr>
        <w:t xml:space="preserve">Целта на инвестицията е да се увеличи наличието на образователни услуги в ранна детска възраст чрез създаване на нови детски ясли. Очаква се </w:t>
      </w:r>
      <w:r w:rsidRPr="00782BF9">
        <w:rPr>
          <w:noProof/>
          <w:color w:val="000000" w:themeColor="text1"/>
          <w:lang w:val="bg-BG"/>
        </w:rPr>
        <w:t xml:space="preserve">тази мярка </w:t>
      </w:r>
      <w:r w:rsidRPr="00782BF9">
        <w:rPr>
          <w:noProof/>
          <w:color w:val="000000"/>
          <w:shd w:val="clear" w:color="auto" w:fill="FFFFFF"/>
          <w:lang w:val="bg-BG"/>
        </w:rPr>
        <w:t>да допринесе за по-високи равнища на заетост</w:t>
      </w:r>
      <w:r w:rsidRPr="00782BF9">
        <w:rPr>
          <w:noProof/>
          <w:color w:val="000000" w:themeColor="text1"/>
          <w:lang w:val="bg-BG"/>
        </w:rPr>
        <w:t xml:space="preserve"> сред родителите, особено сред жените</w:t>
      </w:r>
      <w:r w:rsidRPr="00782BF9">
        <w:rPr>
          <w:noProof/>
          <w:color w:val="000000"/>
          <w:shd w:val="clear" w:color="auto" w:fill="FFFFFF"/>
          <w:lang w:val="bg-BG"/>
        </w:rPr>
        <w:t>, като по този начин допринесе за равенството между половете и социалното приобщаване. Мярката е подкрепена от неотдавнашно проучване, показващо търсенето на 12 000 места за детски ясли в допълнение към съществуващите и на тези, които са в процес на подготовка.</w:t>
      </w:r>
    </w:p>
    <w:p w14:paraId="72250780" w14:textId="7F3AB98C" w:rsidR="00CE3BAD" w:rsidRPr="00782BF9" w:rsidRDefault="006B5475">
      <w:pPr>
        <w:pStyle w:val="P68B1DB1-Normal4"/>
        <w:spacing w:after="120" w:line="240" w:lineRule="auto"/>
        <w:jc w:val="both"/>
        <w:rPr>
          <w:rFonts w:cs="Times New Roman"/>
          <w:noProof/>
          <w:color w:val="000000"/>
          <w:shd w:val="clear" w:color="auto" w:fill="FFFFFF"/>
          <w:lang w:val="bg-BG"/>
        </w:rPr>
      </w:pPr>
      <w:r w:rsidRPr="00782BF9">
        <w:rPr>
          <w:noProof/>
          <w:color w:val="000000"/>
          <w:shd w:val="clear" w:color="auto" w:fill="FFFFFF"/>
          <w:lang w:val="bg-BG"/>
        </w:rPr>
        <w:t xml:space="preserve">Съгласно тази мярка ще бъдат създадени най-малко 3 984 нови детски ясли в цяла Унгария в изцяло нови сгради или чрез разширяване на съществуващи такива. Инвестицията включва също така спомагателно оборудване и инфраструктура, като оборудване за класна стая, мебели, детски площадки и паркинги за велосипеди. Търсенето на първична енергия при строителството на нови сгради </w:t>
      </w:r>
      <w:r w:rsidRPr="00782BF9">
        <w:rPr>
          <w:noProof/>
          <w:lang w:val="bg-BG"/>
        </w:rPr>
        <w:t>трябва да бъде най-малко 20 % под изискването за сгради с близко до нулево нетно потребление на енергия</w:t>
      </w:r>
      <w:r w:rsidRPr="00782BF9">
        <w:rPr>
          <w:noProof/>
          <w:color w:val="000000"/>
          <w:shd w:val="clear" w:color="auto" w:fill="FFFFFF"/>
          <w:lang w:val="bg-BG"/>
        </w:rPr>
        <w:t>. В резултат на инвестицията най-малко 3 984 деца трябва да бъдат записани на новите места.</w:t>
      </w:r>
    </w:p>
    <w:p w14:paraId="119DAEC4" w14:textId="77777777" w:rsidR="00CE3BAD" w:rsidRPr="00782BF9" w:rsidRDefault="006B5475">
      <w:pPr>
        <w:spacing w:after="120" w:line="240" w:lineRule="auto"/>
        <w:jc w:val="both"/>
        <w:rPr>
          <w:noProof/>
          <w:lang w:val="bg-BG"/>
        </w:rPr>
      </w:pPr>
      <w:r w:rsidRPr="00782BF9">
        <w:rPr>
          <w:rFonts w:ascii="Times New Roman" w:hAnsi="Times New Roman"/>
          <w:noProof/>
          <w:color w:val="000000" w:themeColor="text1"/>
          <w:sz w:val="24"/>
          <w:lang w:val="bg-BG"/>
        </w:rPr>
        <w:t>Изпълнението на инвестицията трябва да приключи до 31 декември 2025 г.</w:t>
      </w:r>
      <w:r w:rsidRPr="00782BF9">
        <w:rPr>
          <w:noProof/>
          <w:lang w:val="bg-BG"/>
        </w:rPr>
        <w:t xml:space="preserve"> </w:t>
      </w:r>
    </w:p>
    <w:p w14:paraId="257AC67F" w14:textId="77777777" w:rsidR="00CE3BAD" w:rsidRPr="00782BF9" w:rsidRDefault="00CE3BAD">
      <w:pPr>
        <w:keepNext/>
        <w:spacing w:after="120" w:line="240" w:lineRule="auto"/>
        <w:jc w:val="both"/>
        <w:rPr>
          <w:rFonts w:ascii="Times New Roman" w:hAnsi="Times New Roman" w:cs="Times New Roman"/>
          <w:b/>
          <w:noProof/>
          <w:sz w:val="24"/>
          <w:lang w:val="bg-BG"/>
        </w:rPr>
      </w:pPr>
    </w:p>
    <w:p w14:paraId="69465304" w14:textId="3F07B36A" w:rsidR="00CE3BAD" w:rsidRPr="00782BF9" w:rsidRDefault="006B5475">
      <w:pPr>
        <w:pStyle w:val="P68B1DB1-Normal2"/>
        <w:keepNext/>
        <w:spacing w:after="120" w:line="240" w:lineRule="auto"/>
        <w:jc w:val="both"/>
        <w:rPr>
          <w:rFonts w:cs="Times New Roman"/>
          <w:noProof/>
          <w:lang w:val="bg-BG"/>
        </w:rPr>
      </w:pPr>
      <w:r w:rsidRPr="00782BF9">
        <w:rPr>
          <w:noProof/>
          <w:lang w:val="bg-BG"/>
        </w:rPr>
        <w:t>C1.R4: Подобряване на устойчивостта на пенсионната система</w:t>
      </w:r>
    </w:p>
    <w:p w14:paraId="49EBBB09" w14:textId="4CEEC21C" w:rsidR="00CE3BAD" w:rsidRPr="00782BF9" w:rsidRDefault="006B5475">
      <w:pPr>
        <w:pStyle w:val="P68B1DB1-Normal4"/>
        <w:spacing w:after="120" w:line="240" w:lineRule="auto"/>
        <w:jc w:val="both"/>
        <w:rPr>
          <w:rFonts w:cs="Times New Roman"/>
          <w:noProof/>
          <w:color w:val="000000" w:themeColor="text1"/>
          <w:lang w:val="bg-BG"/>
        </w:rPr>
      </w:pPr>
      <w:r w:rsidRPr="00782BF9">
        <w:rPr>
          <w:noProof/>
          <w:color w:val="000000" w:themeColor="text1"/>
          <w:lang w:val="bg-BG"/>
        </w:rPr>
        <w:t>Целта на реформата е да се насърчи средносрочната и дългосрочната фискална устойчивост на унгарската пенсионна система и да се допринесе за удължаване на трудовия живот, като същевременно се повиши адекватността на пенсиите, изплащани на пенсионери с по-ниски доходи. Доколкото е необходимо, реформата въвежда автоматични механизми за балансиране в пенсионната система и други промени в параметрите.</w:t>
      </w:r>
    </w:p>
    <w:p w14:paraId="73732866" w14:textId="77777777" w:rsidR="00CE3BAD" w:rsidRPr="00782BF9" w:rsidRDefault="006B5475">
      <w:pPr>
        <w:pStyle w:val="P68B1DB1-Normal7"/>
        <w:spacing w:after="120" w:line="240" w:lineRule="auto"/>
        <w:jc w:val="both"/>
        <w:rPr>
          <w:rFonts w:cs="Times New Roman"/>
          <w:noProof/>
          <w:color w:val="000000" w:themeColor="text1"/>
          <w:lang w:val="bg-BG"/>
        </w:rPr>
      </w:pPr>
      <w:r w:rsidRPr="00782BF9">
        <w:rPr>
          <w:noProof/>
          <w:lang w:val="bg-BG"/>
        </w:rPr>
        <w:t>Реформата се състои от:</w:t>
      </w:r>
    </w:p>
    <w:p w14:paraId="23E1D2FB" w14:textId="32E35626" w:rsidR="00CE3BAD" w:rsidRPr="00782BF9" w:rsidRDefault="006B5475">
      <w:pPr>
        <w:pStyle w:val="ListParagraph"/>
        <w:numPr>
          <w:ilvl w:val="0"/>
          <w:numId w:val="5"/>
        </w:numPr>
        <w:spacing w:after="120" w:line="240" w:lineRule="auto"/>
        <w:jc w:val="both"/>
        <w:rPr>
          <w:rFonts w:eastAsia="Calibri"/>
          <w:b/>
          <w:noProof/>
          <w:color w:val="006100"/>
          <w:sz w:val="18"/>
          <w:lang w:val="bg-BG"/>
        </w:rPr>
      </w:pPr>
      <w:r w:rsidRPr="00782BF9">
        <w:rPr>
          <w:noProof/>
          <w:color w:val="000000" w:themeColor="text1"/>
          <w:lang w:val="bg-BG"/>
        </w:rPr>
        <w:t>Публикуването на независим международен експертен доклад относно вариантите на политиката за справяне с дългосрочните предизвикателства пред устойчивостта на унгарската пенсионна система. Докладът представя диагноза на пенсионната система и нейната финансова устойчивост и представя конкретни предложения за политики, за да се гарантира средносрочната и дългосрочната фискална устойчивост на пенсионната система чрез подходящи мерки по отношение на приходите и автоматични механизми за балансиране, както и чрез ограничаване на увеличението на прогнозните разходи за пенсии като процент от БВП до 2070 г. в сравнение с последните прогнози в доклада за застаряването на населението, като същевременно се запазва адекватността, по-специално чрез преодоляване на неравенството в доходите.</w:t>
      </w:r>
      <w:r w:rsidRPr="00782BF9">
        <w:rPr>
          <w:noProof/>
          <w:color w:val="006100"/>
          <w:sz w:val="18"/>
          <w:lang w:val="bg-BG"/>
        </w:rPr>
        <w:t xml:space="preserve"> </w:t>
      </w:r>
    </w:p>
    <w:p w14:paraId="2967BFD3" w14:textId="31697594" w:rsidR="00CE3BAD" w:rsidRPr="00782BF9" w:rsidRDefault="006B5475">
      <w:pPr>
        <w:pStyle w:val="P68B1DB1-ListParagraph8"/>
        <w:numPr>
          <w:ilvl w:val="0"/>
          <w:numId w:val="5"/>
        </w:numPr>
        <w:spacing w:after="120" w:line="240" w:lineRule="auto"/>
        <w:jc w:val="both"/>
        <w:rPr>
          <w:rFonts w:cs="Times New Roman"/>
          <w:noProof/>
          <w:lang w:val="bg-BG"/>
        </w:rPr>
      </w:pPr>
      <w:r w:rsidRPr="00782BF9">
        <w:rPr>
          <w:noProof/>
          <w:lang w:val="bg-BG"/>
        </w:rPr>
        <w:t>Изготвяне от правителството на предложение за политика за изменение на пенсионната система. Като част от подготовката предложението за политика се консултира със социалните и икономическите партньори и други заинтересовани страни, представя се и обсъжда в работната група по въпросите на застаряването на населението към Комитета за икономическа политика и се представя за обществена консултация.</w:t>
      </w:r>
    </w:p>
    <w:p w14:paraId="0C36D6ED" w14:textId="750E502B" w:rsidR="00CE3BAD" w:rsidRPr="00782BF9" w:rsidRDefault="006B5475">
      <w:pPr>
        <w:pStyle w:val="P68B1DB1-ListParagraph8"/>
        <w:numPr>
          <w:ilvl w:val="0"/>
          <w:numId w:val="5"/>
        </w:numPr>
        <w:spacing w:after="120" w:line="240" w:lineRule="auto"/>
        <w:jc w:val="both"/>
        <w:rPr>
          <w:rFonts w:cs="Times New Roman"/>
          <w:noProof/>
          <w:lang w:val="bg-BG"/>
        </w:rPr>
      </w:pPr>
      <w:r w:rsidRPr="00782BF9">
        <w:rPr>
          <w:noProof/>
          <w:lang w:val="bg-BG"/>
        </w:rPr>
        <w:t xml:space="preserve">Изготвяне от правителството на законодателно предложение за изменение на пенсионната система, придружено от подробна оценка на въздействието. Оценката на въздействието показва как законодателното предложение гарантира дългосрочна фискална устойчивост на пенсионната система чрез подходящи мерки и възможни автоматични механизми за балансиране, както и чрез ограничаване на увеличението на прогнозните разходи за пенсии като процент от БВП до 2070 г. в сравнение с последните прогнози в доклада за застаряването на населението. Оценката на въздействието се основава на общите допускания за макроикономическите и демографските прогнози в последния доклад относно застаряването на населението. </w:t>
      </w:r>
    </w:p>
    <w:p w14:paraId="2EDFEA56" w14:textId="48CD9FBF" w:rsidR="00CE3BAD" w:rsidRPr="00782BF9" w:rsidRDefault="006B5475">
      <w:pPr>
        <w:pStyle w:val="P68B1DB1-ListParagraph8"/>
        <w:numPr>
          <w:ilvl w:val="0"/>
          <w:numId w:val="5"/>
        </w:numPr>
        <w:spacing w:after="120" w:line="240" w:lineRule="auto"/>
        <w:jc w:val="both"/>
        <w:rPr>
          <w:rFonts w:cs="Times New Roman"/>
          <w:noProof/>
          <w:lang w:val="bg-BG"/>
        </w:rPr>
      </w:pPr>
      <w:r w:rsidRPr="00782BF9">
        <w:rPr>
          <w:noProof/>
          <w:lang w:val="bg-BG"/>
        </w:rPr>
        <w:t>Влизането в сила на законодателството за изменение на пенсионната система въз основа на законодателното предложение на правителството.</w:t>
      </w:r>
    </w:p>
    <w:p w14:paraId="5F2DAD79" w14:textId="77777777" w:rsidR="00CE3BAD" w:rsidRPr="00782BF9" w:rsidRDefault="006B5475">
      <w:pPr>
        <w:pStyle w:val="P68B1DB1-Normal7"/>
        <w:spacing w:after="120" w:line="240" w:lineRule="auto"/>
        <w:jc w:val="both"/>
        <w:rPr>
          <w:rFonts w:cs="Times New Roman"/>
          <w:noProof/>
          <w:color w:val="000000" w:themeColor="text1"/>
          <w:lang w:val="bg-BG"/>
        </w:rPr>
      </w:pPr>
      <w:r w:rsidRPr="00782BF9">
        <w:rPr>
          <w:noProof/>
          <w:lang w:val="bg-BG"/>
        </w:rPr>
        <w:t>Изпълнението на реформата трябва да приключи до 31 март 2025 г.</w:t>
      </w:r>
    </w:p>
    <w:p w14:paraId="7664D8B0" w14:textId="77777777" w:rsidR="00CE3BAD" w:rsidRPr="00782BF9" w:rsidRDefault="00CE3BAD">
      <w:pPr>
        <w:spacing w:after="120" w:line="240" w:lineRule="auto"/>
        <w:jc w:val="both"/>
        <w:rPr>
          <w:noProof/>
          <w:lang w:val="bg-BG"/>
        </w:rPr>
        <w:sectPr w:rsidR="00CE3BAD" w:rsidRPr="00782BF9" w:rsidSect="005D6408">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pPr>
    </w:p>
    <w:p w14:paraId="629BBF82" w14:textId="2D937B46" w:rsidR="00CE3BAD" w:rsidRPr="00782BF9" w:rsidRDefault="006B5475">
      <w:pPr>
        <w:pStyle w:val="Heading2"/>
        <w:ind w:left="0" w:firstLine="0"/>
        <w:rPr>
          <w:noProof/>
          <w:lang w:val="bg-BG"/>
        </w:rPr>
      </w:pPr>
      <w:r w:rsidRPr="00782BF9">
        <w:rPr>
          <w:noProof/>
          <w:lang w:val="bg-BG"/>
        </w:rPr>
        <w:t xml:space="preserve">А.2. </w:t>
      </w:r>
      <w:r w:rsidRPr="00782BF9">
        <w:rPr>
          <w:noProof/>
          <w:lang w:val="bg-BG"/>
        </w:rPr>
        <w:tab/>
        <w:t>Ключови етапи, цели, показатели и график за мониторинг и изпълнение на безвъзмездната финансова подкрепа</w:t>
      </w:r>
    </w:p>
    <w:p w14:paraId="0DED0A18" w14:textId="77777777" w:rsidR="00CE3BAD" w:rsidRPr="00782BF9" w:rsidRDefault="00CE3BAD">
      <w:pPr>
        <w:rPr>
          <w:noProof/>
          <w:lang w:val="bg-BG"/>
        </w:rPr>
      </w:pPr>
    </w:p>
    <w:tbl>
      <w:tblPr>
        <w:tblpPr w:leftFromText="180" w:rightFromText="180" w:vertAnchor="text" w:tblpXSpec="center" w:tblpY="1"/>
        <w:tblOverlap w:val="never"/>
        <w:tblW w:w="16124" w:type="dxa"/>
        <w:tblLook w:val="04A0" w:firstRow="1" w:lastRow="0" w:firstColumn="1" w:lastColumn="0" w:noHBand="0" w:noVBand="1"/>
      </w:tblPr>
      <w:tblGrid>
        <w:gridCol w:w="803"/>
        <w:gridCol w:w="1824"/>
        <w:gridCol w:w="926"/>
        <w:gridCol w:w="1824"/>
        <w:gridCol w:w="1723"/>
        <w:gridCol w:w="1047"/>
        <w:gridCol w:w="1412"/>
        <w:gridCol w:w="1054"/>
        <w:gridCol w:w="1166"/>
        <w:gridCol w:w="783"/>
        <w:gridCol w:w="3562"/>
      </w:tblGrid>
      <w:tr w:rsidR="00CE3BAD" w:rsidRPr="00782BF9" w14:paraId="2D1D1649" w14:textId="77777777">
        <w:trPr>
          <w:trHeight w:val="313"/>
          <w:tblHeader/>
        </w:trPr>
        <w:tc>
          <w:tcPr>
            <w:tcW w:w="8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0ECDE0" w14:textId="63BD3EEA" w:rsidR="00CE3BAD" w:rsidRPr="00782BF9" w:rsidRDefault="006B5475">
            <w:pPr>
              <w:pStyle w:val="P68B1DB1-Normal9"/>
              <w:spacing w:after="0" w:line="240" w:lineRule="auto"/>
              <w:jc w:val="center"/>
              <w:rPr>
                <w:rFonts w:eastAsia="Times New Roman"/>
                <w:noProof/>
                <w:lang w:val="bg-BG"/>
              </w:rPr>
            </w:pPr>
            <w:r w:rsidRPr="00782BF9">
              <w:rPr>
                <w:noProof/>
                <w:lang w:val="bg-BG"/>
              </w:rPr>
              <w:t>Номер в сл.</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FCB037"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Свързана мярка (реформа или инвестиции)</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00FD68" w14:textId="560DFD7B" w:rsidR="00CE3BAD" w:rsidRPr="00782BF9" w:rsidRDefault="006B5475">
            <w:pPr>
              <w:pStyle w:val="P68B1DB1-Normal9"/>
              <w:spacing w:after="0" w:line="240" w:lineRule="auto"/>
              <w:jc w:val="center"/>
              <w:rPr>
                <w:rFonts w:eastAsia="Times New Roman"/>
                <w:noProof/>
                <w:lang w:val="bg-BG"/>
              </w:rPr>
            </w:pPr>
            <w:r w:rsidRPr="00782BF9">
              <w:rPr>
                <w:noProof/>
                <w:lang w:val="bg-BG"/>
              </w:rPr>
              <w:t>Ключов етап</w:t>
            </w:r>
            <w:r w:rsidRPr="00782BF9">
              <w:rPr>
                <w:noProof/>
                <w:lang w:val="bg-BG"/>
              </w:rPr>
              <w:br/>
              <w:t>/Цел</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40646F0"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Име</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DC3BF5" w14:textId="77777777" w:rsidR="00CE3BAD" w:rsidRPr="00782BF9" w:rsidRDefault="006B5475">
            <w:pPr>
              <w:pStyle w:val="P68B1DB1-Normal10"/>
              <w:spacing w:after="0" w:line="240" w:lineRule="auto"/>
              <w:jc w:val="center"/>
              <w:rPr>
                <w:rFonts w:eastAsia="Times New Roman"/>
                <w:b/>
                <w:noProof/>
                <w:lang w:val="bg-BG"/>
              </w:rPr>
            </w:pPr>
            <w:r w:rsidRPr="00782BF9">
              <w:rPr>
                <w:b/>
                <w:noProof/>
                <w:lang w:val="bg-BG"/>
              </w:rPr>
              <w:t>Качествени индикатори</w:t>
            </w:r>
            <w:r w:rsidRPr="00782BF9">
              <w:rPr>
                <w:noProof/>
                <w:lang w:val="bg-BG"/>
              </w:rPr>
              <w:t xml:space="preserve"> </w:t>
            </w:r>
            <w:r w:rsidRPr="00782BF9">
              <w:rPr>
                <w:noProof/>
                <w:lang w:val="bg-BG"/>
              </w:rPr>
              <w:br/>
            </w:r>
            <w:r w:rsidRPr="00782BF9">
              <w:rPr>
                <w:b/>
                <w:noProof/>
                <w:lang w:val="bg-BG"/>
              </w:rPr>
              <w:t>(за ключовите етапи)</w:t>
            </w:r>
          </w:p>
        </w:tc>
        <w:tc>
          <w:tcPr>
            <w:tcW w:w="394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EF4E685" w14:textId="77777777" w:rsidR="00CE3BAD" w:rsidRPr="00782BF9" w:rsidRDefault="006B5475">
            <w:pPr>
              <w:pStyle w:val="P68B1DB1-Normal10"/>
              <w:spacing w:after="0" w:line="240" w:lineRule="auto"/>
              <w:jc w:val="center"/>
              <w:rPr>
                <w:rFonts w:eastAsia="Times New Roman"/>
                <w:b/>
                <w:noProof/>
                <w:lang w:val="bg-BG"/>
              </w:rPr>
            </w:pPr>
            <w:r w:rsidRPr="00782BF9">
              <w:rPr>
                <w:b/>
                <w:noProof/>
                <w:lang w:val="bg-BG"/>
              </w:rPr>
              <w:t>Количествени индикатори</w:t>
            </w:r>
            <w:r w:rsidRPr="00782BF9">
              <w:rPr>
                <w:noProof/>
                <w:lang w:val="bg-BG"/>
              </w:rPr>
              <w:t xml:space="preserve"> </w:t>
            </w:r>
            <w:r w:rsidRPr="00782BF9">
              <w:rPr>
                <w:noProof/>
                <w:lang w:val="bg-BG"/>
              </w:rPr>
              <w:br/>
            </w:r>
            <w:r w:rsidRPr="00782BF9">
              <w:rPr>
                <w:b/>
                <w:noProof/>
                <w:lang w:val="bg-BG"/>
              </w:rPr>
              <w:t>(за целите)</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643C3EDA" w14:textId="77777777" w:rsidR="00CE3BAD" w:rsidRPr="00782BF9" w:rsidRDefault="006B5475">
            <w:pPr>
              <w:pStyle w:val="P68B1DB1-Normal10"/>
              <w:spacing w:after="0" w:line="240" w:lineRule="auto"/>
              <w:jc w:val="center"/>
              <w:rPr>
                <w:rFonts w:eastAsia="Times New Roman"/>
                <w:b/>
                <w:noProof/>
                <w:lang w:val="bg-BG"/>
              </w:rPr>
            </w:pPr>
            <w:r w:rsidRPr="00782BF9">
              <w:rPr>
                <w:b/>
                <w:noProof/>
                <w:lang w:val="bg-BG"/>
              </w:rPr>
              <w:t>Примерен график за приключване</w:t>
            </w:r>
            <w:r w:rsidRPr="00782BF9">
              <w:rPr>
                <w:noProof/>
                <w:lang w:val="bg-BG"/>
              </w:rPr>
              <w:t xml:space="preserve"> </w:t>
            </w:r>
            <w:r w:rsidRPr="00782BF9">
              <w:rPr>
                <w:noProof/>
                <w:lang w:val="bg-BG"/>
              </w:rPr>
              <w:br/>
            </w:r>
          </w:p>
        </w:tc>
        <w:tc>
          <w:tcPr>
            <w:tcW w:w="42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44166C"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Описание на всеки ключов етап и цел</w:t>
            </w:r>
          </w:p>
        </w:tc>
      </w:tr>
      <w:tr w:rsidR="00CE3BAD" w:rsidRPr="00782BF9" w14:paraId="546DA3F8" w14:textId="77777777">
        <w:trPr>
          <w:trHeight w:val="491"/>
          <w:tblHeader/>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FECBB78" w14:textId="77777777" w:rsidR="00CE3BAD" w:rsidRPr="00782BF9" w:rsidRDefault="00CE3BAD">
            <w:pPr>
              <w:spacing w:after="0" w:line="240" w:lineRule="auto"/>
              <w:rPr>
                <w:rFonts w:eastAsia="Times New Roman" w:cstheme="minorHAnsi"/>
                <w:b/>
                <w:noProof/>
                <w:sz w:val="18"/>
                <w:lang w:val="bg-BG"/>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47E0D956" w14:textId="77777777" w:rsidR="00CE3BAD" w:rsidRPr="00782BF9" w:rsidRDefault="00CE3BAD">
            <w:pPr>
              <w:spacing w:after="0" w:line="240" w:lineRule="auto"/>
              <w:rPr>
                <w:rFonts w:eastAsia="Times New Roman" w:cstheme="minorHAnsi"/>
                <w:b/>
                <w:noProof/>
                <w:sz w:val="18"/>
                <w:lang w:val="bg-BG"/>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17FEA3EB" w14:textId="77777777" w:rsidR="00CE3BAD" w:rsidRPr="00782BF9" w:rsidRDefault="00CE3BAD">
            <w:pPr>
              <w:spacing w:after="0" w:line="240" w:lineRule="auto"/>
              <w:rPr>
                <w:rFonts w:eastAsia="Times New Roman" w:cstheme="minorHAnsi"/>
                <w:b/>
                <w:noProof/>
                <w:sz w:val="18"/>
                <w:lang w:val="bg-BG"/>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EE32286" w14:textId="77777777" w:rsidR="00CE3BAD" w:rsidRPr="00782BF9" w:rsidRDefault="00CE3BAD">
            <w:pPr>
              <w:spacing w:after="0" w:line="240" w:lineRule="auto"/>
              <w:rPr>
                <w:rFonts w:eastAsia="Times New Roman" w:cstheme="minorHAnsi"/>
                <w:b/>
                <w:noProof/>
                <w:sz w:val="18"/>
                <w:lang w:val="bg-BG"/>
              </w:rPr>
            </w:pPr>
          </w:p>
        </w:tc>
        <w:tc>
          <w:tcPr>
            <w:tcW w:w="1379" w:type="dxa"/>
            <w:vMerge/>
            <w:tcBorders>
              <w:top w:val="single" w:sz="4" w:space="0" w:color="auto"/>
              <w:left w:val="single" w:sz="4" w:space="0" w:color="auto"/>
              <w:bottom w:val="single" w:sz="4" w:space="0" w:color="auto"/>
            </w:tcBorders>
            <w:vAlign w:val="center"/>
            <w:hideMark/>
          </w:tcPr>
          <w:p w14:paraId="0AB03258" w14:textId="77777777" w:rsidR="00CE3BAD" w:rsidRPr="00782BF9" w:rsidRDefault="00CE3BAD">
            <w:pPr>
              <w:spacing w:after="0" w:line="240" w:lineRule="auto"/>
              <w:rPr>
                <w:rFonts w:eastAsia="Times New Roman" w:cstheme="minorHAnsi"/>
                <w:b/>
                <w:noProof/>
                <w:sz w:val="18"/>
                <w:lang w:val="bg-BG"/>
              </w:rPr>
            </w:pPr>
          </w:p>
        </w:tc>
        <w:tc>
          <w:tcPr>
            <w:tcW w:w="111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4880E45"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Единица мярка</w:t>
            </w:r>
          </w:p>
        </w:tc>
        <w:tc>
          <w:tcPr>
            <w:tcW w:w="1674" w:type="dxa"/>
            <w:tcBorders>
              <w:top w:val="single" w:sz="4" w:space="0" w:color="auto"/>
              <w:left w:val="nil"/>
              <w:bottom w:val="single" w:sz="4" w:space="0" w:color="auto"/>
              <w:right w:val="single" w:sz="4" w:space="0" w:color="auto"/>
            </w:tcBorders>
            <w:shd w:val="clear" w:color="auto" w:fill="BDD7EE"/>
            <w:vAlign w:val="center"/>
            <w:hideMark/>
          </w:tcPr>
          <w:p w14:paraId="12983EAB"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 xml:space="preserve">Базова линия </w:t>
            </w:r>
          </w:p>
        </w:tc>
        <w:tc>
          <w:tcPr>
            <w:tcW w:w="1161" w:type="dxa"/>
            <w:tcBorders>
              <w:top w:val="single" w:sz="4" w:space="0" w:color="auto"/>
              <w:left w:val="nil"/>
              <w:bottom w:val="single" w:sz="4" w:space="0" w:color="auto"/>
              <w:right w:val="single" w:sz="4" w:space="0" w:color="auto"/>
            </w:tcBorders>
            <w:shd w:val="clear" w:color="auto" w:fill="BDD7EE"/>
            <w:vAlign w:val="center"/>
            <w:hideMark/>
          </w:tcPr>
          <w:p w14:paraId="75A8D22D"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 xml:space="preserve">Цел </w:t>
            </w:r>
          </w:p>
        </w:tc>
        <w:tc>
          <w:tcPr>
            <w:tcW w:w="911" w:type="dxa"/>
            <w:tcBorders>
              <w:top w:val="single" w:sz="4" w:space="0" w:color="auto"/>
              <w:left w:val="nil"/>
              <w:bottom w:val="single" w:sz="4" w:space="0" w:color="auto"/>
              <w:right w:val="single" w:sz="4" w:space="0" w:color="auto"/>
            </w:tcBorders>
            <w:shd w:val="clear" w:color="auto" w:fill="BDD7EE"/>
            <w:vAlign w:val="center"/>
            <w:hideMark/>
          </w:tcPr>
          <w:p w14:paraId="6894010E"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Тримесечие</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10F967E8"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Година</w:t>
            </w:r>
          </w:p>
        </w:tc>
        <w:tc>
          <w:tcPr>
            <w:tcW w:w="4250" w:type="dxa"/>
            <w:vMerge/>
            <w:tcBorders>
              <w:top w:val="single" w:sz="4" w:space="0" w:color="auto"/>
              <w:bottom w:val="single" w:sz="4" w:space="0" w:color="auto"/>
              <w:right w:val="single" w:sz="4" w:space="0" w:color="auto"/>
            </w:tcBorders>
            <w:vAlign w:val="center"/>
            <w:hideMark/>
          </w:tcPr>
          <w:p w14:paraId="4B13DF63" w14:textId="77777777" w:rsidR="00CE3BAD" w:rsidRPr="00782BF9" w:rsidRDefault="00CE3BAD">
            <w:pPr>
              <w:spacing w:after="0" w:line="240" w:lineRule="auto"/>
              <w:rPr>
                <w:rFonts w:eastAsia="Times New Roman" w:cstheme="minorHAnsi"/>
                <w:b/>
                <w:noProof/>
                <w:sz w:val="18"/>
                <w:lang w:val="bg-BG"/>
              </w:rPr>
            </w:pPr>
          </w:p>
        </w:tc>
      </w:tr>
      <w:tr w:rsidR="00CE3BAD" w:rsidRPr="00782BF9" w14:paraId="641F9374" w14:textId="77777777">
        <w:trPr>
          <w:trHeight w:val="1852"/>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29EC505" w14:textId="6C17BFE0" w:rsidR="00CE3BAD" w:rsidRPr="00782BF9" w:rsidRDefault="006B5475">
            <w:pPr>
              <w:pStyle w:val="P68B1DB1-Normal10"/>
              <w:spacing w:after="0" w:line="240" w:lineRule="auto"/>
              <w:rPr>
                <w:rFonts w:eastAsia="Times New Roman"/>
                <w:noProof/>
                <w:lang w:val="bg-BG"/>
              </w:rPr>
            </w:pPr>
            <w:r w:rsidRPr="00782BF9">
              <w:rPr>
                <w:noProof/>
                <w:lang w:val="bg-BG"/>
              </w:rPr>
              <w:t>1</w:t>
            </w:r>
          </w:p>
        </w:tc>
        <w:tc>
          <w:tcPr>
            <w:tcW w:w="1246" w:type="dxa"/>
            <w:tcBorders>
              <w:top w:val="single" w:sz="4" w:space="0" w:color="auto"/>
              <w:left w:val="nil"/>
              <w:bottom w:val="single" w:sz="4" w:space="0" w:color="auto"/>
              <w:right w:val="single" w:sz="4" w:space="0" w:color="auto"/>
            </w:tcBorders>
            <w:shd w:val="clear" w:color="auto" w:fill="C6EFCE"/>
            <w:vAlign w:val="center"/>
            <w:hideMark/>
          </w:tcPr>
          <w:p w14:paraId="6FF91466" w14:textId="29D32F56" w:rsidR="00CE3BAD" w:rsidRPr="00782BF9" w:rsidRDefault="006B5475">
            <w:pPr>
              <w:pStyle w:val="P68B1DB1-Normal10"/>
              <w:spacing w:after="0" w:line="240" w:lineRule="auto"/>
              <w:rPr>
                <w:rFonts w:eastAsia="Times New Roman"/>
                <w:noProof/>
                <w:lang w:val="bg-BG"/>
              </w:rPr>
            </w:pPr>
            <w:r w:rsidRPr="00782BF9">
              <w:rPr>
                <w:noProof/>
                <w:lang w:val="bg-BG"/>
              </w:rPr>
              <w:t xml:space="preserve">В1.R1 Развитие на конкурентоспособно публично образование с използване на технологията на 21-ви век </w:t>
            </w:r>
          </w:p>
        </w:tc>
        <w:tc>
          <w:tcPr>
            <w:tcW w:w="971" w:type="dxa"/>
            <w:tcBorders>
              <w:top w:val="single" w:sz="4" w:space="0" w:color="auto"/>
              <w:left w:val="nil"/>
              <w:bottom w:val="single" w:sz="4" w:space="0" w:color="auto"/>
              <w:right w:val="single" w:sz="4" w:space="0" w:color="auto"/>
            </w:tcBorders>
            <w:shd w:val="clear" w:color="auto" w:fill="C6EFCE"/>
            <w:vAlign w:val="center"/>
            <w:hideMark/>
          </w:tcPr>
          <w:p w14:paraId="4190871D"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hideMark/>
          </w:tcPr>
          <w:p w14:paraId="609C3954"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Брой на цифровите преносими компютри, доставени за ползване от ученика или учителя </w:t>
            </w:r>
          </w:p>
        </w:tc>
        <w:tc>
          <w:tcPr>
            <w:tcW w:w="1379" w:type="dxa"/>
            <w:tcBorders>
              <w:top w:val="single" w:sz="4" w:space="0" w:color="auto"/>
              <w:left w:val="nil"/>
              <w:bottom w:val="single" w:sz="4" w:space="0" w:color="auto"/>
              <w:right w:val="single" w:sz="4" w:space="0" w:color="auto"/>
            </w:tcBorders>
            <w:shd w:val="clear" w:color="auto" w:fill="C6EFCE"/>
            <w:vAlign w:val="center"/>
            <w:hideMark/>
          </w:tcPr>
          <w:p w14:paraId="64502487" w14:textId="77777777" w:rsidR="00CE3BAD" w:rsidRPr="00782BF9" w:rsidRDefault="00CE3BAD">
            <w:pPr>
              <w:spacing w:after="0" w:line="240" w:lineRule="auto"/>
              <w:rPr>
                <w:rFonts w:eastAsia="Times New Roman" w:cstheme="minorHAnsi"/>
                <w:noProof/>
                <w:sz w:val="18"/>
                <w:lang w:val="bg-BG"/>
              </w:rPr>
            </w:pPr>
          </w:p>
        </w:tc>
        <w:tc>
          <w:tcPr>
            <w:tcW w:w="1112" w:type="dxa"/>
            <w:tcBorders>
              <w:top w:val="nil"/>
              <w:left w:val="nil"/>
              <w:bottom w:val="single" w:sz="4" w:space="0" w:color="auto"/>
              <w:right w:val="single" w:sz="4" w:space="0" w:color="auto"/>
            </w:tcBorders>
            <w:shd w:val="clear" w:color="auto" w:fill="C6EFCE"/>
            <w:vAlign w:val="center"/>
            <w:hideMark/>
          </w:tcPr>
          <w:p w14:paraId="71964726"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674" w:type="dxa"/>
            <w:tcBorders>
              <w:top w:val="nil"/>
              <w:left w:val="nil"/>
              <w:bottom w:val="single" w:sz="4" w:space="0" w:color="auto"/>
              <w:right w:val="single" w:sz="4" w:space="0" w:color="auto"/>
            </w:tcBorders>
            <w:shd w:val="clear" w:color="auto" w:fill="C6EFCE"/>
            <w:vAlign w:val="center"/>
            <w:hideMark/>
          </w:tcPr>
          <w:p w14:paraId="2D348387"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61" w:type="dxa"/>
            <w:tcBorders>
              <w:top w:val="nil"/>
              <w:left w:val="nil"/>
              <w:bottom w:val="single" w:sz="4" w:space="0" w:color="auto"/>
              <w:right w:val="single" w:sz="4" w:space="0" w:color="auto"/>
            </w:tcBorders>
            <w:shd w:val="clear" w:color="auto" w:fill="C6EFCE"/>
            <w:vAlign w:val="center"/>
            <w:hideMark/>
          </w:tcPr>
          <w:p w14:paraId="52A69C4C" w14:textId="01A0BDCB" w:rsidR="00CE3BAD" w:rsidRPr="00782BF9" w:rsidRDefault="006B5475">
            <w:pPr>
              <w:pStyle w:val="P68B1DB1-Normal10"/>
              <w:spacing w:after="0" w:line="240" w:lineRule="auto"/>
              <w:rPr>
                <w:rFonts w:eastAsia="Times New Roman"/>
                <w:noProof/>
                <w:lang w:val="bg-BG"/>
              </w:rPr>
            </w:pPr>
            <w:r w:rsidRPr="00782BF9">
              <w:rPr>
                <w:noProof/>
                <w:lang w:val="bg-BG"/>
              </w:rPr>
              <w:t xml:space="preserve">120 000 </w:t>
            </w:r>
          </w:p>
        </w:tc>
        <w:tc>
          <w:tcPr>
            <w:tcW w:w="911" w:type="dxa"/>
            <w:tcBorders>
              <w:top w:val="nil"/>
              <w:left w:val="nil"/>
              <w:bottom w:val="single" w:sz="4" w:space="0" w:color="auto"/>
              <w:right w:val="single" w:sz="4" w:space="0" w:color="auto"/>
            </w:tcBorders>
            <w:shd w:val="clear" w:color="auto" w:fill="C6EFCE"/>
            <w:vAlign w:val="center"/>
            <w:hideMark/>
          </w:tcPr>
          <w:p w14:paraId="5CC6E9AC"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nil"/>
              <w:left w:val="nil"/>
              <w:bottom w:val="single" w:sz="4" w:space="0" w:color="auto"/>
              <w:right w:val="single" w:sz="4" w:space="0" w:color="auto"/>
            </w:tcBorders>
            <w:shd w:val="clear" w:color="auto" w:fill="C6EFCE"/>
            <w:vAlign w:val="center"/>
            <w:hideMark/>
          </w:tcPr>
          <w:p w14:paraId="55FF520F" w14:textId="77777777" w:rsidR="00CE3BAD" w:rsidRPr="00782BF9" w:rsidRDefault="006B5475">
            <w:pPr>
              <w:pStyle w:val="P68B1DB1-Normal10"/>
              <w:spacing w:after="0" w:line="240" w:lineRule="auto"/>
              <w:rPr>
                <w:rFonts w:eastAsia="Times New Roman"/>
                <w:noProof/>
                <w:lang w:val="bg-BG"/>
              </w:rPr>
            </w:pPr>
            <w:r w:rsidRPr="00782BF9">
              <w:rPr>
                <w:noProof/>
                <w:lang w:val="bg-BG"/>
              </w:rPr>
              <w:t>2022</w:t>
            </w:r>
          </w:p>
        </w:tc>
        <w:tc>
          <w:tcPr>
            <w:tcW w:w="4250" w:type="dxa"/>
            <w:tcBorders>
              <w:top w:val="single" w:sz="4" w:space="0" w:color="auto"/>
              <w:left w:val="nil"/>
              <w:bottom w:val="single" w:sz="4" w:space="0" w:color="auto"/>
              <w:right w:val="single" w:sz="4" w:space="0" w:color="auto"/>
            </w:tcBorders>
            <w:shd w:val="clear" w:color="auto" w:fill="C6EFCE"/>
            <w:vAlign w:val="center"/>
            <w:hideMark/>
          </w:tcPr>
          <w:p w14:paraId="3EFBFCD7" w14:textId="1077914D"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Най-малко 120 000 цифрови преносими компютри (стандартни и 2-ин-1 вида) се закупуват и доставят в училищните учебни заведения, за използване от ученици в деветте класове (за учебни цели), за ползване от учители (за целите на преподаване), за разработване от училищата на класни стаи в областта на информационните технологии и за центъра за училищна администрация (Klebersberg Központ). Преносимите компютри се доставят през учебната 2021/2022 година. Учениците трябва да могат да съхраняват преносимите компютри до завършване на училищното си образование и след това да ги предават на новите групи. Делът на учениците, получаващи персонално ИКТ устройство, трябва да бъде най-малко 90 % сред учениците в неравностойно положение. Делът на учителите, получаващи персонално ИКТ устройство, трябва да бъде най-малко 90 % сред учителите, които кандидатстват за устройство в училища, в които делът на учениците в неравностойно положение е над средния, и сред учителите, кандидатстващи за устройство, които не са получили персонално ИКТ устройство през трите учебни години, предхождащи учебната 2021/2022 година. </w:t>
            </w:r>
          </w:p>
        </w:tc>
      </w:tr>
      <w:tr w:rsidR="00CE3BAD" w:rsidRPr="00782BF9" w14:paraId="14674BDC" w14:textId="77777777">
        <w:trPr>
          <w:trHeight w:val="1852"/>
        </w:trPr>
        <w:tc>
          <w:tcPr>
            <w:tcW w:w="829" w:type="dxa"/>
            <w:tcBorders>
              <w:top w:val="nil"/>
              <w:left w:val="single" w:sz="4" w:space="0" w:color="auto"/>
              <w:bottom w:val="single" w:sz="4" w:space="0" w:color="auto"/>
              <w:right w:val="single" w:sz="4" w:space="0" w:color="auto"/>
            </w:tcBorders>
            <w:shd w:val="clear" w:color="auto" w:fill="C6EFCE"/>
            <w:vAlign w:val="center"/>
          </w:tcPr>
          <w:p w14:paraId="78E7C6E8" w14:textId="76D46836" w:rsidR="00CE3BAD" w:rsidRPr="00782BF9" w:rsidRDefault="006B5475">
            <w:pPr>
              <w:pStyle w:val="P68B1DB1-Normal10"/>
              <w:spacing w:after="0" w:line="240" w:lineRule="auto"/>
              <w:rPr>
                <w:rFonts w:eastAsia="Times New Roman"/>
                <w:noProof/>
                <w:lang w:val="bg-BG"/>
              </w:rPr>
            </w:pPr>
            <w:r w:rsidRPr="00782BF9">
              <w:rPr>
                <w:noProof/>
                <w:lang w:val="bg-BG"/>
              </w:rPr>
              <w:t>2</w:t>
            </w:r>
          </w:p>
        </w:tc>
        <w:tc>
          <w:tcPr>
            <w:tcW w:w="1246" w:type="dxa"/>
            <w:tcBorders>
              <w:top w:val="nil"/>
              <w:left w:val="nil"/>
              <w:bottom w:val="single" w:sz="4" w:space="0" w:color="auto"/>
              <w:right w:val="single" w:sz="4" w:space="0" w:color="auto"/>
            </w:tcBorders>
            <w:shd w:val="clear" w:color="auto" w:fill="C6EFCE"/>
            <w:vAlign w:val="center"/>
          </w:tcPr>
          <w:p w14:paraId="6EC698B5" w14:textId="7318725D" w:rsidR="00CE3BAD" w:rsidRPr="00782BF9" w:rsidRDefault="006B5475">
            <w:pPr>
              <w:pStyle w:val="P68B1DB1-Normal10"/>
              <w:spacing w:after="0" w:line="240" w:lineRule="auto"/>
              <w:rPr>
                <w:rFonts w:eastAsia="Times New Roman"/>
                <w:noProof/>
                <w:lang w:val="bg-BG"/>
              </w:rPr>
            </w:pPr>
            <w:r w:rsidRPr="00782BF9">
              <w:rPr>
                <w:noProof/>
                <w:lang w:val="bg-BG"/>
              </w:rPr>
              <w:t>В1.R1 Развитие на конкурентоспособно публично образование с използване на технологията на 21-ви век</w:t>
            </w:r>
          </w:p>
        </w:tc>
        <w:tc>
          <w:tcPr>
            <w:tcW w:w="971" w:type="dxa"/>
            <w:tcBorders>
              <w:top w:val="nil"/>
              <w:left w:val="nil"/>
              <w:bottom w:val="single" w:sz="4" w:space="0" w:color="auto"/>
              <w:right w:val="single" w:sz="4" w:space="0" w:color="auto"/>
            </w:tcBorders>
            <w:shd w:val="clear" w:color="auto" w:fill="C6EFCE"/>
            <w:vAlign w:val="center"/>
          </w:tcPr>
          <w:p w14:paraId="53DD3D48" w14:textId="40726A25"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882" w:type="dxa"/>
            <w:tcBorders>
              <w:top w:val="nil"/>
              <w:left w:val="nil"/>
              <w:bottom w:val="single" w:sz="4" w:space="0" w:color="auto"/>
              <w:right w:val="single" w:sz="4" w:space="0" w:color="auto"/>
            </w:tcBorders>
            <w:shd w:val="clear" w:color="auto" w:fill="C6EFCE"/>
            <w:vAlign w:val="center"/>
          </w:tcPr>
          <w:p w14:paraId="6984D1CA" w14:textId="005ED9A6" w:rsidR="00CE3BAD" w:rsidRPr="00782BF9" w:rsidRDefault="006B5475">
            <w:pPr>
              <w:pStyle w:val="P68B1DB1-Normal10"/>
              <w:spacing w:after="0" w:line="240" w:lineRule="auto"/>
              <w:rPr>
                <w:rFonts w:eastAsia="Times New Roman"/>
                <w:noProof/>
                <w:lang w:val="bg-BG"/>
              </w:rPr>
            </w:pPr>
            <w:r w:rsidRPr="00782BF9">
              <w:rPr>
                <w:noProof/>
                <w:lang w:val="bg-BG"/>
              </w:rPr>
              <w:t>Разработване на стратегия за проверка на имущественото състояние за предоставяне на цифрови преносими компютри на учениците</w:t>
            </w:r>
          </w:p>
        </w:tc>
        <w:tc>
          <w:tcPr>
            <w:tcW w:w="1379" w:type="dxa"/>
            <w:tcBorders>
              <w:top w:val="nil"/>
              <w:left w:val="nil"/>
              <w:bottom w:val="single" w:sz="4" w:space="0" w:color="auto"/>
              <w:right w:val="single" w:sz="4" w:space="0" w:color="auto"/>
            </w:tcBorders>
            <w:shd w:val="clear" w:color="auto" w:fill="C6EFCE"/>
            <w:vAlign w:val="center"/>
          </w:tcPr>
          <w:p w14:paraId="27711C09" w14:textId="51D05E5D" w:rsidR="00CE3BAD" w:rsidRPr="00782BF9" w:rsidRDefault="006B5475">
            <w:pPr>
              <w:pStyle w:val="P68B1DB1-Normal10"/>
              <w:spacing w:after="0" w:line="240" w:lineRule="auto"/>
              <w:rPr>
                <w:rFonts w:eastAsia="Times New Roman" w:cstheme="minorHAnsi"/>
                <w:noProof/>
                <w:lang w:val="bg-BG"/>
              </w:rPr>
            </w:pPr>
            <w:r w:rsidRPr="00782BF9">
              <w:rPr>
                <w:noProof/>
                <w:lang w:val="bg-BG"/>
              </w:rPr>
              <w:t>Публикуване на стратегията</w:t>
            </w:r>
          </w:p>
        </w:tc>
        <w:tc>
          <w:tcPr>
            <w:tcW w:w="1112" w:type="dxa"/>
            <w:tcBorders>
              <w:top w:val="nil"/>
              <w:left w:val="nil"/>
              <w:bottom w:val="single" w:sz="4" w:space="0" w:color="auto"/>
              <w:right w:val="single" w:sz="4" w:space="0" w:color="auto"/>
            </w:tcBorders>
            <w:shd w:val="clear" w:color="auto" w:fill="C6EFCE"/>
            <w:vAlign w:val="center"/>
          </w:tcPr>
          <w:p w14:paraId="394D3D18" w14:textId="77777777" w:rsidR="00CE3BAD" w:rsidRPr="00782BF9" w:rsidRDefault="00CE3BAD">
            <w:pPr>
              <w:spacing w:after="0" w:line="240" w:lineRule="auto"/>
              <w:rPr>
                <w:rFonts w:eastAsia="Times New Roman"/>
                <w:noProof/>
                <w:sz w:val="18"/>
                <w:lang w:val="bg-BG"/>
              </w:rPr>
            </w:pPr>
          </w:p>
        </w:tc>
        <w:tc>
          <w:tcPr>
            <w:tcW w:w="1674" w:type="dxa"/>
            <w:tcBorders>
              <w:top w:val="nil"/>
              <w:left w:val="nil"/>
              <w:bottom w:val="single" w:sz="4" w:space="0" w:color="auto"/>
              <w:right w:val="single" w:sz="4" w:space="0" w:color="auto"/>
            </w:tcBorders>
            <w:shd w:val="clear" w:color="auto" w:fill="C6EFCE"/>
            <w:vAlign w:val="center"/>
          </w:tcPr>
          <w:p w14:paraId="632D818E" w14:textId="77777777" w:rsidR="00CE3BAD" w:rsidRPr="00782BF9" w:rsidRDefault="00CE3BAD">
            <w:pPr>
              <w:spacing w:after="0" w:line="240" w:lineRule="auto"/>
              <w:rPr>
                <w:rFonts w:eastAsia="Times New Roman"/>
                <w:noProof/>
                <w:sz w:val="18"/>
                <w:lang w:val="bg-BG"/>
              </w:rPr>
            </w:pPr>
          </w:p>
        </w:tc>
        <w:tc>
          <w:tcPr>
            <w:tcW w:w="1161" w:type="dxa"/>
            <w:tcBorders>
              <w:top w:val="nil"/>
              <w:left w:val="nil"/>
              <w:bottom w:val="single" w:sz="4" w:space="0" w:color="auto"/>
              <w:right w:val="single" w:sz="4" w:space="0" w:color="auto"/>
            </w:tcBorders>
            <w:shd w:val="clear" w:color="auto" w:fill="C6EFCE"/>
            <w:vAlign w:val="center"/>
          </w:tcPr>
          <w:p w14:paraId="63D01B7F" w14:textId="77777777" w:rsidR="00CE3BAD" w:rsidRPr="00782BF9" w:rsidRDefault="00CE3BAD">
            <w:pPr>
              <w:spacing w:after="0" w:line="240" w:lineRule="auto"/>
              <w:rPr>
                <w:rFonts w:eastAsia="Times New Roman"/>
                <w:noProof/>
                <w:sz w:val="18"/>
                <w:lang w:val="bg-BG"/>
              </w:rPr>
            </w:pPr>
          </w:p>
        </w:tc>
        <w:tc>
          <w:tcPr>
            <w:tcW w:w="911" w:type="dxa"/>
            <w:tcBorders>
              <w:top w:val="nil"/>
              <w:left w:val="nil"/>
              <w:bottom w:val="single" w:sz="4" w:space="0" w:color="auto"/>
              <w:right w:val="single" w:sz="4" w:space="0" w:color="auto"/>
            </w:tcBorders>
            <w:shd w:val="clear" w:color="auto" w:fill="C6EFCE"/>
            <w:vAlign w:val="center"/>
          </w:tcPr>
          <w:p w14:paraId="41BBBB17" w14:textId="41C1044E" w:rsidR="00CE3BAD" w:rsidRPr="00782BF9" w:rsidRDefault="006B5475">
            <w:pPr>
              <w:pStyle w:val="P68B1DB1-Normal10"/>
              <w:spacing w:after="0" w:line="240" w:lineRule="auto"/>
              <w:rPr>
                <w:rFonts w:eastAsia="Times New Roman"/>
                <w:noProof/>
                <w:lang w:val="bg-BG"/>
              </w:rPr>
            </w:pPr>
            <w:r w:rsidRPr="00782BF9">
              <w:rPr>
                <w:noProof/>
                <w:lang w:val="bg-BG"/>
              </w:rPr>
              <w:t>Т4 Г.</w:t>
            </w:r>
          </w:p>
        </w:tc>
        <w:tc>
          <w:tcPr>
            <w:tcW w:w="709" w:type="dxa"/>
            <w:tcBorders>
              <w:top w:val="nil"/>
              <w:left w:val="nil"/>
              <w:bottom w:val="single" w:sz="4" w:space="0" w:color="auto"/>
              <w:right w:val="single" w:sz="4" w:space="0" w:color="auto"/>
            </w:tcBorders>
            <w:shd w:val="clear" w:color="auto" w:fill="C6EFCE"/>
            <w:vAlign w:val="center"/>
          </w:tcPr>
          <w:p w14:paraId="5A054708" w14:textId="24CF097E" w:rsidR="00CE3BAD" w:rsidRPr="00782BF9" w:rsidRDefault="006B5475">
            <w:pPr>
              <w:pStyle w:val="P68B1DB1-Normal10"/>
              <w:spacing w:after="0" w:line="240" w:lineRule="auto"/>
              <w:rPr>
                <w:rFonts w:eastAsia="Times New Roman"/>
                <w:noProof/>
                <w:lang w:val="bg-BG"/>
              </w:rPr>
            </w:pPr>
            <w:r w:rsidRPr="00782BF9">
              <w:rPr>
                <w:noProof/>
                <w:lang w:val="bg-BG"/>
              </w:rPr>
              <w:t>2022</w:t>
            </w:r>
          </w:p>
        </w:tc>
        <w:tc>
          <w:tcPr>
            <w:tcW w:w="4250" w:type="dxa"/>
            <w:tcBorders>
              <w:top w:val="nil"/>
              <w:left w:val="nil"/>
              <w:bottom w:val="single" w:sz="4" w:space="0" w:color="auto"/>
              <w:right w:val="single" w:sz="4" w:space="0" w:color="auto"/>
            </w:tcBorders>
            <w:shd w:val="clear" w:color="auto" w:fill="C6EFCE"/>
            <w:vAlign w:val="center"/>
          </w:tcPr>
          <w:p w14:paraId="1782EA68" w14:textId="35ABE27E"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Разработва се и се публикува стратегия за проверка на имущественото състояние за разпределянето на цифрови преносими компютри на учениците. В стратегията се посочва, наред с другото, че учениците с неравностоен произход и без цифров преносим компютър имат най-висок приоритет при приемането на такова устройство. </w:t>
            </w:r>
          </w:p>
        </w:tc>
      </w:tr>
      <w:tr w:rsidR="00CE3BAD" w:rsidRPr="00782BF9" w14:paraId="6E6661BB" w14:textId="77777777">
        <w:trPr>
          <w:trHeight w:val="772"/>
        </w:trPr>
        <w:tc>
          <w:tcPr>
            <w:tcW w:w="829" w:type="dxa"/>
            <w:tcBorders>
              <w:top w:val="nil"/>
              <w:left w:val="single" w:sz="4" w:space="0" w:color="auto"/>
              <w:bottom w:val="single" w:sz="4" w:space="0" w:color="auto"/>
              <w:right w:val="single" w:sz="4" w:space="0" w:color="auto"/>
            </w:tcBorders>
            <w:shd w:val="clear" w:color="auto" w:fill="C6EFCE"/>
            <w:vAlign w:val="center"/>
            <w:hideMark/>
          </w:tcPr>
          <w:p w14:paraId="38E23502" w14:textId="3E1E828A" w:rsidR="00CE3BAD" w:rsidRPr="00782BF9" w:rsidRDefault="006B5475">
            <w:pPr>
              <w:pStyle w:val="P68B1DB1-Normal10"/>
              <w:spacing w:line="240" w:lineRule="auto"/>
              <w:rPr>
                <w:rFonts w:eastAsia="Times New Roman"/>
                <w:noProof/>
                <w:lang w:val="bg-BG"/>
              </w:rPr>
            </w:pPr>
            <w:r w:rsidRPr="00782BF9">
              <w:rPr>
                <w:noProof/>
                <w:lang w:val="bg-BG"/>
              </w:rPr>
              <w:t>3</w:t>
            </w:r>
          </w:p>
        </w:tc>
        <w:tc>
          <w:tcPr>
            <w:tcW w:w="1246" w:type="dxa"/>
            <w:tcBorders>
              <w:top w:val="nil"/>
              <w:left w:val="nil"/>
              <w:bottom w:val="single" w:sz="4" w:space="0" w:color="auto"/>
              <w:right w:val="single" w:sz="4" w:space="0" w:color="auto"/>
            </w:tcBorders>
            <w:shd w:val="clear" w:color="auto" w:fill="C6EFCE"/>
            <w:vAlign w:val="center"/>
            <w:hideMark/>
          </w:tcPr>
          <w:p w14:paraId="563C0330" w14:textId="0A332F00" w:rsidR="00CE3BAD" w:rsidRPr="00782BF9" w:rsidRDefault="006B5475">
            <w:pPr>
              <w:pStyle w:val="P68B1DB1-Normal10"/>
              <w:spacing w:line="240" w:lineRule="auto"/>
              <w:rPr>
                <w:rFonts w:eastAsia="Times New Roman"/>
                <w:noProof/>
                <w:lang w:val="bg-BG"/>
              </w:rPr>
            </w:pPr>
            <w:r w:rsidRPr="00782BF9">
              <w:rPr>
                <w:noProof/>
                <w:lang w:val="bg-BG"/>
              </w:rPr>
              <w:t>В1.R1 Развитие на конкурентоспособно публично образование с използване на технологията на 21-ви век</w:t>
            </w:r>
          </w:p>
        </w:tc>
        <w:tc>
          <w:tcPr>
            <w:tcW w:w="971" w:type="dxa"/>
            <w:tcBorders>
              <w:top w:val="nil"/>
              <w:left w:val="nil"/>
              <w:bottom w:val="single" w:sz="4" w:space="0" w:color="auto"/>
              <w:right w:val="single" w:sz="4" w:space="0" w:color="auto"/>
            </w:tcBorders>
            <w:shd w:val="clear" w:color="auto" w:fill="C6EFCE"/>
            <w:vAlign w:val="center"/>
            <w:hideMark/>
          </w:tcPr>
          <w:p w14:paraId="594E5F95" w14:textId="208364AA" w:rsidR="00CE3BAD" w:rsidRPr="00782BF9" w:rsidRDefault="006B5475">
            <w:pPr>
              <w:pStyle w:val="P68B1DB1-Normal10"/>
              <w:spacing w:line="240" w:lineRule="auto"/>
              <w:rPr>
                <w:rFonts w:eastAsia="Times New Roman"/>
                <w:noProof/>
                <w:lang w:val="bg-BG"/>
              </w:rPr>
            </w:pPr>
            <w:r w:rsidRPr="00782BF9">
              <w:rPr>
                <w:noProof/>
                <w:lang w:val="bg-BG"/>
              </w:rPr>
              <w:t>Целеви</w:t>
            </w:r>
          </w:p>
        </w:tc>
        <w:tc>
          <w:tcPr>
            <w:tcW w:w="1882" w:type="dxa"/>
            <w:tcBorders>
              <w:top w:val="nil"/>
              <w:left w:val="nil"/>
              <w:bottom w:val="single" w:sz="4" w:space="0" w:color="auto"/>
              <w:right w:val="single" w:sz="4" w:space="0" w:color="auto"/>
            </w:tcBorders>
            <w:shd w:val="clear" w:color="auto" w:fill="C6EFCE"/>
            <w:vAlign w:val="center"/>
            <w:hideMark/>
          </w:tcPr>
          <w:p w14:paraId="4AF367B9" w14:textId="6A572E7B" w:rsidR="00CE3BAD" w:rsidRPr="00782BF9" w:rsidRDefault="006B5475">
            <w:pPr>
              <w:pStyle w:val="P68B1DB1-Normal10"/>
              <w:spacing w:after="0" w:line="240" w:lineRule="auto"/>
              <w:rPr>
                <w:rFonts w:eastAsia="Times New Roman"/>
                <w:noProof/>
                <w:lang w:val="bg-BG"/>
              </w:rPr>
            </w:pPr>
            <w:r w:rsidRPr="00782BF9">
              <w:rPr>
                <w:noProof/>
                <w:lang w:val="bg-BG"/>
              </w:rPr>
              <w:t>Дял на учителите, използващи информационни и комуникационни технологии, в поне 40 % от своите класове</w:t>
            </w:r>
          </w:p>
        </w:tc>
        <w:tc>
          <w:tcPr>
            <w:tcW w:w="1379" w:type="dxa"/>
            <w:tcBorders>
              <w:top w:val="nil"/>
              <w:left w:val="nil"/>
              <w:bottom w:val="single" w:sz="4" w:space="0" w:color="auto"/>
              <w:right w:val="single" w:sz="4" w:space="0" w:color="auto"/>
            </w:tcBorders>
            <w:shd w:val="clear" w:color="auto" w:fill="C6EFCE"/>
            <w:vAlign w:val="center"/>
            <w:hideMark/>
          </w:tcPr>
          <w:p w14:paraId="1BB05314" w14:textId="265AF0BF" w:rsidR="00CE3BAD" w:rsidRPr="00782BF9" w:rsidRDefault="00CE3BAD">
            <w:pPr>
              <w:spacing w:line="240" w:lineRule="auto"/>
              <w:rPr>
                <w:rFonts w:eastAsia="Times New Roman"/>
                <w:noProof/>
                <w:sz w:val="18"/>
                <w:lang w:val="bg-BG"/>
              </w:rPr>
            </w:pPr>
          </w:p>
        </w:tc>
        <w:tc>
          <w:tcPr>
            <w:tcW w:w="1112" w:type="dxa"/>
            <w:tcBorders>
              <w:top w:val="nil"/>
              <w:left w:val="nil"/>
              <w:bottom w:val="single" w:sz="4" w:space="0" w:color="auto"/>
              <w:right w:val="single" w:sz="4" w:space="0" w:color="auto"/>
            </w:tcBorders>
            <w:shd w:val="clear" w:color="auto" w:fill="C6EFCE"/>
            <w:vAlign w:val="center"/>
            <w:hideMark/>
          </w:tcPr>
          <w:p w14:paraId="67D9C51D" w14:textId="681B64AA" w:rsidR="00CE3BAD" w:rsidRPr="00782BF9" w:rsidRDefault="006B5475">
            <w:pPr>
              <w:pStyle w:val="P68B1DB1-Normal10"/>
              <w:spacing w:line="240" w:lineRule="auto"/>
              <w:rPr>
                <w:rFonts w:eastAsia="Times New Roman"/>
                <w:noProof/>
                <w:lang w:val="bg-BG"/>
              </w:rPr>
            </w:pPr>
            <w:r w:rsidRPr="00782BF9">
              <w:rPr>
                <w:noProof/>
                <w:lang w:val="bg-BG"/>
              </w:rPr>
              <w:t>%</w:t>
            </w:r>
          </w:p>
        </w:tc>
        <w:tc>
          <w:tcPr>
            <w:tcW w:w="1674" w:type="dxa"/>
            <w:tcBorders>
              <w:top w:val="nil"/>
              <w:left w:val="nil"/>
              <w:bottom w:val="single" w:sz="4" w:space="0" w:color="auto"/>
              <w:right w:val="single" w:sz="4" w:space="0" w:color="auto"/>
            </w:tcBorders>
            <w:shd w:val="clear" w:color="auto" w:fill="C6EFCE"/>
            <w:vAlign w:val="center"/>
            <w:hideMark/>
          </w:tcPr>
          <w:p w14:paraId="389B28B7" w14:textId="71DD8EE8" w:rsidR="00CE3BAD" w:rsidRPr="00782BF9" w:rsidRDefault="006B5475">
            <w:pPr>
              <w:pStyle w:val="P68B1DB1-Normal10"/>
              <w:spacing w:line="240" w:lineRule="auto"/>
              <w:rPr>
                <w:rFonts w:eastAsia="Times New Roman"/>
                <w:noProof/>
                <w:lang w:val="bg-BG"/>
              </w:rPr>
            </w:pPr>
            <w:r w:rsidRPr="00782BF9">
              <w:rPr>
                <w:noProof/>
                <w:lang w:val="bg-BG"/>
              </w:rPr>
              <w:t>33</w:t>
            </w:r>
          </w:p>
        </w:tc>
        <w:tc>
          <w:tcPr>
            <w:tcW w:w="1161" w:type="dxa"/>
            <w:tcBorders>
              <w:top w:val="nil"/>
              <w:left w:val="nil"/>
              <w:bottom w:val="single" w:sz="4" w:space="0" w:color="auto"/>
              <w:right w:val="single" w:sz="4" w:space="0" w:color="auto"/>
            </w:tcBorders>
            <w:shd w:val="clear" w:color="auto" w:fill="C6EFCE"/>
            <w:vAlign w:val="center"/>
            <w:hideMark/>
          </w:tcPr>
          <w:p w14:paraId="0D702478" w14:textId="59718C02" w:rsidR="00CE3BAD" w:rsidRPr="00782BF9" w:rsidRDefault="006B5475">
            <w:pPr>
              <w:pStyle w:val="P68B1DB1-Normal10"/>
              <w:spacing w:line="240" w:lineRule="auto"/>
              <w:rPr>
                <w:rFonts w:eastAsia="Times New Roman"/>
                <w:noProof/>
                <w:lang w:val="bg-BG"/>
              </w:rPr>
            </w:pPr>
            <w:r w:rsidRPr="00782BF9">
              <w:rPr>
                <w:noProof/>
                <w:lang w:val="bg-BG"/>
              </w:rPr>
              <w:t>35</w:t>
            </w:r>
          </w:p>
        </w:tc>
        <w:tc>
          <w:tcPr>
            <w:tcW w:w="911" w:type="dxa"/>
            <w:tcBorders>
              <w:top w:val="nil"/>
              <w:left w:val="nil"/>
              <w:bottom w:val="single" w:sz="4" w:space="0" w:color="auto"/>
              <w:right w:val="single" w:sz="4" w:space="0" w:color="auto"/>
            </w:tcBorders>
            <w:shd w:val="clear" w:color="auto" w:fill="C6EFCE"/>
            <w:vAlign w:val="center"/>
            <w:hideMark/>
          </w:tcPr>
          <w:p w14:paraId="1F156DD7" w14:textId="4303C0E8" w:rsidR="00CE3BAD" w:rsidRPr="00782BF9" w:rsidRDefault="006B5475">
            <w:pPr>
              <w:pStyle w:val="P68B1DB1-Normal10"/>
              <w:spacing w:line="240" w:lineRule="auto"/>
              <w:rPr>
                <w:rFonts w:eastAsia="Times New Roman"/>
                <w:noProof/>
                <w:lang w:val="bg-BG"/>
              </w:rPr>
            </w:pPr>
            <w:r w:rsidRPr="00782BF9">
              <w:rPr>
                <w:noProof/>
                <w:lang w:val="bg-BG"/>
              </w:rPr>
              <w:t>Т4 Г.</w:t>
            </w:r>
          </w:p>
        </w:tc>
        <w:tc>
          <w:tcPr>
            <w:tcW w:w="709" w:type="dxa"/>
            <w:tcBorders>
              <w:top w:val="nil"/>
              <w:left w:val="nil"/>
              <w:bottom w:val="single" w:sz="4" w:space="0" w:color="auto"/>
              <w:right w:val="single" w:sz="4" w:space="0" w:color="auto"/>
            </w:tcBorders>
            <w:shd w:val="clear" w:color="auto" w:fill="C6EFCE"/>
            <w:vAlign w:val="center"/>
            <w:hideMark/>
          </w:tcPr>
          <w:p w14:paraId="68F8748E" w14:textId="0C0CDAD5" w:rsidR="00CE3BAD" w:rsidRPr="00782BF9" w:rsidRDefault="006B5475">
            <w:pPr>
              <w:pStyle w:val="P68B1DB1-Normal10"/>
              <w:spacing w:line="240" w:lineRule="auto"/>
              <w:rPr>
                <w:rFonts w:eastAsia="Times New Roman"/>
                <w:noProof/>
                <w:lang w:val="bg-BG"/>
              </w:rPr>
            </w:pPr>
            <w:r w:rsidRPr="00782BF9">
              <w:rPr>
                <w:noProof/>
                <w:lang w:val="bg-BG"/>
              </w:rPr>
              <w:t>2023</w:t>
            </w:r>
          </w:p>
        </w:tc>
        <w:tc>
          <w:tcPr>
            <w:tcW w:w="4250" w:type="dxa"/>
            <w:tcBorders>
              <w:top w:val="nil"/>
              <w:left w:val="nil"/>
              <w:bottom w:val="single" w:sz="4" w:space="0" w:color="auto"/>
              <w:right w:val="single" w:sz="4" w:space="0" w:color="auto"/>
            </w:tcBorders>
            <w:shd w:val="clear" w:color="auto" w:fill="C6EFCE"/>
            <w:vAlign w:val="center"/>
            <w:hideMark/>
          </w:tcPr>
          <w:p w14:paraId="1C089DD9" w14:textId="50004743" w:rsidR="00CE3BAD" w:rsidRPr="00782BF9" w:rsidRDefault="006B5475">
            <w:pPr>
              <w:pStyle w:val="P68B1DB1-Normal10"/>
              <w:spacing w:line="240" w:lineRule="auto"/>
              <w:jc w:val="both"/>
              <w:rPr>
                <w:rFonts w:eastAsia="Times New Roman"/>
                <w:noProof/>
                <w:lang w:val="bg-BG"/>
              </w:rPr>
            </w:pPr>
            <w:r w:rsidRPr="00782BF9">
              <w:rPr>
                <w:noProof/>
                <w:lang w:val="bg-BG"/>
              </w:rPr>
              <w:t>Делът на учителите в общественото образование, които използват информационни и комуникационни технологии в поне 40 % от своите класове, се увеличава до най-малко 35 % до 31 декември 2023 г. Базовите данни са за 2019 г. (източник: KIR-STAT).</w:t>
            </w:r>
          </w:p>
        </w:tc>
      </w:tr>
      <w:tr w:rsidR="00CE3BAD" w:rsidRPr="00782BF9" w14:paraId="1983C1A2" w14:textId="77777777">
        <w:trPr>
          <w:trHeight w:val="1852"/>
        </w:trPr>
        <w:tc>
          <w:tcPr>
            <w:tcW w:w="829" w:type="dxa"/>
            <w:tcBorders>
              <w:top w:val="nil"/>
              <w:left w:val="single" w:sz="4" w:space="0" w:color="auto"/>
              <w:bottom w:val="single" w:sz="4" w:space="0" w:color="auto"/>
              <w:right w:val="single" w:sz="4" w:space="0" w:color="auto"/>
            </w:tcBorders>
            <w:shd w:val="clear" w:color="auto" w:fill="C6EFCE"/>
            <w:vAlign w:val="center"/>
            <w:hideMark/>
          </w:tcPr>
          <w:p w14:paraId="4853A640" w14:textId="2610B233" w:rsidR="00CE3BAD" w:rsidRPr="00782BF9" w:rsidRDefault="006B5475">
            <w:pPr>
              <w:pStyle w:val="P68B1DB1-Normal10"/>
              <w:spacing w:after="0" w:line="240" w:lineRule="auto"/>
              <w:rPr>
                <w:rFonts w:eastAsia="Times New Roman"/>
                <w:noProof/>
                <w:lang w:val="bg-BG"/>
              </w:rPr>
            </w:pPr>
            <w:r w:rsidRPr="00782BF9">
              <w:rPr>
                <w:noProof/>
                <w:lang w:val="bg-BG"/>
              </w:rPr>
              <w:t>4</w:t>
            </w:r>
          </w:p>
        </w:tc>
        <w:tc>
          <w:tcPr>
            <w:tcW w:w="1246" w:type="dxa"/>
            <w:tcBorders>
              <w:top w:val="nil"/>
              <w:left w:val="nil"/>
              <w:bottom w:val="single" w:sz="4" w:space="0" w:color="auto"/>
              <w:right w:val="single" w:sz="4" w:space="0" w:color="auto"/>
            </w:tcBorders>
            <w:shd w:val="clear" w:color="auto" w:fill="C6EFCE"/>
            <w:vAlign w:val="center"/>
            <w:hideMark/>
          </w:tcPr>
          <w:p w14:paraId="4C1DC36F" w14:textId="77777777" w:rsidR="00CE3BAD" w:rsidRPr="00782BF9" w:rsidRDefault="006B5475">
            <w:pPr>
              <w:pStyle w:val="P68B1DB1-Normal10"/>
              <w:spacing w:after="0" w:line="240" w:lineRule="auto"/>
              <w:rPr>
                <w:rFonts w:eastAsia="Times New Roman"/>
                <w:noProof/>
                <w:lang w:val="bg-BG"/>
              </w:rPr>
            </w:pPr>
            <w:r w:rsidRPr="00782BF9">
              <w:rPr>
                <w:noProof/>
                <w:lang w:val="bg-BG"/>
              </w:rPr>
              <w:t>В1.R1 Развитие на конкурентоспособно публично образование с използване на технологията на 21-ви век</w:t>
            </w:r>
          </w:p>
        </w:tc>
        <w:tc>
          <w:tcPr>
            <w:tcW w:w="971" w:type="dxa"/>
            <w:tcBorders>
              <w:top w:val="nil"/>
              <w:left w:val="nil"/>
              <w:bottom w:val="single" w:sz="4" w:space="0" w:color="auto"/>
              <w:right w:val="single" w:sz="4" w:space="0" w:color="auto"/>
            </w:tcBorders>
            <w:shd w:val="clear" w:color="auto" w:fill="C6EFCE"/>
            <w:vAlign w:val="center"/>
            <w:hideMark/>
          </w:tcPr>
          <w:p w14:paraId="2CDF5F87"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882" w:type="dxa"/>
            <w:tcBorders>
              <w:top w:val="nil"/>
              <w:left w:val="nil"/>
              <w:bottom w:val="single" w:sz="4" w:space="0" w:color="auto"/>
              <w:right w:val="single" w:sz="4" w:space="0" w:color="auto"/>
            </w:tcBorders>
            <w:shd w:val="clear" w:color="auto" w:fill="C6EFCE"/>
            <w:vAlign w:val="center"/>
            <w:hideMark/>
          </w:tcPr>
          <w:p w14:paraId="10608E98"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 на институциите за училищно образование, оборудвани със съвременни инструменти и инструменти за показване, които развиват креативността на учениците и уменията за решаване на проблеми</w:t>
            </w:r>
          </w:p>
        </w:tc>
        <w:tc>
          <w:tcPr>
            <w:tcW w:w="1379" w:type="dxa"/>
            <w:tcBorders>
              <w:top w:val="nil"/>
              <w:left w:val="nil"/>
              <w:bottom w:val="single" w:sz="4" w:space="0" w:color="auto"/>
              <w:right w:val="single" w:sz="4" w:space="0" w:color="auto"/>
            </w:tcBorders>
            <w:shd w:val="clear" w:color="auto" w:fill="C6EFCE"/>
            <w:vAlign w:val="center"/>
            <w:hideMark/>
          </w:tcPr>
          <w:p w14:paraId="634B1ACF" w14:textId="77777777" w:rsidR="00CE3BAD" w:rsidRPr="00782BF9" w:rsidRDefault="00CE3BAD">
            <w:pPr>
              <w:spacing w:after="0" w:line="240" w:lineRule="auto"/>
              <w:rPr>
                <w:rFonts w:eastAsia="Times New Roman" w:cstheme="minorHAnsi"/>
                <w:noProof/>
                <w:sz w:val="18"/>
                <w:lang w:val="bg-BG"/>
              </w:rPr>
            </w:pPr>
          </w:p>
        </w:tc>
        <w:tc>
          <w:tcPr>
            <w:tcW w:w="1112" w:type="dxa"/>
            <w:tcBorders>
              <w:top w:val="nil"/>
              <w:left w:val="nil"/>
              <w:bottom w:val="single" w:sz="4" w:space="0" w:color="auto"/>
              <w:right w:val="single" w:sz="4" w:space="0" w:color="auto"/>
            </w:tcBorders>
            <w:shd w:val="clear" w:color="auto" w:fill="C6EFCE"/>
            <w:vAlign w:val="center"/>
            <w:hideMark/>
          </w:tcPr>
          <w:p w14:paraId="53505CE0" w14:textId="77777777" w:rsidR="00CE3BAD" w:rsidRPr="00782BF9" w:rsidRDefault="006B5475">
            <w:pPr>
              <w:pStyle w:val="P68B1DB1-Normal10"/>
              <w:spacing w:after="0" w:line="240" w:lineRule="auto"/>
              <w:rPr>
                <w:rFonts w:eastAsia="Calibri"/>
                <w:noProof/>
                <w:lang w:val="bg-BG"/>
              </w:rPr>
            </w:pPr>
            <w:r w:rsidRPr="00782BF9">
              <w:rPr>
                <w:noProof/>
                <w:lang w:val="bg-BG"/>
              </w:rPr>
              <w:t>Брой</w:t>
            </w:r>
          </w:p>
        </w:tc>
        <w:tc>
          <w:tcPr>
            <w:tcW w:w="1674" w:type="dxa"/>
            <w:tcBorders>
              <w:top w:val="nil"/>
              <w:left w:val="nil"/>
              <w:bottom w:val="single" w:sz="4" w:space="0" w:color="auto"/>
              <w:right w:val="single" w:sz="4" w:space="0" w:color="auto"/>
            </w:tcBorders>
            <w:shd w:val="clear" w:color="auto" w:fill="C6EFCE"/>
            <w:vAlign w:val="center"/>
            <w:hideMark/>
          </w:tcPr>
          <w:p w14:paraId="4D07E9DF"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61" w:type="dxa"/>
            <w:tcBorders>
              <w:top w:val="nil"/>
              <w:left w:val="nil"/>
              <w:bottom w:val="single" w:sz="4" w:space="0" w:color="auto"/>
              <w:right w:val="single" w:sz="4" w:space="0" w:color="auto"/>
            </w:tcBorders>
            <w:shd w:val="clear" w:color="auto" w:fill="C6EFCE"/>
            <w:vAlign w:val="center"/>
            <w:hideMark/>
          </w:tcPr>
          <w:p w14:paraId="43A3EA73" w14:textId="4AB4D945" w:rsidR="00CE3BAD" w:rsidRPr="00782BF9" w:rsidRDefault="006B5475">
            <w:pPr>
              <w:pStyle w:val="P68B1DB1-Normal10"/>
              <w:spacing w:after="0" w:line="240" w:lineRule="auto"/>
              <w:rPr>
                <w:rFonts w:eastAsia="Times New Roman"/>
                <w:noProof/>
                <w:lang w:val="bg-BG"/>
              </w:rPr>
            </w:pPr>
            <w:r w:rsidRPr="00782BF9">
              <w:rPr>
                <w:noProof/>
                <w:lang w:val="bg-BG"/>
              </w:rPr>
              <w:t xml:space="preserve">3 100 </w:t>
            </w:r>
          </w:p>
        </w:tc>
        <w:tc>
          <w:tcPr>
            <w:tcW w:w="911" w:type="dxa"/>
            <w:tcBorders>
              <w:top w:val="nil"/>
              <w:left w:val="nil"/>
              <w:bottom w:val="single" w:sz="4" w:space="0" w:color="auto"/>
              <w:right w:val="single" w:sz="4" w:space="0" w:color="auto"/>
            </w:tcBorders>
            <w:shd w:val="clear" w:color="auto" w:fill="C6EFCE"/>
            <w:vAlign w:val="center"/>
            <w:hideMark/>
          </w:tcPr>
          <w:p w14:paraId="026620D6" w14:textId="77777777" w:rsidR="00CE3BAD" w:rsidRPr="00782BF9" w:rsidRDefault="006B5475">
            <w:pPr>
              <w:pStyle w:val="P68B1DB1-Normal10"/>
              <w:spacing w:after="0" w:line="240" w:lineRule="auto"/>
              <w:rPr>
                <w:rFonts w:eastAsia="Times New Roman"/>
                <w:noProof/>
                <w:lang w:val="bg-BG"/>
              </w:rPr>
            </w:pPr>
            <w:r w:rsidRPr="00782BF9">
              <w:rPr>
                <w:noProof/>
                <w:lang w:val="bg-BG"/>
              </w:rPr>
              <w:t>Т4 Г.</w:t>
            </w:r>
          </w:p>
        </w:tc>
        <w:tc>
          <w:tcPr>
            <w:tcW w:w="709" w:type="dxa"/>
            <w:tcBorders>
              <w:top w:val="nil"/>
              <w:left w:val="nil"/>
              <w:bottom w:val="single" w:sz="4" w:space="0" w:color="auto"/>
              <w:right w:val="single" w:sz="4" w:space="0" w:color="auto"/>
            </w:tcBorders>
            <w:shd w:val="clear" w:color="auto" w:fill="C6EFCE"/>
            <w:vAlign w:val="center"/>
            <w:hideMark/>
          </w:tcPr>
          <w:p w14:paraId="23066A2A" w14:textId="77777777" w:rsidR="00CE3BAD" w:rsidRPr="00782BF9" w:rsidRDefault="006B5475">
            <w:pPr>
              <w:pStyle w:val="P68B1DB1-Normal10"/>
              <w:spacing w:after="0" w:line="240" w:lineRule="auto"/>
              <w:rPr>
                <w:rFonts w:eastAsia="Times New Roman"/>
                <w:noProof/>
                <w:lang w:val="bg-BG"/>
              </w:rPr>
            </w:pPr>
            <w:r w:rsidRPr="00782BF9">
              <w:rPr>
                <w:noProof/>
                <w:lang w:val="bg-BG"/>
              </w:rPr>
              <w:t>2024</w:t>
            </w:r>
          </w:p>
        </w:tc>
        <w:tc>
          <w:tcPr>
            <w:tcW w:w="4250" w:type="dxa"/>
            <w:tcBorders>
              <w:top w:val="nil"/>
              <w:left w:val="nil"/>
              <w:bottom w:val="single" w:sz="4" w:space="0" w:color="auto"/>
              <w:right w:val="single" w:sz="4" w:space="0" w:color="auto"/>
            </w:tcBorders>
            <w:shd w:val="clear" w:color="auto" w:fill="C6EFCE"/>
            <w:vAlign w:val="center"/>
            <w:hideMark/>
          </w:tcPr>
          <w:p w14:paraId="48239E7B" w14:textId="2D47CB0D"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Най-малко 3 100 институции за училищно образование трябва да бъдат оборудвани със съвременни инструменти за показване (интерактивен панел) и устройства, които подобряват креативността на учениците и уменията за решаване на проблеми, като например програмируеми роботи, програмируеми микросхеми и безпилотни летателни апарати. </w:t>
            </w:r>
            <w:r w:rsidRPr="00782BF9">
              <w:rPr>
                <w:rFonts w:ascii="Calibri" w:hAnsi="Calibri"/>
                <w:noProof/>
                <w:lang w:val="bg-BG"/>
              </w:rPr>
              <w:t>Приоритет се дава на оборудването на столове с висок дял ученици в неравностойно положение.</w:t>
            </w:r>
          </w:p>
        </w:tc>
      </w:tr>
      <w:tr w:rsidR="00CE3BAD" w:rsidRPr="00782BF9" w14:paraId="4324CF70" w14:textId="77777777">
        <w:trPr>
          <w:trHeight w:val="772"/>
        </w:trPr>
        <w:tc>
          <w:tcPr>
            <w:tcW w:w="829" w:type="dxa"/>
            <w:tcBorders>
              <w:top w:val="nil"/>
              <w:left w:val="single" w:sz="4" w:space="0" w:color="auto"/>
              <w:bottom w:val="single" w:sz="4" w:space="0" w:color="auto"/>
              <w:right w:val="single" w:sz="4" w:space="0" w:color="auto"/>
            </w:tcBorders>
            <w:shd w:val="clear" w:color="auto" w:fill="C6EFCE"/>
            <w:vAlign w:val="center"/>
            <w:hideMark/>
          </w:tcPr>
          <w:p w14:paraId="79511693" w14:textId="64346F10" w:rsidR="00CE3BAD" w:rsidRPr="00782BF9" w:rsidRDefault="006B5475">
            <w:pPr>
              <w:pStyle w:val="P68B1DB1-Normal10"/>
              <w:spacing w:after="0" w:line="240" w:lineRule="auto"/>
              <w:rPr>
                <w:rFonts w:eastAsia="Times New Roman"/>
                <w:noProof/>
                <w:lang w:val="bg-BG"/>
              </w:rPr>
            </w:pPr>
            <w:r w:rsidRPr="00782BF9">
              <w:rPr>
                <w:noProof/>
                <w:lang w:val="bg-BG"/>
              </w:rPr>
              <w:t>5</w:t>
            </w:r>
          </w:p>
        </w:tc>
        <w:tc>
          <w:tcPr>
            <w:tcW w:w="1246" w:type="dxa"/>
            <w:tcBorders>
              <w:top w:val="nil"/>
              <w:left w:val="nil"/>
              <w:bottom w:val="single" w:sz="4" w:space="0" w:color="auto"/>
              <w:right w:val="single" w:sz="4" w:space="0" w:color="auto"/>
            </w:tcBorders>
            <w:shd w:val="clear" w:color="auto" w:fill="C6EFCE"/>
            <w:vAlign w:val="center"/>
            <w:hideMark/>
          </w:tcPr>
          <w:p w14:paraId="36DC0C59" w14:textId="37D21475" w:rsidR="00CE3BAD" w:rsidRPr="00782BF9" w:rsidRDefault="006B5475">
            <w:pPr>
              <w:pStyle w:val="P68B1DB1-Normal10"/>
              <w:spacing w:after="0" w:line="240" w:lineRule="auto"/>
              <w:rPr>
                <w:rFonts w:eastAsia="Times New Roman"/>
                <w:noProof/>
                <w:lang w:val="bg-BG"/>
              </w:rPr>
            </w:pPr>
            <w:r w:rsidRPr="00782BF9">
              <w:rPr>
                <w:noProof/>
                <w:lang w:val="bg-BG"/>
              </w:rPr>
              <w:t>В1.R1 Развитие на конкурентоспособно публично образование с използване на технологията на 21-ви век</w:t>
            </w:r>
          </w:p>
        </w:tc>
        <w:tc>
          <w:tcPr>
            <w:tcW w:w="971" w:type="dxa"/>
            <w:tcBorders>
              <w:top w:val="nil"/>
              <w:left w:val="nil"/>
              <w:bottom w:val="single" w:sz="4" w:space="0" w:color="auto"/>
              <w:right w:val="single" w:sz="4" w:space="0" w:color="auto"/>
            </w:tcBorders>
            <w:shd w:val="clear" w:color="auto" w:fill="C6EFCE"/>
            <w:vAlign w:val="center"/>
            <w:hideMark/>
          </w:tcPr>
          <w:p w14:paraId="32D2916B"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882" w:type="dxa"/>
            <w:tcBorders>
              <w:top w:val="nil"/>
              <w:left w:val="nil"/>
              <w:bottom w:val="single" w:sz="4" w:space="0" w:color="auto"/>
              <w:right w:val="single" w:sz="4" w:space="0" w:color="auto"/>
            </w:tcBorders>
            <w:shd w:val="clear" w:color="auto" w:fill="C6EFCE"/>
            <w:vAlign w:val="center"/>
            <w:hideMark/>
          </w:tcPr>
          <w:p w14:paraId="53217C9A"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Брой на допълнителните цифрови преносими компютри, доставени за ползване от ученика или учителя </w:t>
            </w:r>
          </w:p>
        </w:tc>
        <w:tc>
          <w:tcPr>
            <w:tcW w:w="1379" w:type="dxa"/>
            <w:tcBorders>
              <w:top w:val="nil"/>
              <w:left w:val="nil"/>
              <w:bottom w:val="single" w:sz="4" w:space="0" w:color="auto"/>
              <w:right w:val="single" w:sz="4" w:space="0" w:color="auto"/>
            </w:tcBorders>
            <w:shd w:val="clear" w:color="auto" w:fill="C6EFCE"/>
            <w:vAlign w:val="center"/>
            <w:hideMark/>
          </w:tcPr>
          <w:p w14:paraId="46B60BC4" w14:textId="77777777" w:rsidR="00CE3BAD" w:rsidRPr="00782BF9" w:rsidRDefault="00CE3BAD">
            <w:pPr>
              <w:spacing w:after="0" w:line="240" w:lineRule="auto"/>
              <w:rPr>
                <w:rFonts w:eastAsia="Times New Roman" w:cstheme="minorHAnsi"/>
                <w:noProof/>
                <w:sz w:val="18"/>
                <w:lang w:val="bg-BG"/>
              </w:rPr>
            </w:pPr>
          </w:p>
        </w:tc>
        <w:tc>
          <w:tcPr>
            <w:tcW w:w="1112" w:type="dxa"/>
            <w:tcBorders>
              <w:top w:val="nil"/>
              <w:left w:val="nil"/>
              <w:bottom w:val="single" w:sz="4" w:space="0" w:color="auto"/>
              <w:right w:val="single" w:sz="4" w:space="0" w:color="auto"/>
            </w:tcBorders>
            <w:shd w:val="clear" w:color="auto" w:fill="C6EFCE"/>
            <w:vAlign w:val="center"/>
            <w:hideMark/>
          </w:tcPr>
          <w:p w14:paraId="50EE46A7" w14:textId="77777777" w:rsidR="00CE3BAD" w:rsidRPr="00782BF9" w:rsidRDefault="006B5475">
            <w:pPr>
              <w:pStyle w:val="P68B1DB1-Normal10"/>
              <w:spacing w:after="0" w:line="240" w:lineRule="auto"/>
              <w:rPr>
                <w:rFonts w:eastAsia="Calibri"/>
                <w:noProof/>
                <w:lang w:val="bg-BG"/>
              </w:rPr>
            </w:pPr>
            <w:r w:rsidRPr="00782BF9">
              <w:rPr>
                <w:noProof/>
                <w:lang w:val="bg-BG"/>
              </w:rPr>
              <w:t>Брой</w:t>
            </w:r>
          </w:p>
        </w:tc>
        <w:tc>
          <w:tcPr>
            <w:tcW w:w="1674" w:type="dxa"/>
            <w:tcBorders>
              <w:top w:val="nil"/>
              <w:left w:val="nil"/>
              <w:bottom w:val="single" w:sz="4" w:space="0" w:color="auto"/>
              <w:right w:val="single" w:sz="4" w:space="0" w:color="auto"/>
            </w:tcBorders>
            <w:shd w:val="clear" w:color="auto" w:fill="C6EFCE"/>
            <w:vAlign w:val="center"/>
            <w:hideMark/>
          </w:tcPr>
          <w:p w14:paraId="60195673" w14:textId="35A23BF4" w:rsidR="00CE3BAD" w:rsidRPr="00782BF9" w:rsidRDefault="006B5475">
            <w:pPr>
              <w:pStyle w:val="P68B1DB1-Normal10"/>
              <w:spacing w:after="0" w:line="240" w:lineRule="auto"/>
              <w:rPr>
                <w:rFonts w:eastAsia="Times New Roman"/>
                <w:noProof/>
                <w:lang w:val="bg-BG"/>
              </w:rPr>
            </w:pPr>
            <w:r w:rsidRPr="00782BF9">
              <w:rPr>
                <w:noProof/>
                <w:lang w:val="bg-BG"/>
              </w:rPr>
              <w:t xml:space="preserve">120 000 </w:t>
            </w:r>
          </w:p>
        </w:tc>
        <w:tc>
          <w:tcPr>
            <w:tcW w:w="1161" w:type="dxa"/>
            <w:tcBorders>
              <w:top w:val="nil"/>
              <w:left w:val="nil"/>
              <w:bottom w:val="single" w:sz="4" w:space="0" w:color="auto"/>
              <w:right w:val="single" w:sz="4" w:space="0" w:color="auto"/>
            </w:tcBorders>
            <w:shd w:val="clear" w:color="auto" w:fill="C6EFCE"/>
            <w:vAlign w:val="center"/>
            <w:hideMark/>
          </w:tcPr>
          <w:p w14:paraId="47165531" w14:textId="76348F5B" w:rsidR="00CE3BAD" w:rsidRPr="00782BF9" w:rsidRDefault="006B5475">
            <w:pPr>
              <w:pStyle w:val="P68B1DB1-Normal10"/>
              <w:spacing w:after="0" w:line="240" w:lineRule="auto"/>
              <w:rPr>
                <w:rFonts w:eastAsia="Times New Roman"/>
                <w:noProof/>
                <w:lang w:val="bg-BG"/>
              </w:rPr>
            </w:pPr>
            <w:r w:rsidRPr="00782BF9">
              <w:rPr>
                <w:noProof/>
                <w:lang w:val="bg-BG"/>
              </w:rPr>
              <w:t xml:space="preserve">579 000 </w:t>
            </w:r>
          </w:p>
        </w:tc>
        <w:tc>
          <w:tcPr>
            <w:tcW w:w="911" w:type="dxa"/>
            <w:tcBorders>
              <w:top w:val="nil"/>
              <w:left w:val="nil"/>
              <w:bottom w:val="single" w:sz="4" w:space="0" w:color="auto"/>
              <w:right w:val="single" w:sz="4" w:space="0" w:color="auto"/>
            </w:tcBorders>
            <w:shd w:val="clear" w:color="auto" w:fill="C6EFCE"/>
            <w:vAlign w:val="center"/>
            <w:hideMark/>
          </w:tcPr>
          <w:p w14:paraId="3ECF035B" w14:textId="6524A232"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nil"/>
              <w:left w:val="nil"/>
              <w:bottom w:val="single" w:sz="4" w:space="0" w:color="auto"/>
              <w:right w:val="single" w:sz="4" w:space="0" w:color="auto"/>
            </w:tcBorders>
            <w:shd w:val="clear" w:color="auto" w:fill="C6EFCE"/>
            <w:vAlign w:val="center"/>
            <w:hideMark/>
          </w:tcPr>
          <w:p w14:paraId="26C089A2" w14:textId="466CADA9" w:rsidR="00CE3BAD" w:rsidRPr="00782BF9" w:rsidRDefault="006B5475">
            <w:pPr>
              <w:pStyle w:val="P68B1DB1-Normal10"/>
              <w:spacing w:after="0" w:line="240" w:lineRule="auto"/>
              <w:rPr>
                <w:rFonts w:eastAsia="Times New Roman"/>
                <w:noProof/>
                <w:lang w:val="bg-BG"/>
              </w:rPr>
            </w:pPr>
            <w:r w:rsidRPr="00782BF9">
              <w:rPr>
                <w:noProof/>
                <w:lang w:val="bg-BG"/>
              </w:rPr>
              <w:t>2025</w:t>
            </w:r>
          </w:p>
        </w:tc>
        <w:tc>
          <w:tcPr>
            <w:tcW w:w="4250" w:type="dxa"/>
            <w:tcBorders>
              <w:top w:val="nil"/>
              <w:left w:val="nil"/>
              <w:bottom w:val="single" w:sz="4" w:space="0" w:color="auto"/>
              <w:right w:val="single" w:sz="4" w:space="0" w:color="auto"/>
            </w:tcBorders>
            <w:shd w:val="clear" w:color="auto" w:fill="C6EFCE"/>
            <w:vAlign w:val="center"/>
            <w:hideMark/>
          </w:tcPr>
          <w:p w14:paraId="436CE1F2" w14:textId="28CC0C0F"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Като се вземе предвид стратегията за проверка на имущественото състояние, посочена в ключов етап 2, допълнителни цифрови преносими компютри (стандартни и 2-ин-1) се закупуват и доставят в публичните образователни институции, за да се използват ученици в петата степен (шест през учебната 2022/2023 година) и девет, за използване от учителите и за училищата за разработване на техните класни стаи в областта на информационните технологии през учебните 2022/2023, 2023/2024 и 2024/2025 години като част от четиригодишната програма. Като цяло до края на четиригодишната програма (учебната 2024/2025 година) се закупуват и доставят най-малко 579 000 цифрови преносими компютри по тази мярка, от които поне 55 000 се предоставят на учителите и най-малко 10 000 — на училищата, за да разработят своите класни стаи в областта на информационните технологии. Учениците трябва да могат да съхраняват преносимите компютри до завършване на училищното си образование и след това да ги предават на новите групи. </w:t>
            </w:r>
          </w:p>
        </w:tc>
      </w:tr>
      <w:tr w:rsidR="00CE3BAD" w:rsidRPr="00782BF9" w14:paraId="55790517" w14:textId="77777777">
        <w:trPr>
          <w:trHeight w:val="1852"/>
        </w:trPr>
        <w:tc>
          <w:tcPr>
            <w:tcW w:w="829" w:type="dxa"/>
            <w:tcBorders>
              <w:top w:val="nil"/>
              <w:left w:val="single" w:sz="4" w:space="0" w:color="auto"/>
              <w:bottom w:val="single" w:sz="4" w:space="0" w:color="auto"/>
              <w:right w:val="single" w:sz="4" w:space="0" w:color="auto"/>
            </w:tcBorders>
            <w:shd w:val="clear" w:color="auto" w:fill="C6EFCE"/>
            <w:vAlign w:val="center"/>
          </w:tcPr>
          <w:p w14:paraId="518E4A97" w14:textId="574509EF" w:rsidR="00CE3BAD" w:rsidRPr="00782BF9" w:rsidRDefault="006B5475">
            <w:pPr>
              <w:pStyle w:val="P68B1DB1-Normal10"/>
              <w:spacing w:line="240" w:lineRule="auto"/>
              <w:rPr>
                <w:rFonts w:eastAsia="Times New Roman"/>
                <w:noProof/>
                <w:lang w:val="bg-BG"/>
              </w:rPr>
            </w:pPr>
            <w:r w:rsidRPr="00782BF9">
              <w:rPr>
                <w:noProof/>
                <w:lang w:val="bg-BG"/>
              </w:rPr>
              <w:t>6</w:t>
            </w:r>
          </w:p>
        </w:tc>
        <w:tc>
          <w:tcPr>
            <w:tcW w:w="1246" w:type="dxa"/>
            <w:tcBorders>
              <w:top w:val="nil"/>
              <w:left w:val="nil"/>
              <w:bottom w:val="single" w:sz="4" w:space="0" w:color="auto"/>
              <w:right w:val="single" w:sz="4" w:space="0" w:color="auto"/>
            </w:tcBorders>
            <w:shd w:val="clear" w:color="auto" w:fill="C6EFCE"/>
            <w:vAlign w:val="center"/>
          </w:tcPr>
          <w:p w14:paraId="04D81928" w14:textId="0FC7C887" w:rsidR="00CE3BAD" w:rsidRPr="00782BF9" w:rsidRDefault="006B5475">
            <w:pPr>
              <w:pStyle w:val="P68B1DB1-Normal10"/>
              <w:spacing w:after="0" w:line="240" w:lineRule="auto"/>
              <w:rPr>
                <w:rFonts w:eastAsia="Times New Roman"/>
                <w:noProof/>
                <w:lang w:val="bg-BG"/>
              </w:rPr>
            </w:pPr>
            <w:r w:rsidRPr="00782BF9">
              <w:rPr>
                <w:noProof/>
                <w:lang w:val="bg-BG"/>
              </w:rPr>
              <w:t>В1.R1 Развитие на конкурентоспособно публично образование с използване на технологията на 21-ви век</w:t>
            </w:r>
          </w:p>
        </w:tc>
        <w:tc>
          <w:tcPr>
            <w:tcW w:w="971" w:type="dxa"/>
            <w:tcBorders>
              <w:top w:val="nil"/>
              <w:left w:val="nil"/>
              <w:bottom w:val="single" w:sz="4" w:space="0" w:color="auto"/>
              <w:right w:val="single" w:sz="4" w:space="0" w:color="auto"/>
            </w:tcBorders>
            <w:shd w:val="clear" w:color="auto" w:fill="C6EFCE"/>
            <w:vAlign w:val="center"/>
          </w:tcPr>
          <w:p w14:paraId="70547E0A" w14:textId="28C335A3" w:rsidR="00CE3BAD" w:rsidRPr="00782BF9" w:rsidRDefault="006B5475">
            <w:pPr>
              <w:pStyle w:val="P68B1DB1-Normal10"/>
              <w:spacing w:line="240" w:lineRule="auto"/>
              <w:rPr>
                <w:rFonts w:eastAsia="Calibri"/>
                <w:noProof/>
                <w:lang w:val="bg-BG"/>
              </w:rPr>
            </w:pPr>
            <w:r w:rsidRPr="00782BF9">
              <w:rPr>
                <w:noProof/>
                <w:lang w:val="bg-BG"/>
              </w:rPr>
              <w:t>Целеви</w:t>
            </w:r>
          </w:p>
        </w:tc>
        <w:tc>
          <w:tcPr>
            <w:tcW w:w="1882" w:type="dxa"/>
            <w:tcBorders>
              <w:top w:val="nil"/>
              <w:left w:val="nil"/>
              <w:bottom w:val="single" w:sz="4" w:space="0" w:color="auto"/>
              <w:right w:val="single" w:sz="4" w:space="0" w:color="auto"/>
            </w:tcBorders>
            <w:shd w:val="clear" w:color="auto" w:fill="C6EFCE"/>
            <w:vAlign w:val="center"/>
          </w:tcPr>
          <w:p w14:paraId="044E9725" w14:textId="7C447145" w:rsidR="00CE3BAD" w:rsidRPr="00782BF9" w:rsidRDefault="006B5475">
            <w:pPr>
              <w:pStyle w:val="P68B1DB1-Normal10"/>
              <w:spacing w:after="0" w:line="240" w:lineRule="auto"/>
              <w:rPr>
                <w:rFonts w:eastAsia="Times New Roman"/>
                <w:noProof/>
                <w:lang w:val="bg-BG"/>
              </w:rPr>
            </w:pPr>
            <w:r w:rsidRPr="00782BF9">
              <w:rPr>
                <w:noProof/>
                <w:lang w:val="bg-BG"/>
              </w:rPr>
              <w:t>Дял на учителите, използващи информационни и комуникационни технологии, в поне 40 % от своите класове</w:t>
            </w:r>
          </w:p>
        </w:tc>
        <w:tc>
          <w:tcPr>
            <w:tcW w:w="1379" w:type="dxa"/>
            <w:tcBorders>
              <w:top w:val="nil"/>
              <w:left w:val="nil"/>
              <w:bottom w:val="single" w:sz="4" w:space="0" w:color="auto"/>
              <w:right w:val="single" w:sz="4" w:space="0" w:color="auto"/>
            </w:tcBorders>
            <w:shd w:val="clear" w:color="auto" w:fill="C6EFCE"/>
            <w:vAlign w:val="center"/>
          </w:tcPr>
          <w:p w14:paraId="24770BE1" w14:textId="1E372DB9" w:rsidR="00CE3BAD" w:rsidRPr="00782BF9" w:rsidRDefault="00CE3BAD">
            <w:pPr>
              <w:spacing w:line="240" w:lineRule="auto"/>
              <w:rPr>
                <w:rFonts w:eastAsia="Times New Roman"/>
                <w:noProof/>
                <w:sz w:val="18"/>
                <w:lang w:val="bg-BG"/>
              </w:rPr>
            </w:pPr>
          </w:p>
        </w:tc>
        <w:tc>
          <w:tcPr>
            <w:tcW w:w="1112" w:type="dxa"/>
            <w:tcBorders>
              <w:top w:val="nil"/>
              <w:left w:val="nil"/>
              <w:bottom w:val="single" w:sz="4" w:space="0" w:color="auto"/>
              <w:right w:val="single" w:sz="4" w:space="0" w:color="auto"/>
            </w:tcBorders>
            <w:shd w:val="clear" w:color="auto" w:fill="C6EFCE"/>
            <w:vAlign w:val="center"/>
          </w:tcPr>
          <w:p w14:paraId="27CAB9B9" w14:textId="6F080ACE" w:rsidR="00CE3BAD" w:rsidRPr="00782BF9" w:rsidRDefault="006B5475">
            <w:pPr>
              <w:pStyle w:val="P68B1DB1-Normal10"/>
              <w:spacing w:line="240" w:lineRule="auto"/>
              <w:rPr>
                <w:rFonts w:eastAsia="Times New Roman"/>
                <w:noProof/>
                <w:lang w:val="bg-BG"/>
              </w:rPr>
            </w:pPr>
            <w:r w:rsidRPr="00782BF9">
              <w:rPr>
                <w:noProof/>
                <w:lang w:val="bg-BG"/>
              </w:rPr>
              <w:t>%</w:t>
            </w:r>
          </w:p>
        </w:tc>
        <w:tc>
          <w:tcPr>
            <w:tcW w:w="1674" w:type="dxa"/>
            <w:tcBorders>
              <w:top w:val="nil"/>
              <w:left w:val="nil"/>
              <w:bottom w:val="single" w:sz="4" w:space="0" w:color="auto"/>
              <w:right w:val="single" w:sz="4" w:space="0" w:color="auto"/>
            </w:tcBorders>
            <w:shd w:val="clear" w:color="auto" w:fill="C6EFCE"/>
            <w:vAlign w:val="center"/>
          </w:tcPr>
          <w:p w14:paraId="14DA04C1" w14:textId="7453D1C4" w:rsidR="00CE3BAD" w:rsidRPr="00782BF9" w:rsidRDefault="006B5475">
            <w:pPr>
              <w:pStyle w:val="P68B1DB1-Normal10"/>
              <w:spacing w:line="240" w:lineRule="auto"/>
              <w:rPr>
                <w:rFonts w:eastAsia="Times New Roman"/>
                <w:noProof/>
                <w:lang w:val="bg-BG"/>
              </w:rPr>
            </w:pPr>
            <w:r w:rsidRPr="00782BF9">
              <w:rPr>
                <w:noProof/>
                <w:lang w:val="bg-BG"/>
              </w:rPr>
              <w:t>35</w:t>
            </w:r>
          </w:p>
        </w:tc>
        <w:tc>
          <w:tcPr>
            <w:tcW w:w="1161" w:type="dxa"/>
            <w:tcBorders>
              <w:top w:val="nil"/>
              <w:left w:val="nil"/>
              <w:bottom w:val="single" w:sz="4" w:space="0" w:color="auto"/>
              <w:right w:val="single" w:sz="4" w:space="0" w:color="auto"/>
            </w:tcBorders>
            <w:shd w:val="clear" w:color="auto" w:fill="C6EFCE"/>
            <w:vAlign w:val="center"/>
          </w:tcPr>
          <w:p w14:paraId="4C49FDBC" w14:textId="18175201" w:rsidR="00CE3BAD" w:rsidRPr="00782BF9" w:rsidRDefault="006B5475">
            <w:pPr>
              <w:pStyle w:val="P68B1DB1-Normal10"/>
              <w:spacing w:line="240" w:lineRule="auto"/>
              <w:rPr>
                <w:rFonts w:eastAsia="Times New Roman"/>
                <w:noProof/>
                <w:lang w:val="bg-BG"/>
              </w:rPr>
            </w:pPr>
            <w:r w:rsidRPr="00782BF9">
              <w:rPr>
                <w:noProof/>
                <w:lang w:val="bg-BG"/>
              </w:rPr>
              <w:t>45</w:t>
            </w:r>
          </w:p>
        </w:tc>
        <w:tc>
          <w:tcPr>
            <w:tcW w:w="911" w:type="dxa"/>
            <w:tcBorders>
              <w:top w:val="nil"/>
              <w:left w:val="nil"/>
              <w:bottom w:val="single" w:sz="4" w:space="0" w:color="auto"/>
              <w:right w:val="single" w:sz="4" w:space="0" w:color="auto"/>
            </w:tcBorders>
            <w:shd w:val="clear" w:color="auto" w:fill="C6EFCE"/>
            <w:vAlign w:val="center"/>
          </w:tcPr>
          <w:p w14:paraId="4FBDF61C" w14:textId="5F3EDB88" w:rsidR="00CE3BAD" w:rsidRPr="00782BF9" w:rsidRDefault="006B5475">
            <w:pPr>
              <w:pStyle w:val="P68B1DB1-Normal10"/>
              <w:spacing w:line="240" w:lineRule="auto"/>
              <w:rPr>
                <w:rFonts w:eastAsia="Times New Roman"/>
                <w:noProof/>
                <w:lang w:val="bg-BG"/>
              </w:rPr>
            </w:pPr>
            <w:r w:rsidRPr="00782BF9">
              <w:rPr>
                <w:noProof/>
                <w:lang w:val="bg-BG"/>
              </w:rPr>
              <w:t>Т2 Г.</w:t>
            </w:r>
          </w:p>
        </w:tc>
        <w:tc>
          <w:tcPr>
            <w:tcW w:w="709" w:type="dxa"/>
            <w:tcBorders>
              <w:top w:val="nil"/>
              <w:left w:val="nil"/>
              <w:bottom w:val="single" w:sz="4" w:space="0" w:color="auto"/>
              <w:right w:val="single" w:sz="4" w:space="0" w:color="auto"/>
            </w:tcBorders>
            <w:shd w:val="clear" w:color="auto" w:fill="C6EFCE"/>
            <w:vAlign w:val="center"/>
          </w:tcPr>
          <w:p w14:paraId="5736B581" w14:textId="672A92D0" w:rsidR="00CE3BAD" w:rsidRPr="00782BF9" w:rsidRDefault="006B5475">
            <w:pPr>
              <w:pStyle w:val="P68B1DB1-Normal10"/>
              <w:spacing w:line="240" w:lineRule="auto"/>
              <w:rPr>
                <w:rFonts w:eastAsia="Times New Roman"/>
                <w:noProof/>
                <w:lang w:val="bg-BG"/>
              </w:rPr>
            </w:pPr>
            <w:r w:rsidRPr="00782BF9">
              <w:rPr>
                <w:noProof/>
                <w:lang w:val="bg-BG"/>
              </w:rPr>
              <w:t>2026</w:t>
            </w:r>
          </w:p>
        </w:tc>
        <w:tc>
          <w:tcPr>
            <w:tcW w:w="4250" w:type="dxa"/>
            <w:tcBorders>
              <w:top w:val="nil"/>
              <w:left w:val="nil"/>
              <w:bottom w:val="single" w:sz="4" w:space="0" w:color="auto"/>
              <w:right w:val="single" w:sz="4" w:space="0" w:color="auto"/>
            </w:tcBorders>
            <w:shd w:val="clear" w:color="auto" w:fill="C6EFCE"/>
            <w:vAlign w:val="center"/>
          </w:tcPr>
          <w:p w14:paraId="6DC1D79D" w14:textId="7F1BA76B"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Делът на учителите в общественото образование, които използват информационни и комуникационни технологии в поне 40 % от своите класове, се увеличава до най-малко 45 % до 30 юни 2026 г. </w:t>
            </w:r>
          </w:p>
          <w:p w14:paraId="73AE5692" w14:textId="61BF3890" w:rsidR="00CE3BAD" w:rsidRPr="00782BF9" w:rsidRDefault="006B5475">
            <w:pPr>
              <w:pStyle w:val="P68B1DB1-Normal10"/>
              <w:spacing w:line="240" w:lineRule="auto"/>
              <w:jc w:val="both"/>
              <w:rPr>
                <w:rFonts w:eastAsia="Times New Roman"/>
                <w:noProof/>
                <w:lang w:val="bg-BG"/>
              </w:rPr>
            </w:pPr>
            <w:r w:rsidRPr="00782BF9">
              <w:rPr>
                <w:noProof/>
                <w:lang w:val="bg-BG"/>
              </w:rPr>
              <w:t>Публикува се доклад за оценка на използването на цифрови решения в училищата от страна на учителите и учениците. Докладът използва, наред с другото, данни, изготвени от KIR-STAT, относно дела на учителите в общественото образование, които използват информационни и комуникационни технологии в своите класове, както и данните от проучването TALIS на ОИСР.</w:t>
            </w:r>
          </w:p>
        </w:tc>
      </w:tr>
      <w:tr w:rsidR="00CE3BAD" w:rsidRPr="00782BF9" w14:paraId="298F9D9C" w14:textId="77777777">
        <w:trPr>
          <w:trHeight w:val="540"/>
        </w:trPr>
        <w:tc>
          <w:tcPr>
            <w:tcW w:w="829" w:type="dxa"/>
            <w:tcBorders>
              <w:top w:val="nil"/>
              <w:left w:val="single" w:sz="4" w:space="0" w:color="auto"/>
              <w:bottom w:val="single" w:sz="4" w:space="0" w:color="auto"/>
              <w:right w:val="single" w:sz="4" w:space="0" w:color="auto"/>
            </w:tcBorders>
            <w:shd w:val="clear" w:color="auto" w:fill="C6EFCE"/>
            <w:vAlign w:val="center"/>
          </w:tcPr>
          <w:p w14:paraId="7AD755A5" w14:textId="3DE61FA7" w:rsidR="00CE3BAD" w:rsidRPr="00782BF9" w:rsidRDefault="006B5475">
            <w:pPr>
              <w:pStyle w:val="P68B1DB1-Normal10"/>
              <w:spacing w:after="0" w:line="240" w:lineRule="auto"/>
              <w:rPr>
                <w:rFonts w:eastAsia="Times New Roman"/>
                <w:noProof/>
                <w:lang w:val="bg-BG"/>
              </w:rPr>
            </w:pPr>
            <w:r w:rsidRPr="00782BF9">
              <w:rPr>
                <w:noProof/>
                <w:lang w:val="bg-BG"/>
              </w:rPr>
              <w:t>7</w:t>
            </w:r>
          </w:p>
        </w:tc>
        <w:tc>
          <w:tcPr>
            <w:tcW w:w="1246" w:type="dxa"/>
            <w:tcBorders>
              <w:top w:val="nil"/>
              <w:left w:val="nil"/>
              <w:bottom w:val="single" w:sz="4" w:space="0" w:color="auto"/>
              <w:right w:val="single" w:sz="4" w:space="0" w:color="auto"/>
            </w:tcBorders>
            <w:shd w:val="clear" w:color="auto" w:fill="C6EFCE"/>
            <w:vAlign w:val="center"/>
          </w:tcPr>
          <w:p w14:paraId="31FD9E4B" w14:textId="42F75919" w:rsidR="00CE3BAD" w:rsidRPr="00782BF9" w:rsidRDefault="006B5475">
            <w:pPr>
              <w:pStyle w:val="P68B1DB1-Normal10"/>
              <w:keepNext/>
              <w:spacing w:after="0" w:line="240" w:lineRule="auto"/>
              <w:rPr>
                <w:rFonts w:eastAsia="Times New Roman"/>
                <w:noProof/>
                <w:lang w:val="bg-BG"/>
              </w:rPr>
            </w:pPr>
            <w:r w:rsidRPr="00782BF9">
              <w:rPr>
                <w:noProof/>
                <w:lang w:val="bg-BG"/>
              </w:rPr>
              <w:t>C1.I1 Подобряване на достъпа до качествено образование в прогимназиалния етап на основното образование</w:t>
            </w:r>
          </w:p>
        </w:tc>
        <w:tc>
          <w:tcPr>
            <w:tcW w:w="971" w:type="dxa"/>
            <w:tcBorders>
              <w:top w:val="nil"/>
              <w:left w:val="nil"/>
              <w:bottom w:val="single" w:sz="4" w:space="0" w:color="auto"/>
              <w:right w:val="single" w:sz="4" w:space="0" w:color="auto"/>
            </w:tcBorders>
            <w:shd w:val="clear" w:color="auto" w:fill="C6EFCE"/>
            <w:vAlign w:val="center"/>
          </w:tcPr>
          <w:p w14:paraId="69AE66C1"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882" w:type="dxa"/>
            <w:tcBorders>
              <w:top w:val="nil"/>
              <w:left w:val="nil"/>
              <w:bottom w:val="single" w:sz="4" w:space="0" w:color="auto"/>
              <w:right w:val="single" w:sz="4" w:space="0" w:color="auto"/>
            </w:tcBorders>
            <w:shd w:val="clear" w:color="auto" w:fill="C6EFCE"/>
            <w:vAlign w:val="center"/>
          </w:tcPr>
          <w:p w14:paraId="62A8ED34" w14:textId="5BDCE647" w:rsidR="00CE3BAD" w:rsidRPr="00782BF9" w:rsidRDefault="006B5475">
            <w:pPr>
              <w:pStyle w:val="P68B1DB1-Normal10"/>
              <w:spacing w:after="0" w:line="240" w:lineRule="auto"/>
              <w:rPr>
                <w:rFonts w:eastAsia="Times New Roman"/>
                <w:noProof/>
                <w:lang w:val="bg-BG"/>
              </w:rPr>
            </w:pPr>
            <w:r w:rsidRPr="00782BF9">
              <w:rPr>
                <w:noProof/>
                <w:lang w:val="bg-BG"/>
              </w:rPr>
              <w:t>Картографиране на училищната мрежа с цел подбор на училища за интегриране на малки класове на прогимназиалния етап на средното образование в по-големи училища в съседните населени места</w:t>
            </w:r>
          </w:p>
        </w:tc>
        <w:tc>
          <w:tcPr>
            <w:tcW w:w="1379" w:type="dxa"/>
            <w:tcBorders>
              <w:top w:val="nil"/>
              <w:left w:val="nil"/>
              <w:bottom w:val="single" w:sz="4" w:space="0" w:color="auto"/>
              <w:right w:val="single" w:sz="4" w:space="0" w:color="auto"/>
            </w:tcBorders>
            <w:shd w:val="clear" w:color="auto" w:fill="C6EFCE"/>
            <w:vAlign w:val="center"/>
          </w:tcPr>
          <w:p w14:paraId="05A0BDBC"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Публикуване на картографирането </w:t>
            </w:r>
          </w:p>
        </w:tc>
        <w:tc>
          <w:tcPr>
            <w:tcW w:w="1112" w:type="dxa"/>
            <w:tcBorders>
              <w:top w:val="nil"/>
              <w:left w:val="nil"/>
              <w:bottom w:val="single" w:sz="4" w:space="0" w:color="auto"/>
              <w:right w:val="single" w:sz="4" w:space="0" w:color="auto"/>
            </w:tcBorders>
            <w:shd w:val="clear" w:color="auto" w:fill="C6EFCE"/>
            <w:vAlign w:val="center"/>
          </w:tcPr>
          <w:p w14:paraId="029B809C" w14:textId="77777777" w:rsidR="00CE3BAD" w:rsidRPr="00782BF9" w:rsidRDefault="00CE3BAD">
            <w:pPr>
              <w:spacing w:after="0" w:line="240" w:lineRule="auto"/>
              <w:rPr>
                <w:rFonts w:eastAsia="Times New Roman"/>
                <w:noProof/>
                <w:sz w:val="18"/>
                <w:lang w:val="bg-BG"/>
              </w:rPr>
            </w:pPr>
          </w:p>
        </w:tc>
        <w:tc>
          <w:tcPr>
            <w:tcW w:w="1674" w:type="dxa"/>
            <w:tcBorders>
              <w:top w:val="nil"/>
              <w:left w:val="nil"/>
              <w:bottom w:val="single" w:sz="4" w:space="0" w:color="auto"/>
              <w:right w:val="single" w:sz="4" w:space="0" w:color="auto"/>
            </w:tcBorders>
            <w:shd w:val="clear" w:color="auto" w:fill="C6EFCE"/>
            <w:vAlign w:val="center"/>
          </w:tcPr>
          <w:p w14:paraId="22A193B3" w14:textId="77777777" w:rsidR="00CE3BAD" w:rsidRPr="00782BF9" w:rsidRDefault="00CE3BAD">
            <w:pPr>
              <w:spacing w:after="0" w:line="240" w:lineRule="auto"/>
              <w:rPr>
                <w:rFonts w:eastAsia="Times New Roman"/>
                <w:noProof/>
                <w:sz w:val="18"/>
                <w:lang w:val="bg-BG"/>
              </w:rPr>
            </w:pPr>
          </w:p>
        </w:tc>
        <w:tc>
          <w:tcPr>
            <w:tcW w:w="1161" w:type="dxa"/>
            <w:tcBorders>
              <w:top w:val="nil"/>
              <w:left w:val="nil"/>
              <w:bottom w:val="single" w:sz="4" w:space="0" w:color="auto"/>
              <w:right w:val="single" w:sz="4" w:space="0" w:color="auto"/>
            </w:tcBorders>
            <w:shd w:val="clear" w:color="auto" w:fill="C6EFCE"/>
            <w:vAlign w:val="center"/>
          </w:tcPr>
          <w:p w14:paraId="2BAC0842" w14:textId="77777777" w:rsidR="00CE3BAD" w:rsidRPr="00782BF9" w:rsidRDefault="00CE3BAD">
            <w:pPr>
              <w:spacing w:after="0" w:line="240" w:lineRule="auto"/>
              <w:rPr>
                <w:rFonts w:eastAsia="Times New Roman"/>
                <w:noProof/>
                <w:sz w:val="18"/>
                <w:lang w:val="bg-BG"/>
              </w:rPr>
            </w:pPr>
          </w:p>
        </w:tc>
        <w:tc>
          <w:tcPr>
            <w:tcW w:w="911" w:type="dxa"/>
            <w:tcBorders>
              <w:top w:val="nil"/>
              <w:left w:val="nil"/>
              <w:bottom w:val="single" w:sz="4" w:space="0" w:color="auto"/>
              <w:right w:val="single" w:sz="4" w:space="0" w:color="auto"/>
            </w:tcBorders>
            <w:shd w:val="clear" w:color="auto" w:fill="C6EFCE"/>
            <w:vAlign w:val="center"/>
          </w:tcPr>
          <w:p w14:paraId="01C5885F"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nil"/>
              <w:left w:val="nil"/>
              <w:bottom w:val="single" w:sz="4" w:space="0" w:color="auto"/>
              <w:right w:val="single" w:sz="4" w:space="0" w:color="auto"/>
            </w:tcBorders>
            <w:shd w:val="clear" w:color="auto" w:fill="C6EFCE"/>
            <w:vAlign w:val="center"/>
          </w:tcPr>
          <w:p w14:paraId="120D676D"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250" w:type="dxa"/>
            <w:tcBorders>
              <w:top w:val="nil"/>
              <w:left w:val="nil"/>
              <w:bottom w:val="single" w:sz="4" w:space="0" w:color="auto"/>
              <w:right w:val="single" w:sz="4" w:space="0" w:color="auto"/>
            </w:tcBorders>
            <w:shd w:val="clear" w:color="auto" w:fill="C6EFCE"/>
            <w:vAlign w:val="center"/>
          </w:tcPr>
          <w:p w14:paraId="27457BF2" w14:textId="465EA70C"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Извършва се картографиране на училищната мрежа на национално равнище с цел идентифициране и подбор на училища за интегриране на малки класове на прогимназиален етап на средното образование в по-големи училища в съседните населени места. Картографирането се основава на доказателства и диагностика на нуждите и се извършва с консултации със заинтересованите страни (по-специално ученици и техните родители, учители, училищен персонал, общности и местни органи на управление) за подбор на най-малко 5—10 държавни прогимназии, които да бъдат интегрирани в по-големите приемащи училища, като част от пилотната фаза. При картографирането се оценява въздействието на интеграцията на училищата върху състава на учениците, риска от сегрегация, броя на учителите и персонала, резултатите от обучението, процента на завършилите училище, дела на учениците с висок риск от преждевременно напускане на училище), местоположението на училищата, училищните профили и очакваните бъдещи нужди по отношение на демографското развитие. По отношение на приемните училища се вземат предвид физическите свойства на сградата и нейната инфраструктура, наред с други критерии. </w:t>
            </w:r>
          </w:p>
          <w:p w14:paraId="2FB0B800" w14:textId="77777777" w:rsidR="00CE3BAD" w:rsidRPr="00782BF9" w:rsidRDefault="006B5475">
            <w:pPr>
              <w:pStyle w:val="P68B1DB1-Normal10"/>
              <w:spacing w:after="0" w:line="240" w:lineRule="auto"/>
              <w:jc w:val="both"/>
              <w:rPr>
                <w:rFonts w:eastAsia="Times New Roman"/>
                <w:noProof/>
                <w:lang w:val="bg-BG"/>
              </w:rPr>
            </w:pPr>
            <w:r w:rsidRPr="00782BF9">
              <w:rPr>
                <w:noProof/>
                <w:lang w:val="bg-BG"/>
              </w:rPr>
              <w:t>Картографирането се оповестява публично.</w:t>
            </w:r>
          </w:p>
        </w:tc>
      </w:tr>
      <w:tr w:rsidR="00CE3BAD" w:rsidRPr="00782BF9" w14:paraId="064ABB16"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059E39B3" w14:textId="405914F9" w:rsidR="00CE3BAD" w:rsidRPr="00782BF9" w:rsidRDefault="006B5475">
            <w:pPr>
              <w:pStyle w:val="P68B1DB1-Normal10"/>
              <w:spacing w:after="0" w:line="240" w:lineRule="auto"/>
              <w:rPr>
                <w:rFonts w:eastAsia="Times New Roman"/>
                <w:noProof/>
                <w:lang w:val="bg-BG"/>
              </w:rPr>
            </w:pPr>
            <w:r w:rsidRPr="00782BF9">
              <w:rPr>
                <w:noProof/>
                <w:lang w:val="bg-BG"/>
              </w:rPr>
              <w:t>8</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22183B35" w14:textId="51DE6F8D" w:rsidR="00CE3BAD" w:rsidRPr="00782BF9" w:rsidRDefault="006B5475">
            <w:pPr>
              <w:pStyle w:val="P68B1DB1-Normal10"/>
              <w:keepNext/>
              <w:spacing w:after="0" w:line="240" w:lineRule="auto"/>
              <w:rPr>
                <w:rFonts w:eastAsia="Times New Roman"/>
                <w:noProof/>
                <w:lang w:val="bg-BG"/>
              </w:rPr>
            </w:pPr>
            <w:r w:rsidRPr="00782BF9">
              <w:rPr>
                <w:noProof/>
                <w:lang w:val="bg-BG"/>
              </w:rPr>
              <w:t>C1.I1 Подобряване на достъпа до качествено образование в прогимназиалния етап на основното образование</w:t>
            </w:r>
          </w:p>
        </w:tc>
        <w:tc>
          <w:tcPr>
            <w:tcW w:w="971" w:type="dxa"/>
            <w:tcBorders>
              <w:top w:val="single" w:sz="4" w:space="0" w:color="auto"/>
              <w:left w:val="nil"/>
              <w:bottom w:val="single" w:sz="4" w:space="0" w:color="auto"/>
              <w:right w:val="single" w:sz="4" w:space="0" w:color="auto"/>
            </w:tcBorders>
            <w:shd w:val="clear" w:color="auto" w:fill="C6EFCE"/>
            <w:vAlign w:val="center"/>
          </w:tcPr>
          <w:p w14:paraId="16A4160E"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2FEEDA99" w14:textId="77777777" w:rsidR="00CE3BAD" w:rsidRPr="00782BF9" w:rsidRDefault="00CE3BAD">
            <w:pPr>
              <w:spacing w:after="0" w:line="240" w:lineRule="auto"/>
              <w:rPr>
                <w:rFonts w:eastAsia="Times New Roman"/>
                <w:noProof/>
                <w:sz w:val="18"/>
                <w:lang w:val="bg-BG"/>
              </w:rPr>
            </w:pPr>
          </w:p>
          <w:p w14:paraId="7944EC4E" w14:textId="018D208A" w:rsidR="00CE3BAD" w:rsidRPr="00782BF9" w:rsidRDefault="006B5475">
            <w:pPr>
              <w:pStyle w:val="P68B1DB1-Normal10"/>
              <w:spacing w:after="0" w:line="240" w:lineRule="auto"/>
              <w:rPr>
                <w:rFonts w:eastAsia="Times New Roman"/>
                <w:noProof/>
                <w:lang w:val="bg-BG"/>
              </w:rPr>
            </w:pPr>
            <w:r w:rsidRPr="00782BF9">
              <w:rPr>
                <w:noProof/>
                <w:lang w:val="bg-BG"/>
              </w:rPr>
              <w:t>Осъществяване на пилотни институционални реорганизации за интегриране на малки прогимназиални класове в по-големи училища в съседните населени места</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642A6C89" w14:textId="77777777" w:rsidR="00CE3BAD" w:rsidRPr="00782BF9" w:rsidRDefault="00CE3BAD">
            <w:pPr>
              <w:spacing w:after="0" w:line="240" w:lineRule="auto"/>
              <w:rPr>
                <w:rFonts w:eastAsia="Times New Roman" w:cstheme="minorHAnsi"/>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4A92BBE1" w14:textId="0C7DBC1E"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7A3E8718"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4BD19430" w14:textId="77777777" w:rsidR="00CE3BAD" w:rsidRPr="00782BF9" w:rsidRDefault="006B5475">
            <w:pPr>
              <w:pStyle w:val="P68B1DB1-Normal10"/>
              <w:spacing w:after="0" w:line="240" w:lineRule="auto"/>
              <w:rPr>
                <w:rFonts w:eastAsia="Times New Roman"/>
                <w:noProof/>
                <w:lang w:val="bg-BG"/>
              </w:rPr>
            </w:pPr>
            <w:r w:rsidRPr="00782BF9">
              <w:rPr>
                <w:noProof/>
                <w:lang w:val="bg-BG"/>
              </w:rPr>
              <w:t>5</w:t>
            </w:r>
          </w:p>
        </w:tc>
        <w:tc>
          <w:tcPr>
            <w:tcW w:w="911" w:type="dxa"/>
            <w:tcBorders>
              <w:top w:val="single" w:sz="4" w:space="0" w:color="auto"/>
              <w:left w:val="nil"/>
              <w:bottom w:val="single" w:sz="4" w:space="0" w:color="auto"/>
              <w:right w:val="single" w:sz="4" w:space="0" w:color="auto"/>
            </w:tcBorders>
            <w:shd w:val="clear" w:color="auto" w:fill="C6EFCE"/>
            <w:vAlign w:val="center"/>
          </w:tcPr>
          <w:p w14:paraId="422EC1A4" w14:textId="77777777" w:rsidR="00CE3BAD" w:rsidRPr="00782BF9" w:rsidRDefault="006B5475">
            <w:pPr>
              <w:pStyle w:val="P68B1DB1-Normal10"/>
              <w:spacing w:after="0" w:line="240" w:lineRule="auto"/>
              <w:rPr>
                <w:rFonts w:eastAsia="Times New Roman"/>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16C78001"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7E866E84" w14:textId="2D1F8885"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Началните класове на средното образование в най-малко 5 държавно поддържани училища се интегрират ефективно в по-големите приемни училища в съседни населени места, като част от пилотна фаза. Избраното приемно училище включва прогимназиален етап на основното образование от малки училища, където качественото образование не може да бъде осигурено ефективно. Броят на учителите и персонала трябва да бъде достатъчен в приемните училища, за да бъдат настанени новите ученици, а учителите и персоналът преминават обучение по приобщаваща педагогика. Нуждите от пътуване до работното място и жилищните нужди, свързани с мярката, се разглеждат по подходящ начин. Процесът на интеграция не води до увеличаване на сегрегацията в приемните училища. Приемните училища не могат да функционират като пансиони за новите ученици. </w:t>
            </w:r>
          </w:p>
        </w:tc>
      </w:tr>
      <w:tr w:rsidR="00CE3BAD" w:rsidRPr="00782BF9" w14:paraId="7B541B20"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7BF7FBA7" w14:textId="34865CFD" w:rsidR="00CE3BAD" w:rsidRPr="00782BF9" w:rsidRDefault="006B5475">
            <w:pPr>
              <w:pStyle w:val="P68B1DB1-Normal10"/>
              <w:spacing w:after="0" w:line="240" w:lineRule="auto"/>
              <w:rPr>
                <w:rFonts w:eastAsia="Times New Roman"/>
                <w:noProof/>
                <w:lang w:val="bg-BG"/>
              </w:rPr>
            </w:pPr>
            <w:r w:rsidRPr="00782BF9">
              <w:rPr>
                <w:noProof/>
                <w:lang w:val="bg-BG"/>
              </w:rPr>
              <w:t>9</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4A7E2E00" w14:textId="1DB6A696" w:rsidR="00CE3BAD" w:rsidRPr="00782BF9" w:rsidRDefault="006B5475">
            <w:pPr>
              <w:pStyle w:val="P68B1DB1-Normal10"/>
              <w:keepNext/>
              <w:spacing w:after="0" w:line="240" w:lineRule="auto"/>
              <w:rPr>
                <w:rFonts w:eastAsia="Times New Roman"/>
                <w:noProof/>
                <w:lang w:val="bg-BG"/>
              </w:rPr>
            </w:pPr>
            <w:r w:rsidRPr="00782BF9">
              <w:rPr>
                <w:noProof/>
                <w:lang w:val="bg-BG"/>
              </w:rPr>
              <w:t>C1.I1 Подобряване на достъпа до качествено образование в прогимназиалния етап на основното образование</w:t>
            </w:r>
          </w:p>
        </w:tc>
        <w:tc>
          <w:tcPr>
            <w:tcW w:w="971" w:type="dxa"/>
            <w:tcBorders>
              <w:top w:val="single" w:sz="4" w:space="0" w:color="auto"/>
              <w:left w:val="nil"/>
              <w:bottom w:val="single" w:sz="4" w:space="0" w:color="auto"/>
              <w:right w:val="single" w:sz="4" w:space="0" w:color="auto"/>
            </w:tcBorders>
            <w:shd w:val="clear" w:color="auto" w:fill="C6EFCE"/>
            <w:vAlign w:val="center"/>
          </w:tcPr>
          <w:p w14:paraId="65B78772"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4CD40B43" w14:textId="77777777" w:rsidR="00CE3BAD" w:rsidRPr="00782BF9" w:rsidRDefault="00CE3BAD">
            <w:pPr>
              <w:spacing w:after="0" w:line="240" w:lineRule="auto"/>
              <w:rPr>
                <w:rFonts w:eastAsia="Times New Roman"/>
                <w:noProof/>
                <w:sz w:val="18"/>
                <w:lang w:val="bg-BG"/>
              </w:rPr>
            </w:pPr>
          </w:p>
          <w:p w14:paraId="7DC0E3ED" w14:textId="765CCCF2" w:rsidR="00CE3BAD" w:rsidRPr="00782BF9" w:rsidRDefault="006B5475">
            <w:pPr>
              <w:pStyle w:val="P68B1DB1-Normal10"/>
              <w:spacing w:after="0" w:line="240" w:lineRule="auto"/>
              <w:rPr>
                <w:rFonts w:eastAsia="Times New Roman"/>
                <w:noProof/>
                <w:lang w:val="bg-BG"/>
              </w:rPr>
            </w:pPr>
            <w:r w:rsidRPr="00782BF9">
              <w:rPr>
                <w:noProof/>
                <w:lang w:val="bg-BG"/>
              </w:rPr>
              <w:t>Осъществяване на допълнителни институционални реорганизации за интегриране на малки прогимназиални класове в по-големи училища в съседните населени места</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6BF4EC16" w14:textId="77777777" w:rsidR="00CE3BAD" w:rsidRPr="00782BF9" w:rsidRDefault="00CE3BAD">
            <w:pPr>
              <w:spacing w:after="0" w:line="240" w:lineRule="auto"/>
              <w:rPr>
                <w:rFonts w:eastAsia="Times New Roman" w:cstheme="minorHAnsi"/>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2E1204E6" w14:textId="6B7ABFFF"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0452BD9B" w14:textId="77777777" w:rsidR="00CE3BAD" w:rsidRPr="00782BF9" w:rsidRDefault="006B5475">
            <w:pPr>
              <w:pStyle w:val="P68B1DB1-Normal10"/>
              <w:spacing w:after="0" w:line="240" w:lineRule="auto"/>
              <w:rPr>
                <w:rFonts w:eastAsia="Times New Roman"/>
                <w:noProof/>
                <w:lang w:val="bg-BG"/>
              </w:rPr>
            </w:pPr>
            <w:r w:rsidRPr="00782BF9">
              <w:rPr>
                <w:noProof/>
                <w:lang w:val="bg-BG"/>
              </w:rPr>
              <w:t>5</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754092CF" w14:textId="77777777" w:rsidR="00CE3BAD" w:rsidRPr="00782BF9" w:rsidRDefault="006B5475">
            <w:pPr>
              <w:pStyle w:val="P68B1DB1-Normal10"/>
              <w:spacing w:after="0" w:line="240" w:lineRule="auto"/>
              <w:rPr>
                <w:rFonts w:eastAsia="Times New Roman"/>
                <w:noProof/>
                <w:lang w:val="bg-BG"/>
              </w:rPr>
            </w:pPr>
            <w:r w:rsidRPr="00782BF9">
              <w:rPr>
                <w:noProof/>
                <w:lang w:val="bg-BG"/>
              </w:rPr>
              <w:t>35</w:t>
            </w:r>
          </w:p>
        </w:tc>
        <w:tc>
          <w:tcPr>
            <w:tcW w:w="911" w:type="dxa"/>
            <w:tcBorders>
              <w:top w:val="single" w:sz="4" w:space="0" w:color="auto"/>
              <w:left w:val="nil"/>
              <w:bottom w:val="single" w:sz="4" w:space="0" w:color="auto"/>
              <w:right w:val="single" w:sz="4" w:space="0" w:color="auto"/>
            </w:tcBorders>
            <w:shd w:val="clear" w:color="auto" w:fill="C6EFCE"/>
            <w:vAlign w:val="center"/>
          </w:tcPr>
          <w:p w14:paraId="494D158C" w14:textId="77777777" w:rsidR="00CE3BAD" w:rsidRPr="00782BF9" w:rsidRDefault="006B5475">
            <w:pPr>
              <w:pStyle w:val="P68B1DB1-Normal10"/>
              <w:spacing w:after="0" w:line="240" w:lineRule="auto"/>
              <w:rPr>
                <w:rFonts w:eastAsia="Times New Roman"/>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2D406990" w14:textId="77777777" w:rsidR="00CE3BAD" w:rsidRPr="00782BF9" w:rsidRDefault="006B5475">
            <w:pPr>
              <w:pStyle w:val="P68B1DB1-Normal10"/>
              <w:spacing w:after="0" w:line="240" w:lineRule="auto"/>
              <w:rPr>
                <w:rFonts w:eastAsia="Times New Roman"/>
                <w:noProof/>
                <w:lang w:val="bg-BG"/>
              </w:rPr>
            </w:pPr>
            <w:r w:rsidRPr="00782BF9">
              <w:rPr>
                <w:noProof/>
                <w:lang w:val="bg-BG"/>
              </w:rPr>
              <w:t>2025</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1B1E7AA7" w14:textId="7D454AEE"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Резултатите от пилотните институционални реорганизации и съответните препоръки и насоки за изпълнение се включват в публично достъпен доклад. Въз основа на доклада и картографирането, посочени в етап 7, допълнителните класове на прогимназиалния етап на основното образование в най-малко 30 училища ще бъдат ефективно интегрирани в по-големите приемащи училища в съседни населени места. Избраните приемащи училища интегрират прогимназиалния етап на основното образование от малки училища, където качественото образование не може да бъде осигурено ефективно. Броят на учителите и персонала трябва да бъде достатъчен в приемните училища, за да бъдат настанени новите ученици, а учителите и персоналът преминават обучение по приобщаваща педагогика. Нуждите от пътуване до работното място и жилищните нужди, свързани с мярката, се разглеждат по подходящ начин. Процесът на интеграция не води до увеличаване на сегрегацията в приемните училища. Приемните училища не могат да функционират като пансиони за новите ученици. </w:t>
            </w:r>
          </w:p>
        </w:tc>
      </w:tr>
      <w:tr w:rsidR="00CE3BAD" w:rsidRPr="00782BF9" w14:paraId="536BE71A"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64A19F3F" w14:textId="17F9B5CE" w:rsidR="00CE3BAD" w:rsidRPr="00782BF9" w:rsidRDefault="006B5475">
            <w:pPr>
              <w:pStyle w:val="P68B1DB1-Normal10"/>
              <w:spacing w:after="0" w:line="240" w:lineRule="auto"/>
              <w:rPr>
                <w:rFonts w:eastAsia="Times New Roman"/>
                <w:noProof/>
                <w:lang w:val="bg-BG"/>
              </w:rPr>
            </w:pPr>
            <w:r w:rsidRPr="00782BF9">
              <w:rPr>
                <w:noProof/>
                <w:lang w:val="bg-BG"/>
              </w:rPr>
              <w:t>10</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3A71C89E" w14:textId="6574370C" w:rsidR="00CE3BAD" w:rsidRPr="00782BF9" w:rsidRDefault="006B5475">
            <w:pPr>
              <w:pStyle w:val="P68B1DB1-Normal10"/>
              <w:spacing w:after="0" w:line="240" w:lineRule="auto"/>
              <w:rPr>
                <w:rFonts w:eastAsia="Times New Roman"/>
                <w:noProof/>
                <w:lang w:val="bg-BG"/>
              </w:rPr>
            </w:pPr>
            <w:r w:rsidRPr="00782BF9">
              <w:rPr>
                <w:noProof/>
                <w:lang w:val="bg-BG"/>
              </w:rPr>
              <w:t>C1.I2 Подкрепа за образованието на студенти със специални образователни потребности</w:t>
            </w:r>
          </w:p>
        </w:tc>
        <w:tc>
          <w:tcPr>
            <w:tcW w:w="971" w:type="dxa"/>
            <w:tcBorders>
              <w:top w:val="single" w:sz="4" w:space="0" w:color="auto"/>
              <w:left w:val="nil"/>
              <w:bottom w:val="single" w:sz="4" w:space="0" w:color="auto"/>
              <w:right w:val="single" w:sz="4" w:space="0" w:color="auto"/>
            </w:tcBorders>
            <w:shd w:val="clear" w:color="auto" w:fill="C6EFCE"/>
            <w:vAlign w:val="center"/>
          </w:tcPr>
          <w:p w14:paraId="3A2A317C"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7FB944F3" w14:textId="77777777" w:rsidR="00CE3BAD" w:rsidRPr="00782BF9" w:rsidRDefault="006B5475">
            <w:pPr>
              <w:pStyle w:val="P68B1DB1-Normal10"/>
              <w:spacing w:after="0" w:line="240" w:lineRule="auto"/>
              <w:rPr>
                <w:rFonts w:eastAsia="Times New Roman"/>
                <w:noProof/>
                <w:lang w:val="bg-BG"/>
              </w:rPr>
            </w:pPr>
            <w:r w:rsidRPr="00782BF9">
              <w:rPr>
                <w:noProof/>
                <w:lang w:val="bg-BG"/>
              </w:rPr>
              <w:t>Картографиране на нуждите от образование на ученици със специални образователни потребности</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0197157E" w14:textId="78C55B9C" w:rsidR="00CE3BAD" w:rsidRPr="00782BF9" w:rsidRDefault="006B5475">
            <w:pPr>
              <w:pStyle w:val="P68B1DB1-Normal10"/>
              <w:spacing w:after="0" w:line="240" w:lineRule="auto"/>
              <w:rPr>
                <w:rFonts w:eastAsia="Times New Roman"/>
                <w:noProof/>
                <w:lang w:val="bg-BG"/>
              </w:rPr>
            </w:pPr>
            <w:r w:rsidRPr="00782BF9">
              <w:rPr>
                <w:noProof/>
                <w:lang w:val="bg-BG"/>
              </w:rPr>
              <w:t>Публикуване на картографирането от министерството, отговарящо за общественото образование</w:t>
            </w:r>
          </w:p>
        </w:tc>
        <w:tc>
          <w:tcPr>
            <w:tcW w:w="1112" w:type="dxa"/>
            <w:tcBorders>
              <w:top w:val="single" w:sz="4" w:space="0" w:color="auto"/>
              <w:left w:val="nil"/>
              <w:bottom w:val="single" w:sz="4" w:space="0" w:color="auto"/>
              <w:right w:val="single" w:sz="4" w:space="0" w:color="auto"/>
            </w:tcBorders>
            <w:shd w:val="clear" w:color="auto" w:fill="C6EFCE"/>
            <w:vAlign w:val="center"/>
          </w:tcPr>
          <w:p w14:paraId="1C2035F4" w14:textId="77777777" w:rsidR="00CE3BAD" w:rsidRPr="00782BF9" w:rsidRDefault="00CE3BAD">
            <w:pPr>
              <w:spacing w:after="0" w:line="240" w:lineRule="auto"/>
              <w:rPr>
                <w:rFonts w:eastAsia="Times New Roman"/>
                <w:noProof/>
                <w:sz w:val="18"/>
                <w:lang w:val="bg-BG"/>
              </w:rPr>
            </w:pPr>
          </w:p>
        </w:tc>
        <w:tc>
          <w:tcPr>
            <w:tcW w:w="1674" w:type="dxa"/>
            <w:tcBorders>
              <w:top w:val="single" w:sz="4" w:space="0" w:color="auto"/>
              <w:left w:val="nil"/>
              <w:bottom w:val="single" w:sz="4" w:space="0" w:color="auto"/>
              <w:right w:val="single" w:sz="4" w:space="0" w:color="auto"/>
            </w:tcBorders>
            <w:shd w:val="clear" w:color="auto" w:fill="C6EFCE"/>
            <w:vAlign w:val="center"/>
          </w:tcPr>
          <w:p w14:paraId="1AC28771"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33D2C910" w14:textId="77777777" w:rsidR="00CE3BAD" w:rsidRPr="00782BF9" w:rsidRDefault="00CE3BAD">
            <w:pPr>
              <w:spacing w:after="0" w:line="240" w:lineRule="auto"/>
              <w:rPr>
                <w:rFonts w:eastAsia="Times New Roman"/>
                <w:noProof/>
                <w:sz w:val="18"/>
                <w:lang w:val="bg-BG"/>
              </w:rPr>
            </w:pPr>
          </w:p>
        </w:tc>
        <w:tc>
          <w:tcPr>
            <w:tcW w:w="911" w:type="dxa"/>
            <w:tcBorders>
              <w:top w:val="single" w:sz="4" w:space="0" w:color="auto"/>
              <w:left w:val="nil"/>
              <w:bottom w:val="single" w:sz="4" w:space="0" w:color="auto"/>
              <w:right w:val="single" w:sz="4" w:space="0" w:color="auto"/>
            </w:tcBorders>
            <w:shd w:val="clear" w:color="auto" w:fill="C6EFCE"/>
            <w:vAlign w:val="center"/>
          </w:tcPr>
          <w:p w14:paraId="38784630"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792979AF"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472E39CA" w14:textId="77777777" w:rsidR="00CE3BAD" w:rsidRPr="00782BF9" w:rsidRDefault="006B5475">
            <w:pPr>
              <w:pStyle w:val="P68B1DB1-Normal10"/>
              <w:spacing w:after="0" w:line="240" w:lineRule="auto"/>
              <w:jc w:val="both"/>
              <w:rPr>
                <w:rFonts w:eastAsia="Times New Roman"/>
                <w:noProof/>
                <w:lang w:val="bg-BG"/>
              </w:rPr>
            </w:pPr>
            <w:r w:rsidRPr="00782BF9">
              <w:rPr>
                <w:noProof/>
                <w:lang w:val="bg-BG"/>
              </w:rPr>
              <w:t>Въз основа на индивидуалните планове за развитие на училищата се изготвя и публикува картографиране на нуждите от оборудване, услуги и учители по специализирано образование.</w:t>
            </w:r>
          </w:p>
        </w:tc>
      </w:tr>
      <w:tr w:rsidR="00CE3BAD" w:rsidRPr="00782BF9" w14:paraId="432108A3"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6D8DBFC9" w14:textId="61C0643E" w:rsidR="00CE3BAD" w:rsidRPr="00782BF9" w:rsidRDefault="006B5475">
            <w:pPr>
              <w:pStyle w:val="P68B1DB1-Normal10"/>
              <w:spacing w:after="0" w:line="240" w:lineRule="auto"/>
              <w:rPr>
                <w:rFonts w:eastAsia="Times New Roman"/>
                <w:noProof/>
                <w:lang w:val="bg-BG"/>
              </w:rPr>
            </w:pPr>
            <w:r w:rsidRPr="00782BF9">
              <w:rPr>
                <w:noProof/>
                <w:lang w:val="bg-BG"/>
              </w:rPr>
              <w:t>11</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72037F12" w14:textId="39B36398" w:rsidR="00CE3BAD" w:rsidRPr="00782BF9" w:rsidRDefault="006B5475">
            <w:pPr>
              <w:pStyle w:val="P68B1DB1-Normal10"/>
              <w:spacing w:after="0" w:line="240" w:lineRule="auto"/>
              <w:rPr>
                <w:rFonts w:eastAsia="Times New Roman"/>
                <w:noProof/>
                <w:lang w:val="bg-BG"/>
              </w:rPr>
            </w:pPr>
            <w:r w:rsidRPr="00782BF9">
              <w:rPr>
                <w:noProof/>
                <w:lang w:val="bg-BG"/>
              </w:rPr>
              <w:t>C1.I2 Подкрепа за образованието на студенти със специални образователни потребности</w:t>
            </w:r>
          </w:p>
          <w:p w14:paraId="0B2EDBE4" w14:textId="77777777" w:rsidR="00CE3BAD" w:rsidRPr="00782BF9" w:rsidRDefault="00CE3BAD">
            <w:pPr>
              <w:spacing w:after="0" w:line="240" w:lineRule="auto"/>
              <w:rPr>
                <w:rFonts w:eastAsia="Times New Roman"/>
                <w:noProof/>
                <w:sz w:val="18"/>
                <w:lang w:val="bg-BG"/>
              </w:rPr>
            </w:pPr>
          </w:p>
        </w:tc>
        <w:tc>
          <w:tcPr>
            <w:tcW w:w="971" w:type="dxa"/>
            <w:tcBorders>
              <w:top w:val="single" w:sz="4" w:space="0" w:color="auto"/>
              <w:left w:val="nil"/>
              <w:bottom w:val="single" w:sz="4" w:space="0" w:color="auto"/>
              <w:right w:val="single" w:sz="4" w:space="0" w:color="auto"/>
            </w:tcBorders>
            <w:shd w:val="clear" w:color="auto" w:fill="C6EFCE"/>
            <w:vAlign w:val="center"/>
          </w:tcPr>
          <w:p w14:paraId="1FB6612B"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32BA6FF6" w14:textId="77777777" w:rsidR="00CE3BAD" w:rsidRPr="00782BF9" w:rsidRDefault="006B5475">
            <w:pPr>
              <w:pStyle w:val="P68B1DB1-Normal10"/>
              <w:spacing w:after="0" w:line="240" w:lineRule="auto"/>
              <w:rPr>
                <w:rFonts w:eastAsia="Times New Roman"/>
                <w:noProof/>
                <w:lang w:val="bg-BG"/>
              </w:rPr>
            </w:pPr>
            <w:r w:rsidRPr="00782BF9">
              <w:rPr>
                <w:noProof/>
                <w:lang w:val="bg-BG"/>
              </w:rPr>
              <w:t>Дял на специалните образователни институции, получили подкрепа за образованието на ученици със специални образователни потребности</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3565F2D4" w14:textId="77777777" w:rsidR="00CE3BAD" w:rsidRPr="00782BF9" w:rsidRDefault="00CE3BAD">
            <w:pPr>
              <w:spacing w:after="0" w:line="240" w:lineRule="auto"/>
              <w:rPr>
                <w:rFonts w:eastAsia="Times New Roman" w:cstheme="minorHAnsi"/>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23218D47" w14:textId="77777777" w:rsidR="00CE3BAD" w:rsidRPr="00782BF9" w:rsidRDefault="006B5475">
            <w:pPr>
              <w:pStyle w:val="P68B1DB1-Normal10"/>
              <w:spacing w:after="0" w:line="240" w:lineRule="auto"/>
              <w:rPr>
                <w:rFonts w:eastAsia="Times New Roman"/>
                <w:noProof/>
                <w:lang w:val="bg-BG"/>
              </w:rPr>
            </w:pPr>
            <w:r w:rsidRPr="00782BF9">
              <w:rPr>
                <w:noProof/>
                <w:lang w:val="bg-BG"/>
              </w:rPr>
              <w:t>%</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5935A399"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79D2175E" w14:textId="77777777" w:rsidR="00CE3BAD" w:rsidRPr="00782BF9" w:rsidRDefault="006B5475">
            <w:pPr>
              <w:pStyle w:val="P68B1DB1-Normal10"/>
              <w:spacing w:after="0" w:line="240" w:lineRule="auto"/>
              <w:rPr>
                <w:rFonts w:eastAsia="Times New Roman"/>
                <w:noProof/>
                <w:lang w:val="bg-BG"/>
              </w:rPr>
            </w:pPr>
            <w:r w:rsidRPr="00782BF9">
              <w:rPr>
                <w:noProof/>
                <w:lang w:val="bg-BG"/>
              </w:rPr>
              <w:t>50</w:t>
            </w:r>
          </w:p>
        </w:tc>
        <w:tc>
          <w:tcPr>
            <w:tcW w:w="911" w:type="dxa"/>
            <w:tcBorders>
              <w:top w:val="single" w:sz="4" w:space="0" w:color="auto"/>
              <w:left w:val="nil"/>
              <w:bottom w:val="single" w:sz="4" w:space="0" w:color="auto"/>
              <w:right w:val="single" w:sz="4" w:space="0" w:color="auto"/>
            </w:tcBorders>
            <w:shd w:val="clear" w:color="auto" w:fill="C6EFCE"/>
            <w:vAlign w:val="center"/>
          </w:tcPr>
          <w:p w14:paraId="0BD77BD8"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64B6C956"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5356C71A" w14:textId="2753D83D"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Най-малко 50 % от специалните образователни институции, функциониращи през учебната 2025/2026 година, получават подкрепа за образованието на ученици със специални образователни потребности. Подкрепата се предоставя на ученици със специални нужди или на тяхната мрежа за подкрепа, включително родители, учители и педагогически персонал, и включва, според случая, следното: и) подобрени услуги както за учители/персонал, така и за ученици, по-специално засилена подкрепа за мобилността, наемане на оборудване, услуги за училищен транспорт, обучение, обмен на знания и програми за социално приемане, ii) закупуване на оборудване за физическа и ИКТ достъпност, инструменти за разработване, специално медицинско и техническо оборудване, общи и адаптирани електрически превозни средства за предоставяне на услуги. </w:t>
            </w:r>
          </w:p>
        </w:tc>
      </w:tr>
      <w:tr w:rsidR="00CE3BAD" w:rsidRPr="00782BF9" w14:paraId="13FC3BAE"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65552709" w14:textId="2CD29882" w:rsidR="00CE3BAD" w:rsidRPr="00782BF9" w:rsidRDefault="006B5475">
            <w:pPr>
              <w:pStyle w:val="P68B1DB1-Normal10"/>
              <w:spacing w:after="0" w:line="240" w:lineRule="auto"/>
              <w:rPr>
                <w:rFonts w:eastAsia="Times New Roman"/>
                <w:noProof/>
                <w:lang w:val="bg-BG"/>
              </w:rPr>
            </w:pPr>
            <w:r w:rsidRPr="00782BF9">
              <w:rPr>
                <w:noProof/>
                <w:lang w:val="bg-BG"/>
              </w:rPr>
              <w:t>12</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0EC76B99" w14:textId="1D693BB2" w:rsidR="00CE3BAD" w:rsidRPr="00782BF9" w:rsidRDefault="006B5475">
            <w:pPr>
              <w:pStyle w:val="P68B1DB1-Normal10"/>
              <w:spacing w:after="0" w:line="240" w:lineRule="auto"/>
              <w:rPr>
                <w:rFonts w:eastAsia="Times New Roman"/>
                <w:noProof/>
                <w:lang w:val="bg-BG"/>
              </w:rPr>
            </w:pPr>
            <w:r w:rsidRPr="00782BF9">
              <w:rPr>
                <w:noProof/>
                <w:lang w:val="bg-BG"/>
              </w:rPr>
              <w:t>C1.I2 Подкрепа за образованието на ученици със специални образователни потребности</w:t>
            </w:r>
          </w:p>
        </w:tc>
        <w:tc>
          <w:tcPr>
            <w:tcW w:w="971" w:type="dxa"/>
            <w:tcBorders>
              <w:top w:val="single" w:sz="4" w:space="0" w:color="auto"/>
              <w:left w:val="nil"/>
              <w:bottom w:val="single" w:sz="4" w:space="0" w:color="auto"/>
              <w:right w:val="single" w:sz="4" w:space="0" w:color="auto"/>
            </w:tcBorders>
            <w:shd w:val="clear" w:color="auto" w:fill="C6EFCE"/>
            <w:vAlign w:val="center"/>
          </w:tcPr>
          <w:p w14:paraId="13779291"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6D3E912D"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 ученици със специални образователни потребности, които са се възползвали от подобрени услуги</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145456A6" w14:textId="77777777" w:rsidR="00CE3BAD" w:rsidRPr="00782BF9" w:rsidRDefault="00CE3BAD">
            <w:pPr>
              <w:spacing w:after="0" w:line="240" w:lineRule="auto"/>
              <w:rPr>
                <w:rFonts w:eastAsia="Times New Roman" w:cstheme="minorHAnsi"/>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028CD5FB"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6FF9B015"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58E514C9" w14:textId="3DFD0CA0" w:rsidR="00CE3BAD" w:rsidRPr="00782BF9" w:rsidRDefault="006B5475">
            <w:pPr>
              <w:pStyle w:val="P68B1DB1-Normal10"/>
              <w:spacing w:after="0" w:line="240" w:lineRule="auto"/>
              <w:rPr>
                <w:rFonts w:eastAsia="Times New Roman"/>
                <w:noProof/>
                <w:lang w:val="bg-BG"/>
              </w:rPr>
            </w:pPr>
            <w:r w:rsidRPr="00782BF9">
              <w:rPr>
                <w:noProof/>
                <w:lang w:val="bg-BG"/>
              </w:rPr>
              <w:t>45</w:t>
            </w:r>
            <w:r w:rsidRPr="00782BF9">
              <w:rPr>
                <w:noProof/>
                <w:color w:val="006100"/>
                <w:lang w:val="bg-BG"/>
              </w:rPr>
              <w:t xml:space="preserve"> </w:t>
            </w:r>
            <w:r w:rsidRPr="00782BF9">
              <w:rPr>
                <w:noProof/>
                <w:lang w:val="bg-BG"/>
              </w:rPr>
              <w:t>000</w:t>
            </w:r>
          </w:p>
        </w:tc>
        <w:tc>
          <w:tcPr>
            <w:tcW w:w="911" w:type="dxa"/>
            <w:tcBorders>
              <w:top w:val="single" w:sz="4" w:space="0" w:color="auto"/>
              <w:left w:val="nil"/>
              <w:bottom w:val="single" w:sz="4" w:space="0" w:color="auto"/>
              <w:right w:val="single" w:sz="4" w:space="0" w:color="auto"/>
            </w:tcBorders>
            <w:shd w:val="clear" w:color="auto" w:fill="C6EFCE"/>
            <w:vAlign w:val="center"/>
          </w:tcPr>
          <w:p w14:paraId="675B36DD" w14:textId="77777777" w:rsidR="00CE3BAD" w:rsidRPr="00782BF9" w:rsidRDefault="006B5475">
            <w:pPr>
              <w:pStyle w:val="P68B1DB1-Normal10"/>
              <w:spacing w:after="0" w:line="240" w:lineRule="auto"/>
              <w:rPr>
                <w:rFonts w:eastAsia="Times New Roman"/>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31549FF1"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250" w:type="dxa"/>
            <w:tcBorders>
              <w:top w:val="single" w:sz="4" w:space="0" w:color="auto"/>
              <w:left w:val="nil"/>
              <w:bottom w:val="single" w:sz="4" w:space="0" w:color="auto"/>
              <w:right w:val="single" w:sz="4" w:space="0" w:color="auto"/>
            </w:tcBorders>
            <w:shd w:val="clear" w:color="auto" w:fill="C6EFCE"/>
          </w:tcPr>
          <w:p w14:paraId="1688AA5C" w14:textId="4A142C5A" w:rsidR="00CE3BAD" w:rsidRPr="00782BF9" w:rsidRDefault="006B5475">
            <w:pPr>
              <w:pStyle w:val="P68B1DB1-Normal10"/>
              <w:spacing w:after="0" w:line="240" w:lineRule="auto"/>
              <w:jc w:val="both"/>
              <w:rPr>
                <w:rFonts w:eastAsia="Times New Roman"/>
                <w:noProof/>
                <w:lang w:val="bg-BG"/>
              </w:rPr>
            </w:pPr>
            <w:r w:rsidRPr="00782BF9">
              <w:rPr>
                <w:noProof/>
                <w:lang w:val="bg-BG"/>
              </w:rPr>
              <w:t>Най-малко 45</w:t>
            </w:r>
            <w:r w:rsidRPr="00782BF9">
              <w:rPr>
                <w:noProof/>
                <w:color w:val="006100"/>
                <w:lang w:val="bg-BG"/>
              </w:rPr>
              <w:t xml:space="preserve"> </w:t>
            </w:r>
            <w:r w:rsidRPr="00782BF9">
              <w:rPr>
                <w:noProof/>
                <w:lang w:val="bg-BG"/>
              </w:rPr>
              <w:t xml:space="preserve">000 ученици със специални образователни потребности (СОП) се възползват от подобрените услуги, посочени в цел 11. </w:t>
            </w:r>
          </w:p>
        </w:tc>
      </w:tr>
      <w:tr w:rsidR="00CE3BAD" w:rsidRPr="00782BF9" w14:paraId="6C2C0B11"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4E8A34C9" w14:textId="545429FD" w:rsidR="00CE3BAD" w:rsidRPr="00782BF9" w:rsidRDefault="006B5475">
            <w:pPr>
              <w:pStyle w:val="P68B1DB1-Normal10"/>
              <w:spacing w:after="0" w:line="240" w:lineRule="auto"/>
              <w:rPr>
                <w:rFonts w:eastAsia="Times New Roman"/>
                <w:noProof/>
                <w:lang w:val="bg-BG"/>
              </w:rPr>
            </w:pPr>
            <w:r w:rsidRPr="00782BF9">
              <w:rPr>
                <w:noProof/>
                <w:lang w:val="bg-BG"/>
              </w:rPr>
              <w:t>13</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2717F42A" w14:textId="5C734D62" w:rsidR="00CE3BAD" w:rsidRPr="00782BF9" w:rsidRDefault="006B5475">
            <w:pPr>
              <w:pStyle w:val="P68B1DB1-Normal10"/>
              <w:spacing w:after="0" w:line="240" w:lineRule="auto"/>
              <w:rPr>
                <w:rFonts w:eastAsia="Times New Roman"/>
                <w:noProof/>
                <w:lang w:val="bg-BG"/>
              </w:rPr>
            </w:pPr>
            <w:r w:rsidRPr="00782BF9">
              <w:rPr>
                <w:noProof/>
                <w:lang w:val="bg-BG"/>
              </w:rPr>
              <w:t>C1.I2 Подкрепа за образованието на ученици със специални образователни потребности</w:t>
            </w:r>
          </w:p>
          <w:p w14:paraId="5CFEAD5F" w14:textId="77777777" w:rsidR="00CE3BAD" w:rsidRPr="00782BF9" w:rsidRDefault="00CE3BAD">
            <w:pPr>
              <w:spacing w:after="0" w:line="240" w:lineRule="auto"/>
              <w:rPr>
                <w:rFonts w:eastAsia="Times New Roman"/>
                <w:noProof/>
                <w:sz w:val="18"/>
                <w:lang w:val="bg-BG"/>
              </w:rPr>
            </w:pPr>
          </w:p>
        </w:tc>
        <w:tc>
          <w:tcPr>
            <w:tcW w:w="971" w:type="dxa"/>
            <w:tcBorders>
              <w:top w:val="single" w:sz="4" w:space="0" w:color="auto"/>
              <w:left w:val="nil"/>
              <w:bottom w:val="single" w:sz="4" w:space="0" w:color="auto"/>
              <w:right w:val="single" w:sz="4" w:space="0" w:color="auto"/>
            </w:tcBorders>
            <w:shd w:val="clear" w:color="auto" w:fill="C6EFCE"/>
            <w:vAlign w:val="center"/>
          </w:tcPr>
          <w:p w14:paraId="314E059B"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1939DAF6"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Брой на учителите със специално образование, преминали професионално обучение на работното място </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5B91C610" w14:textId="77777777" w:rsidR="00CE3BAD" w:rsidRPr="00782BF9" w:rsidRDefault="00CE3BAD">
            <w:pPr>
              <w:spacing w:after="0" w:line="240" w:lineRule="auto"/>
              <w:rPr>
                <w:rFonts w:eastAsia="Times New Roman" w:cstheme="minorHAnsi"/>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02684495"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751BC9C3"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4618428A" w14:textId="5E38B8E2" w:rsidR="00CE3BAD" w:rsidRPr="00782BF9" w:rsidRDefault="006B5475">
            <w:pPr>
              <w:pStyle w:val="P68B1DB1-Normal10"/>
              <w:spacing w:after="0" w:line="240" w:lineRule="auto"/>
              <w:rPr>
                <w:rFonts w:eastAsia="Times New Roman"/>
                <w:noProof/>
                <w:lang w:val="bg-BG"/>
              </w:rPr>
            </w:pPr>
            <w:r w:rsidRPr="00782BF9">
              <w:rPr>
                <w:noProof/>
                <w:lang w:val="bg-BG"/>
              </w:rPr>
              <w:t>5</w:t>
            </w:r>
            <w:r w:rsidRPr="00782BF9">
              <w:rPr>
                <w:noProof/>
                <w:color w:val="006100"/>
                <w:lang w:val="bg-BG"/>
              </w:rPr>
              <w:t xml:space="preserve"> </w:t>
            </w:r>
            <w:r w:rsidRPr="00782BF9">
              <w:rPr>
                <w:noProof/>
                <w:lang w:val="bg-BG"/>
              </w:rPr>
              <w:t>000</w:t>
            </w:r>
          </w:p>
        </w:tc>
        <w:tc>
          <w:tcPr>
            <w:tcW w:w="911" w:type="dxa"/>
            <w:tcBorders>
              <w:top w:val="single" w:sz="4" w:space="0" w:color="auto"/>
              <w:left w:val="nil"/>
              <w:bottom w:val="single" w:sz="4" w:space="0" w:color="auto"/>
              <w:right w:val="single" w:sz="4" w:space="0" w:color="auto"/>
            </w:tcBorders>
            <w:shd w:val="clear" w:color="auto" w:fill="C6EFCE"/>
            <w:vAlign w:val="center"/>
          </w:tcPr>
          <w:p w14:paraId="2BBD8CEA" w14:textId="77777777" w:rsidR="00CE3BAD" w:rsidRPr="00782BF9" w:rsidRDefault="006B5475">
            <w:pPr>
              <w:pStyle w:val="P68B1DB1-Normal10"/>
              <w:spacing w:after="0" w:line="240" w:lineRule="auto"/>
              <w:rPr>
                <w:rFonts w:eastAsia="Times New Roman"/>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21D3AC40"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5083D26A" w14:textId="0C3567EB" w:rsidR="00CE3BAD" w:rsidRPr="00782BF9" w:rsidRDefault="006B5475">
            <w:pPr>
              <w:pStyle w:val="P68B1DB1-Normal10"/>
              <w:spacing w:after="0" w:line="240" w:lineRule="auto"/>
              <w:jc w:val="both"/>
              <w:rPr>
                <w:rFonts w:eastAsia="Times New Roman"/>
                <w:noProof/>
                <w:lang w:val="bg-BG"/>
              </w:rPr>
            </w:pPr>
            <w:r w:rsidRPr="00782BF9">
              <w:rPr>
                <w:noProof/>
                <w:lang w:val="bg-BG"/>
              </w:rPr>
              <w:t>Най-малко 5</w:t>
            </w:r>
            <w:r w:rsidRPr="00782BF9">
              <w:rPr>
                <w:noProof/>
                <w:color w:val="006100"/>
                <w:lang w:val="bg-BG"/>
              </w:rPr>
              <w:t xml:space="preserve"> </w:t>
            </w:r>
            <w:r w:rsidRPr="00782BF9">
              <w:rPr>
                <w:noProof/>
                <w:lang w:val="bg-BG"/>
              </w:rPr>
              <w:t>000 учители в областта на специалното образование преминават специално обучение (развиване на компетентности, процедури за диагностика и използване на специални инструменти) и професионално развитие, включително по-специално обучение за придобиване на специални педагогически умения в подкрепа на учениците със СОП.</w:t>
            </w:r>
          </w:p>
        </w:tc>
      </w:tr>
      <w:tr w:rsidR="00CE3BAD" w:rsidRPr="00782BF9" w14:paraId="73333233"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5404A6F0" w14:textId="3BDBA467" w:rsidR="00CE3BAD" w:rsidRPr="00782BF9" w:rsidRDefault="006B5475">
            <w:pPr>
              <w:pStyle w:val="P68B1DB1-Normal10"/>
              <w:spacing w:line="240" w:lineRule="auto"/>
              <w:rPr>
                <w:rFonts w:eastAsia="Times New Roman"/>
                <w:noProof/>
                <w:lang w:val="bg-BG"/>
              </w:rPr>
            </w:pPr>
            <w:r w:rsidRPr="00782BF9">
              <w:rPr>
                <w:noProof/>
                <w:lang w:val="bg-BG"/>
              </w:rPr>
              <w:t>14</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7495D112" w14:textId="3966F13C" w:rsidR="00CE3BAD" w:rsidRPr="00782BF9" w:rsidRDefault="006B5475">
            <w:pPr>
              <w:pStyle w:val="P68B1DB1-Normal10"/>
              <w:spacing w:after="0" w:line="240" w:lineRule="auto"/>
              <w:rPr>
                <w:rFonts w:eastAsia="Times New Roman"/>
                <w:noProof/>
                <w:lang w:val="bg-BG"/>
              </w:rPr>
            </w:pPr>
            <w:r w:rsidRPr="00782BF9">
              <w:rPr>
                <w:noProof/>
                <w:lang w:val="bg-BG"/>
              </w:rPr>
              <w:t>C1.R2 Намаляване на риска от сегрегация в училищата</w:t>
            </w:r>
          </w:p>
        </w:tc>
        <w:tc>
          <w:tcPr>
            <w:tcW w:w="971" w:type="dxa"/>
            <w:tcBorders>
              <w:top w:val="single" w:sz="4" w:space="0" w:color="auto"/>
              <w:left w:val="nil"/>
              <w:bottom w:val="single" w:sz="4" w:space="0" w:color="auto"/>
              <w:right w:val="single" w:sz="4" w:space="0" w:color="auto"/>
            </w:tcBorders>
            <w:shd w:val="clear" w:color="auto" w:fill="C6EFCE"/>
            <w:vAlign w:val="center"/>
          </w:tcPr>
          <w:p w14:paraId="4741A099" w14:textId="3E4C26C8" w:rsidR="00CE3BAD" w:rsidRPr="00782BF9" w:rsidRDefault="006B5475">
            <w:pPr>
              <w:pStyle w:val="P68B1DB1-Normal10"/>
              <w:spacing w:line="240" w:lineRule="auto"/>
              <w:rPr>
                <w:rFonts w:eastAsia="Times New Roman"/>
                <w:noProof/>
                <w:lang w:val="bg-BG"/>
              </w:rPr>
            </w:pPr>
            <w:r w:rsidRPr="00782BF9">
              <w:rPr>
                <w:noProof/>
                <w:lang w:val="bg-BG"/>
              </w:rPr>
              <w:t>Ключов етап</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68B5BC39" w14:textId="097DFC4F" w:rsidR="00CE3BAD" w:rsidRPr="00782BF9" w:rsidRDefault="006B5475">
            <w:pPr>
              <w:pStyle w:val="P68B1DB1-Normal10"/>
              <w:spacing w:after="0" w:line="240" w:lineRule="auto"/>
              <w:rPr>
                <w:rFonts w:eastAsia="Times New Roman"/>
                <w:noProof/>
                <w:lang w:val="bg-BG"/>
              </w:rPr>
            </w:pPr>
            <w:r w:rsidRPr="00782BF9">
              <w:rPr>
                <w:noProof/>
                <w:lang w:val="bg-BG"/>
              </w:rPr>
              <w:t>Влизане в сила на законодателство, предвиждащо намаляване на държавната подкрепа за началните и прогимназиалните училища с нисък дял на учениците в неравностойно положение</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68A9D365" w14:textId="34BAD09D" w:rsidR="00CE3BAD" w:rsidRPr="00782BF9" w:rsidRDefault="006B5475">
            <w:pPr>
              <w:pStyle w:val="P68B1DB1-Normal10"/>
              <w:spacing w:line="240" w:lineRule="auto"/>
              <w:rPr>
                <w:rFonts w:eastAsia="Times New Roman"/>
                <w:noProof/>
                <w:lang w:val="bg-BG"/>
              </w:rPr>
            </w:pPr>
            <w:r w:rsidRPr="00782BF9">
              <w:rPr>
                <w:noProof/>
                <w:lang w:val="bg-BG"/>
              </w:rPr>
              <w:t>Разпоредби в законодателството, указващи влизането му в сила</w:t>
            </w:r>
          </w:p>
        </w:tc>
        <w:tc>
          <w:tcPr>
            <w:tcW w:w="1112" w:type="dxa"/>
            <w:tcBorders>
              <w:top w:val="single" w:sz="4" w:space="0" w:color="auto"/>
              <w:left w:val="nil"/>
              <w:bottom w:val="single" w:sz="4" w:space="0" w:color="auto"/>
              <w:right w:val="single" w:sz="4" w:space="0" w:color="auto"/>
            </w:tcBorders>
            <w:shd w:val="clear" w:color="auto" w:fill="C6EFCE"/>
            <w:vAlign w:val="center"/>
          </w:tcPr>
          <w:p w14:paraId="52EFFDA4" w14:textId="6B719BE9" w:rsidR="00CE3BAD" w:rsidRPr="00782BF9" w:rsidRDefault="00CE3BAD">
            <w:pPr>
              <w:spacing w:line="240" w:lineRule="auto"/>
              <w:rPr>
                <w:rFonts w:eastAsia="Times New Roman"/>
                <w:noProof/>
                <w:sz w:val="18"/>
                <w:lang w:val="bg-BG"/>
              </w:rPr>
            </w:pPr>
          </w:p>
        </w:tc>
        <w:tc>
          <w:tcPr>
            <w:tcW w:w="1674" w:type="dxa"/>
            <w:tcBorders>
              <w:top w:val="single" w:sz="4" w:space="0" w:color="auto"/>
              <w:left w:val="nil"/>
              <w:bottom w:val="single" w:sz="4" w:space="0" w:color="auto"/>
              <w:right w:val="single" w:sz="4" w:space="0" w:color="auto"/>
            </w:tcBorders>
            <w:shd w:val="clear" w:color="auto" w:fill="C6EFCE"/>
            <w:vAlign w:val="center"/>
          </w:tcPr>
          <w:p w14:paraId="63D5E247" w14:textId="55722D3B" w:rsidR="00CE3BAD" w:rsidRPr="00782BF9" w:rsidRDefault="00CE3BAD">
            <w:pPr>
              <w:spacing w:line="240" w:lineRule="auto"/>
              <w:rPr>
                <w:rFonts w:eastAsia="Times New Roman"/>
                <w:noProof/>
                <w:sz w:val="18"/>
                <w:lang w:val="bg-BG"/>
              </w:rPr>
            </w:pPr>
          </w:p>
        </w:tc>
        <w:tc>
          <w:tcPr>
            <w:tcW w:w="1161" w:type="dxa"/>
            <w:tcBorders>
              <w:top w:val="single" w:sz="4" w:space="0" w:color="auto"/>
              <w:left w:val="nil"/>
              <w:bottom w:val="single" w:sz="4" w:space="0" w:color="auto"/>
              <w:right w:val="single" w:sz="4" w:space="0" w:color="auto"/>
            </w:tcBorders>
            <w:shd w:val="clear" w:color="auto" w:fill="C6EFCE"/>
            <w:vAlign w:val="center"/>
          </w:tcPr>
          <w:p w14:paraId="43AD78E3" w14:textId="2BD13D1E" w:rsidR="00CE3BAD" w:rsidRPr="00782BF9" w:rsidRDefault="00CE3BAD">
            <w:pPr>
              <w:spacing w:line="240" w:lineRule="auto"/>
              <w:rPr>
                <w:rFonts w:eastAsia="Times New Roman"/>
                <w:noProof/>
                <w:sz w:val="18"/>
                <w:lang w:val="bg-BG"/>
              </w:rPr>
            </w:pPr>
          </w:p>
        </w:tc>
        <w:tc>
          <w:tcPr>
            <w:tcW w:w="911" w:type="dxa"/>
            <w:tcBorders>
              <w:top w:val="single" w:sz="4" w:space="0" w:color="auto"/>
              <w:left w:val="nil"/>
              <w:bottom w:val="single" w:sz="4" w:space="0" w:color="auto"/>
              <w:right w:val="single" w:sz="4" w:space="0" w:color="auto"/>
            </w:tcBorders>
            <w:shd w:val="clear" w:color="auto" w:fill="C6EFCE"/>
            <w:vAlign w:val="center"/>
          </w:tcPr>
          <w:p w14:paraId="776D9A22" w14:textId="4E7D12EF" w:rsidR="00CE3BAD" w:rsidRPr="00782BF9" w:rsidRDefault="006B5475">
            <w:pPr>
              <w:pStyle w:val="P68B1DB1-Normal10"/>
              <w:spacing w:line="240" w:lineRule="auto"/>
              <w:rPr>
                <w:rFonts w:eastAsia="Times New Roman"/>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2D4C7BAF" w14:textId="74CF78FB" w:rsidR="00CE3BAD" w:rsidRPr="00782BF9" w:rsidRDefault="006B5475">
            <w:pPr>
              <w:pStyle w:val="P68B1DB1-Normal10"/>
              <w:spacing w:line="240" w:lineRule="auto"/>
              <w:rPr>
                <w:rFonts w:eastAsia="Times New Roman"/>
                <w:noProof/>
                <w:lang w:val="bg-BG"/>
              </w:rPr>
            </w:pPr>
            <w:r w:rsidRPr="00782BF9">
              <w:rPr>
                <w:noProof/>
                <w:lang w:val="bg-BG"/>
              </w:rPr>
              <w:t>2023</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08C326C2" w14:textId="4981A46C"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Влизане в сила на законодателство за намаляване на държавната подкрепа за началните и прогимназиалните училища (класове 1—8) с нисък дял на учениците в неравностойно положение. </w:t>
            </w:r>
          </w:p>
          <w:p w14:paraId="1291E678" w14:textId="77777777" w:rsidR="00CE3BAD" w:rsidRPr="00782BF9" w:rsidRDefault="00CE3BAD">
            <w:pPr>
              <w:spacing w:after="0" w:line="240" w:lineRule="auto"/>
              <w:jc w:val="both"/>
              <w:rPr>
                <w:rFonts w:eastAsia="Times New Roman"/>
                <w:noProof/>
                <w:sz w:val="18"/>
                <w:lang w:val="bg-BG"/>
              </w:rPr>
            </w:pPr>
          </w:p>
          <w:p w14:paraId="1207E465" w14:textId="0F670705" w:rsidR="00CE3BAD" w:rsidRPr="00782BF9" w:rsidRDefault="006B5475">
            <w:pPr>
              <w:pStyle w:val="P68B1DB1-Normal10"/>
              <w:spacing w:after="0" w:line="240" w:lineRule="auto"/>
              <w:jc w:val="both"/>
              <w:rPr>
                <w:rFonts w:eastAsia="Times New Roman"/>
                <w:noProof/>
                <w:lang w:val="bg-BG"/>
              </w:rPr>
            </w:pPr>
            <w:r w:rsidRPr="00782BF9">
              <w:rPr>
                <w:noProof/>
                <w:lang w:val="bg-BG"/>
              </w:rPr>
              <w:t>Законодателството включва разпоредби, съгласно които държавната подкрепа за началните и прогимназиалните училища (както държавните, така и недържавните училища, получаващи държавно финансиране), функциониращи в многоучилищни селища (т.е. населени места с повече от едно училище или повече от една училищна сграда), се намалява с 10 %, ако делът на учениците в неравностойно положение в тези училища е:</w:t>
            </w:r>
          </w:p>
          <w:p w14:paraId="34426F9B" w14:textId="31E0050D" w:rsidR="00CE3BAD" w:rsidRPr="00782BF9" w:rsidRDefault="006B5475">
            <w:pPr>
              <w:pStyle w:val="P68B1DB1-ListParagraph11"/>
              <w:numPr>
                <w:ilvl w:val="0"/>
                <w:numId w:val="6"/>
              </w:numPr>
              <w:spacing w:after="0" w:line="240" w:lineRule="auto"/>
              <w:ind w:left="472" w:hanging="283"/>
              <w:jc w:val="both"/>
              <w:rPr>
                <w:rFonts w:eastAsia="Times New Roman"/>
                <w:noProof/>
                <w:lang w:val="bg-BG"/>
              </w:rPr>
            </w:pPr>
            <w:r w:rsidRPr="00782BF9">
              <w:rPr>
                <w:noProof/>
                <w:lang w:val="bg-BG"/>
              </w:rPr>
              <w:t>с повече от 20 процентни пункта по-нисък от средния дял в населеното място (на равнище LAU), където се намира училището, определен в началото на учебните 2023/2024 и 2024/2025 години;</w:t>
            </w:r>
          </w:p>
          <w:p w14:paraId="2837D4E3" w14:textId="77777777" w:rsidR="00CE3BAD" w:rsidRPr="00782BF9" w:rsidRDefault="006B5475">
            <w:pPr>
              <w:pStyle w:val="P68B1DB1-ListParagraph11"/>
              <w:numPr>
                <w:ilvl w:val="0"/>
                <w:numId w:val="6"/>
              </w:numPr>
              <w:spacing w:after="0" w:line="240" w:lineRule="auto"/>
              <w:ind w:left="472" w:hanging="283"/>
              <w:jc w:val="both"/>
              <w:rPr>
                <w:rFonts w:eastAsia="Times New Roman"/>
                <w:noProof/>
                <w:lang w:val="bg-BG"/>
              </w:rPr>
            </w:pPr>
            <w:r w:rsidRPr="00782BF9">
              <w:rPr>
                <w:noProof/>
                <w:lang w:val="bg-BG"/>
              </w:rPr>
              <w:t>с повече от 15 процентни пункта по-нисък от средния дял в населеното място (на ниво LAU), където се намира училището, определен в началото на учебната 2025/2026 година и на следващите учебни години.</w:t>
            </w:r>
          </w:p>
          <w:p w14:paraId="1D731408" w14:textId="77777777" w:rsidR="00CE3BAD" w:rsidRPr="00782BF9" w:rsidRDefault="00CE3BAD">
            <w:pPr>
              <w:spacing w:after="0" w:line="240" w:lineRule="auto"/>
              <w:jc w:val="both"/>
              <w:rPr>
                <w:rFonts w:eastAsia="Times New Roman"/>
                <w:noProof/>
                <w:sz w:val="18"/>
                <w:lang w:val="bg-BG"/>
              </w:rPr>
            </w:pPr>
          </w:p>
          <w:p w14:paraId="4947182E" w14:textId="6D6F9C58" w:rsidR="00CE3BAD" w:rsidRPr="00782BF9" w:rsidRDefault="006B5475">
            <w:pPr>
              <w:pStyle w:val="P68B1DB1-Normal10"/>
              <w:spacing w:line="240" w:lineRule="auto"/>
              <w:jc w:val="both"/>
              <w:rPr>
                <w:rFonts w:eastAsia="Times New Roman"/>
                <w:noProof/>
                <w:lang w:val="bg-BG"/>
              </w:rPr>
            </w:pPr>
            <w:r w:rsidRPr="00782BF9">
              <w:rPr>
                <w:noProof/>
                <w:lang w:val="bg-BG"/>
              </w:rPr>
              <w:t>Законодателните разпоредби се прилагат от учебната 2023/2024 година. Приложимостта на разпоредбите за отделните училища се определя в началото на всяка учебна година и не по-късно от 15 октомври. Намалението от 10 % на държавната подкрепа се прилага от 1 януари през съответната учебна година и за цялата календарна година.</w:t>
            </w:r>
          </w:p>
        </w:tc>
      </w:tr>
      <w:tr w:rsidR="00CE3BAD" w:rsidRPr="00782BF9" w14:paraId="233CFA10"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20BE10B9" w14:textId="743EE6EB" w:rsidR="00CE3BAD" w:rsidRPr="00782BF9" w:rsidRDefault="006B5475">
            <w:pPr>
              <w:pStyle w:val="P68B1DB1-Normal10"/>
              <w:spacing w:line="240" w:lineRule="auto"/>
              <w:rPr>
                <w:rFonts w:eastAsia="Times New Roman"/>
                <w:noProof/>
                <w:lang w:val="bg-BG"/>
              </w:rPr>
            </w:pPr>
            <w:r w:rsidRPr="00782BF9">
              <w:rPr>
                <w:noProof/>
                <w:lang w:val="bg-BG"/>
              </w:rPr>
              <w:t>15</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4DDB9F01" w14:textId="4E2529D5" w:rsidR="00CE3BAD" w:rsidRPr="00782BF9" w:rsidRDefault="006B5475">
            <w:pPr>
              <w:pStyle w:val="P68B1DB1-Normal10"/>
              <w:spacing w:after="0" w:line="240" w:lineRule="auto"/>
              <w:rPr>
                <w:rFonts w:eastAsia="Times New Roman"/>
                <w:noProof/>
                <w:lang w:val="bg-BG"/>
              </w:rPr>
            </w:pPr>
            <w:r w:rsidRPr="00782BF9">
              <w:rPr>
                <w:noProof/>
                <w:lang w:val="bg-BG"/>
              </w:rPr>
              <w:t>C1.R2 Намаляване на риска от сегрегация в училищата</w:t>
            </w:r>
          </w:p>
        </w:tc>
        <w:tc>
          <w:tcPr>
            <w:tcW w:w="971" w:type="dxa"/>
            <w:tcBorders>
              <w:top w:val="single" w:sz="4" w:space="0" w:color="auto"/>
              <w:left w:val="nil"/>
              <w:bottom w:val="single" w:sz="4" w:space="0" w:color="auto"/>
              <w:right w:val="single" w:sz="4" w:space="0" w:color="auto"/>
            </w:tcBorders>
            <w:shd w:val="clear" w:color="auto" w:fill="C6EFCE"/>
            <w:vAlign w:val="center"/>
          </w:tcPr>
          <w:p w14:paraId="423BEE7C" w14:textId="2203EF29" w:rsidR="00CE3BAD" w:rsidRPr="00782BF9" w:rsidRDefault="006B5475">
            <w:pPr>
              <w:pStyle w:val="P68B1DB1-Normal10"/>
              <w:spacing w:line="240" w:lineRule="auto"/>
              <w:rPr>
                <w:rFonts w:eastAsia="Times New Roman"/>
                <w:noProof/>
                <w:lang w:val="bg-BG"/>
              </w:rPr>
            </w:pPr>
            <w:r w:rsidRPr="00782BF9">
              <w:rPr>
                <w:noProof/>
                <w:lang w:val="bg-BG"/>
              </w:rPr>
              <w:t>Ключов етап</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67FE60B2" w14:textId="0BA2ED8D" w:rsidR="00CE3BAD" w:rsidRPr="00782BF9" w:rsidRDefault="006B5475">
            <w:pPr>
              <w:pStyle w:val="P68B1DB1-Normal10"/>
              <w:spacing w:line="240" w:lineRule="auto"/>
              <w:rPr>
                <w:rFonts w:eastAsia="Times New Roman"/>
                <w:noProof/>
                <w:lang w:val="bg-BG"/>
              </w:rPr>
            </w:pPr>
            <w:r w:rsidRPr="00782BF9">
              <w:rPr>
                <w:noProof/>
                <w:lang w:val="bg-BG"/>
              </w:rPr>
              <w:t>Доклад относно прилагането на новото законодателство, предвиждащо намаляване на държавната подкрепа за началните и прогимназиалните училища с нисък дял на ученици в неравностойно положение</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5F87C386" w14:textId="5CCE2EDB" w:rsidR="00CE3BAD" w:rsidRPr="00782BF9" w:rsidRDefault="006B5475">
            <w:pPr>
              <w:pStyle w:val="P68B1DB1-Normal10"/>
              <w:spacing w:after="0" w:line="240" w:lineRule="auto"/>
              <w:rPr>
                <w:rFonts w:eastAsia="Times New Roman"/>
                <w:noProof/>
                <w:lang w:val="bg-BG"/>
              </w:rPr>
            </w:pPr>
            <w:r w:rsidRPr="00782BF9">
              <w:rPr>
                <w:noProof/>
                <w:lang w:val="bg-BG"/>
              </w:rPr>
              <w:t>Публикуване на доклада от министерството, отговарящо за общественото образование</w:t>
            </w:r>
          </w:p>
        </w:tc>
        <w:tc>
          <w:tcPr>
            <w:tcW w:w="1112" w:type="dxa"/>
            <w:tcBorders>
              <w:top w:val="single" w:sz="4" w:space="0" w:color="auto"/>
              <w:left w:val="nil"/>
              <w:bottom w:val="single" w:sz="4" w:space="0" w:color="auto"/>
              <w:right w:val="single" w:sz="4" w:space="0" w:color="auto"/>
            </w:tcBorders>
            <w:shd w:val="clear" w:color="auto" w:fill="C6EFCE"/>
            <w:vAlign w:val="center"/>
          </w:tcPr>
          <w:p w14:paraId="59E48D8D" w14:textId="6F5E0BCA" w:rsidR="00CE3BAD" w:rsidRPr="00782BF9" w:rsidRDefault="00CE3BAD">
            <w:pPr>
              <w:spacing w:line="240" w:lineRule="auto"/>
              <w:rPr>
                <w:rFonts w:eastAsia="Times New Roman"/>
                <w:noProof/>
                <w:sz w:val="18"/>
                <w:lang w:val="bg-BG"/>
              </w:rPr>
            </w:pPr>
          </w:p>
        </w:tc>
        <w:tc>
          <w:tcPr>
            <w:tcW w:w="1674" w:type="dxa"/>
            <w:tcBorders>
              <w:top w:val="single" w:sz="4" w:space="0" w:color="auto"/>
              <w:left w:val="nil"/>
              <w:bottom w:val="single" w:sz="4" w:space="0" w:color="auto"/>
              <w:right w:val="single" w:sz="4" w:space="0" w:color="auto"/>
            </w:tcBorders>
            <w:shd w:val="clear" w:color="auto" w:fill="C6EFCE"/>
            <w:vAlign w:val="center"/>
          </w:tcPr>
          <w:p w14:paraId="63A777AA" w14:textId="14BAA05E" w:rsidR="00CE3BAD" w:rsidRPr="00782BF9" w:rsidRDefault="00CE3BAD">
            <w:pPr>
              <w:spacing w:line="240" w:lineRule="auto"/>
              <w:rPr>
                <w:rFonts w:eastAsia="Times New Roman"/>
                <w:noProof/>
                <w:sz w:val="18"/>
                <w:lang w:val="bg-BG"/>
              </w:rPr>
            </w:pPr>
          </w:p>
        </w:tc>
        <w:tc>
          <w:tcPr>
            <w:tcW w:w="1161" w:type="dxa"/>
            <w:tcBorders>
              <w:top w:val="single" w:sz="4" w:space="0" w:color="auto"/>
              <w:left w:val="nil"/>
              <w:bottom w:val="single" w:sz="4" w:space="0" w:color="auto"/>
              <w:right w:val="single" w:sz="4" w:space="0" w:color="auto"/>
            </w:tcBorders>
            <w:shd w:val="clear" w:color="auto" w:fill="C6EFCE"/>
            <w:vAlign w:val="center"/>
          </w:tcPr>
          <w:p w14:paraId="0C664F4A" w14:textId="56C11ACD" w:rsidR="00CE3BAD" w:rsidRPr="00782BF9" w:rsidRDefault="00CE3BAD">
            <w:pPr>
              <w:spacing w:line="240" w:lineRule="auto"/>
              <w:rPr>
                <w:rFonts w:eastAsia="Times New Roman"/>
                <w:noProof/>
                <w:sz w:val="18"/>
                <w:lang w:val="bg-BG"/>
              </w:rPr>
            </w:pPr>
          </w:p>
        </w:tc>
        <w:tc>
          <w:tcPr>
            <w:tcW w:w="911" w:type="dxa"/>
            <w:tcBorders>
              <w:top w:val="single" w:sz="4" w:space="0" w:color="auto"/>
              <w:left w:val="nil"/>
              <w:bottom w:val="single" w:sz="4" w:space="0" w:color="auto"/>
              <w:right w:val="single" w:sz="4" w:space="0" w:color="auto"/>
            </w:tcBorders>
            <w:shd w:val="clear" w:color="auto" w:fill="C6EFCE"/>
            <w:vAlign w:val="center"/>
          </w:tcPr>
          <w:p w14:paraId="0FECBAD1" w14:textId="3AFCCC98" w:rsidR="00CE3BAD" w:rsidRPr="00782BF9" w:rsidRDefault="006B5475">
            <w:pPr>
              <w:pStyle w:val="P68B1DB1-Normal10"/>
              <w:spacing w:line="240" w:lineRule="auto"/>
              <w:rPr>
                <w:rFonts w:eastAsia="Times New Roman"/>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5FFD97F5" w14:textId="7FEDE705" w:rsidR="00CE3BAD" w:rsidRPr="00782BF9" w:rsidRDefault="006B5475">
            <w:pPr>
              <w:pStyle w:val="P68B1DB1-Normal10"/>
              <w:spacing w:line="240" w:lineRule="auto"/>
              <w:rPr>
                <w:rFonts w:eastAsia="Times New Roman"/>
                <w:noProof/>
                <w:lang w:val="bg-BG"/>
              </w:rPr>
            </w:pPr>
            <w:r w:rsidRPr="00782BF9">
              <w:rPr>
                <w:noProof/>
                <w:lang w:val="bg-BG"/>
              </w:rPr>
              <w:t>2025</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495C4322" w14:textId="07A8DE8B"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Ще бъде публикуван доклад, показващ, че се прилага новото законодателство, предвиждащо намаляване на държавната подкрепа за началните и прогимназиалните училища (класове 1—8) с нисък дял на учениците в неравностойно положение. </w:t>
            </w:r>
          </w:p>
          <w:p w14:paraId="6E997947" w14:textId="77777777" w:rsidR="00CE3BAD" w:rsidRPr="00782BF9" w:rsidRDefault="00CE3BAD">
            <w:pPr>
              <w:spacing w:after="0" w:line="240" w:lineRule="auto"/>
              <w:jc w:val="both"/>
              <w:rPr>
                <w:rFonts w:eastAsia="Times New Roman"/>
                <w:noProof/>
                <w:sz w:val="18"/>
                <w:lang w:val="bg-BG"/>
              </w:rPr>
            </w:pPr>
          </w:p>
          <w:p w14:paraId="6BF75239" w14:textId="2AED817C" w:rsidR="00CE3BAD" w:rsidRPr="00782BF9" w:rsidRDefault="006B5475">
            <w:pPr>
              <w:pStyle w:val="P68B1DB1-Normal10"/>
              <w:spacing w:after="0" w:line="240" w:lineRule="auto"/>
              <w:jc w:val="both"/>
              <w:rPr>
                <w:rFonts w:eastAsia="Times New Roman"/>
                <w:noProof/>
                <w:lang w:val="bg-BG"/>
              </w:rPr>
            </w:pPr>
            <w:r w:rsidRPr="00782BF9">
              <w:rPr>
                <w:noProof/>
                <w:lang w:val="bg-BG"/>
              </w:rPr>
              <w:t>Докладът представя първоначалните резултати от изпълнението в съответните училища през учебните 2023/2024 и 2024/2025 години и началото на учебната 2025/2026 година, както и въздействието по отношение на разпределението на учениците в неравностойно положение в населените места, където се намират тези училища (включително околните селища). Докладът може да включва препоръки за подобряване на правната рамка и повишаване на нейната ефективност за намаляване на риска от сегрегация в началните и прогимназиалните училища.</w:t>
            </w:r>
          </w:p>
        </w:tc>
      </w:tr>
      <w:tr w:rsidR="00CE3BAD" w:rsidRPr="00782BF9" w14:paraId="389342B2"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42306EBF" w14:textId="2C2DCDF8" w:rsidR="00CE3BAD" w:rsidRPr="00782BF9" w:rsidRDefault="006B5475">
            <w:pPr>
              <w:pStyle w:val="P68B1DB1-Normal10"/>
              <w:spacing w:after="0" w:line="240" w:lineRule="auto"/>
              <w:rPr>
                <w:rFonts w:eastAsia="Times New Roman"/>
                <w:noProof/>
                <w:lang w:val="bg-BG"/>
              </w:rPr>
            </w:pPr>
            <w:r w:rsidRPr="00782BF9">
              <w:rPr>
                <w:noProof/>
                <w:lang w:val="bg-BG"/>
              </w:rPr>
              <w:t>16</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57157239" w14:textId="4B3D417E" w:rsidR="00CE3BAD" w:rsidRPr="00782BF9" w:rsidRDefault="006B5475">
            <w:pPr>
              <w:pStyle w:val="P68B1DB1-Normal10"/>
              <w:spacing w:after="0" w:line="240" w:lineRule="auto"/>
              <w:rPr>
                <w:rFonts w:eastAsia="Times New Roman"/>
                <w:noProof/>
                <w:lang w:val="bg-BG"/>
              </w:rPr>
            </w:pPr>
            <w:r w:rsidRPr="00782BF9">
              <w:rPr>
                <w:noProof/>
                <w:lang w:val="bg-BG"/>
              </w:rPr>
              <w:t>C1.R3 Подобряване на привлекателността на учителската професия</w:t>
            </w:r>
          </w:p>
        </w:tc>
        <w:tc>
          <w:tcPr>
            <w:tcW w:w="971" w:type="dxa"/>
            <w:tcBorders>
              <w:top w:val="single" w:sz="4" w:space="0" w:color="auto"/>
              <w:left w:val="nil"/>
              <w:bottom w:val="single" w:sz="4" w:space="0" w:color="auto"/>
              <w:right w:val="single" w:sz="4" w:space="0" w:color="auto"/>
            </w:tcBorders>
            <w:shd w:val="clear" w:color="auto" w:fill="C6EFCE"/>
            <w:vAlign w:val="center"/>
          </w:tcPr>
          <w:p w14:paraId="6CCBD091"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620D3F0A" w14:textId="7B67579A" w:rsidR="00CE3BAD" w:rsidRPr="00782BF9" w:rsidRDefault="006B5475">
            <w:pPr>
              <w:pStyle w:val="P68B1DB1-Normal10"/>
              <w:spacing w:after="0" w:line="240" w:lineRule="auto"/>
              <w:rPr>
                <w:rFonts w:eastAsia="Times New Roman"/>
                <w:noProof/>
                <w:lang w:val="bg-BG"/>
              </w:rPr>
            </w:pPr>
            <w:r w:rsidRPr="00782BF9">
              <w:rPr>
                <w:noProof/>
                <w:lang w:val="bg-BG"/>
              </w:rPr>
              <w:t>Влизане в сила на законодателство за увеличаване на заплатите на учителите в системата на общественото образование до най-малко 80 % от средната заплата на завършилите висше образование</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31383FEB" w14:textId="11CDD2BF" w:rsidR="00CE3BAD" w:rsidRPr="00782BF9" w:rsidRDefault="006B5475">
            <w:pPr>
              <w:pStyle w:val="P68B1DB1-Normal10"/>
              <w:spacing w:after="0" w:line="240" w:lineRule="auto"/>
              <w:rPr>
                <w:rFonts w:eastAsia="Times New Roman"/>
                <w:noProof/>
                <w:lang w:val="bg-BG"/>
              </w:rPr>
            </w:pPr>
            <w:r w:rsidRPr="00782BF9">
              <w:rPr>
                <w:noProof/>
                <w:lang w:val="bg-BG"/>
              </w:rPr>
              <w:t>Разпоредби в законодателството, указващи влизането му в сила</w:t>
            </w:r>
          </w:p>
        </w:tc>
        <w:tc>
          <w:tcPr>
            <w:tcW w:w="1112" w:type="dxa"/>
            <w:tcBorders>
              <w:top w:val="single" w:sz="4" w:space="0" w:color="auto"/>
              <w:left w:val="nil"/>
              <w:bottom w:val="single" w:sz="4" w:space="0" w:color="auto"/>
              <w:right w:val="single" w:sz="4" w:space="0" w:color="auto"/>
            </w:tcBorders>
            <w:shd w:val="clear" w:color="auto" w:fill="C6EFCE"/>
            <w:vAlign w:val="center"/>
          </w:tcPr>
          <w:p w14:paraId="55F8F9AE" w14:textId="77777777" w:rsidR="00CE3BAD" w:rsidRPr="00782BF9" w:rsidRDefault="00CE3BAD">
            <w:pPr>
              <w:spacing w:after="0" w:line="240" w:lineRule="auto"/>
              <w:rPr>
                <w:rFonts w:eastAsia="Times New Roman"/>
                <w:noProof/>
                <w:sz w:val="18"/>
                <w:lang w:val="bg-BG"/>
              </w:rPr>
            </w:pPr>
          </w:p>
        </w:tc>
        <w:tc>
          <w:tcPr>
            <w:tcW w:w="1674" w:type="dxa"/>
            <w:tcBorders>
              <w:top w:val="single" w:sz="4" w:space="0" w:color="auto"/>
              <w:left w:val="nil"/>
              <w:bottom w:val="single" w:sz="4" w:space="0" w:color="auto"/>
              <w:right w:val="single" w:sz="4" w:space="0" w:color="auto"/>
            </w:tcBorders>
            <w:shd w:val="clear" w:color="auto" w:fill="C6EFCE"/>
            <w:vAlign w:val="center"/>
          </w:tcPr>
          <w:p w14:paraId="4B8F63D9" w14:textId="77777777" w:rsidR="00CE3BAD" w:rsidRPr="00782BF9" w:rsidRDefault="00CE3BAD">
            <w:pPr>
              <w:spacing w:after="0" w:line="240" w:lineRule="auto"/>
              <w:rPr>
                <w:rFonts w:eastAsia="Times New Roman"/>
                <w:noProof/>
                <w:sz w:val="18"/>
                <w:lang w:val="bg-BG"/>
              </w:rPr>
            </w:pPr>
          </w:p>
        </w:tc>
        <w:tc>
          <w:tcPr>
            <w:tcW w:w="1161" w:type="dxa"/>
            <w:tcBorders>
              <w:top w:val="single" w:sz="4" w:space="0" w:color="auto"/>
              <w:left w:val="nil"/>
              <w:bottom w:val="single" w:sz="4" w:space="0" w:color="auto"/>
              <w:right w:val="single" w:sz="4" w:space="0" w:color="auto"/>
            </w:tcBorders>
            <w:shd w:val="clear" w:color="auto" w:fill="C6EFCE"/>
            <w:vAlign w:val="center"/>
          </w:tcPr>
          <w:p w14:paraId="56F65B4A" w14:textId="77777777" w:rsidR="00CE3BAD" w:rsidRPr="00782BF9" w:rsidRDefault="00CE3BAD">
            <w:pPr>
              <w:spacing w:after="0" w:line="240" w:lineRule="auto"/>
              <w:rPr>
                <w:rFonts w:eastAsia="Times New Roman"/>
                <w:noProof/>
                <w:sz w:val="18"/>
                <w:lang w:val="bg-BG"/>
              </w:rPr>
            </w:pPr>
          </w:p>
        </w:tc>
        <w:tc>
          <w:tcPr>
            <w:tcW w:w="911" w:type="dxa"/>
            <w:tcBorders>
              <w:top w:val="single" w:sz="4" w:space="0" w:color="auto"/>
              <w:left w:val="nil"/>
              <w:bottom w:val="single" w:sz="4" w:space="0" w:color="auto"/>
              <w:right w:val="single" w:sz="4" w:space="0" w:color="auto"/>
            </w:tcBorders>
            <w:shd w:val="clear" w:color="auto" w:fill="C6EFCE"/>
            <w:vAlign w:val="center"/>
          </w:tcPr>
          <w:p w14:paraId="44190F75" w14:textId="77777777" w:rsidR="00CE3BAD" w:rsidRPr="00782BF9" w:rsidRDefault="006B5475">
            <w:pPr>
              <w:pStyle w:val="P68B1DB1-Normal10"/>
              <w:spacing w:after="0" w:line="240" w:lineRule="auto"/>
              <w:rPr>
                <w:rFonts w:eastAsia="Times New Roman"/>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1072D2B9" w14:textId="2E1257AB"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200AC72B" w14:textId="55950E66" w:rsidR="00CE3BAD" w:rsidRPr="00782BF9" w:rsidRDefault="006B5475">
            <w:pPr>
              <w:pStyle w:val="P68B1DB1-Normal10"/>
              <w:spacing w:after="0" w:line="240" w:lineRule="auto"/>
              <w:jc w:val="both"/>
              <w:rPr>
                <w:rFonts w:eastAsia="Times New Roman"/>
                <w:noProof/>
                <w:lang w:val="bg-BG"/>
              </w:rPr>
            </w:pPr>
            <w:r w:rsidRPr="00782BF9">
              <w:rPr>
                <w:noProof/>
                <w:lang w:val="bg-BG"/>
              </w:rPr>
              <w:t>Влиза в сила закон, с който се установява, че средната заплата на преподавателите в публичната образователна система (всички учители в публичната образователна система, притежаващи диплома за висше образование, както е определено в Закона за общественото образование, с изключение на професионалното образование), трябва да достигне поне 80 % от средната работна заплата на завършилите висше образование до 1 януари 2025 г. и да се поддържа на равнище най-малко 80 % от средната заплата на завършилите висше образование поне до 31 декември 2030 г.</w:t>
            </w:r>
          </w:p>
          <w:p w14:paraId="17702FBD" w14:textId="77777777" w:rsidR="00CE3BAD" w:rsidRPr="00782BF9" w:rsidRDefault="00CE3BAD">
            <w:pPr>
              <w:spacing w:after="0" w:line="240" w:lineRule="auto"/>
              <w:jc w:val="both"/>
              <w:rPr>
                <w:rFonts w:eastAsia="Times New Roman" w:cstheme="minorHAnsi"/>
                <w:noProof/>
                <w:sz w:val="18"/>
                <w:lang w:val="bg-BG"/>
              </w:rPr>
            </w:pPr>
          </w:p>
          <w:p w14:paraId="45E41C35" w14:textId="77E04AE7" w:rsidR="00CE3BAD" w:rsidRPr="00782BF9" w:rsidRDefault="006B5475">
            <w:pPr>
              <w:pStyle w:val="P68B1DB1-Normal10"/>
              <w:spacing w:after="0" w:line="240" w:lineRule="auto"/>
              <w:jc w:val="both"/>
              <w:rPr>
                <w:rFonts w:eastAsia="Times New Roman"/>
                <w:noProof/>
                <w:lang w:val="bg-BG"/>
              </w:rPr>
            </w:pPr>
            <w:r w:rsidRPr="00782BF9">
              <w:rPr>
                <w:noProof/>
                <w:lang w:val="bg-BG"/>
              </w:rPr>
              <w:t>Законът включва също така разпоредби, съгласно които, считано от 1 януари 2023 г. и поне до 31 декември 2030 г., възнаграждението на учителите от изброените по-долу категории е по-високо с поне 12.5</w:t>
            </w:r>
            <w:r w:rsidRPr="00782BF9">
              <w:rPr>
                <w:noProof/>
                <w:color w:val="006100"/>
                <w:lang w:val="bg-BG"/>
              </w:rPr>
              <w:t xml:space="preserve"> </w:t>
            </w:r>
            <w:r w:rsidRPr="00782BF9">
              <w:rPr>
                <w:noProof/>
                <w:lang w:val="bg-BG"/>
              </w:rPr>
              <w:t>% от възнаграждението на учителите със същата квалификация и опит, които не са включени в тези категории:</w:t>
            </w:r>
          </w:p>
          <w:p w14:paraId="5B1B0015" w14:textId="74435BA9" w:rsidR="00CE3BAD" w:rsidRPr="00782BF9" w:rsidRDefault="006B5475">
            <w:pPr>
              <w:pStyle w:val="P68B1DB1-ListParagraph11"/>
              <w:numPr>
                <w:ilvl w:val="0"/>
                <w:numId w:val="4"/>
              </w:numPr>
              <w:spacing w:after="0" w:line="240" w:lineRule="auto"/>
              <w:ind w:left="487"/>
              <w:jc w:val="both"/>
              <w:rPr>
                <w:rFonts w:eastAsia="Times New Roman"/>
                <w:noProof/>
                <w:lang w:val="bg-BG"/>
              </w:rPr>
            </w:pPr>
            <w:r w:rsidRPr="00782BF9">
              <w:rPr>
                <w:noProof/>
                <w:lang w:val="bg-BG"/>
              </w:rPr>
              <w:t>учители, работещи в населени места в неравностойно положение, както е определено в Правителствено постановление 105/2015 относно класификацията на местните органи на управление бенефициери и условията за класифициране и Решение 1057/2021 на правителството. (II. 19.) относно програмата за догонващи селища;</w:t>
            </w:r>
          </w:p>
          <w:p w14:paraId="35DF15DF" w14:textId="25A01EC9" w:rsidR="00CE3BAD" w:rsidRPr="00782BF9" w:rsidRDefault="006B5475">
            <w:pPr>
              <w:pStyle w:val="P68B1DB1-ListParagraph11"/>
              <w:numPr>
                <w:ilvl w:val="0"/>
                <w:numId w:val="4"/>
              </w:numPr>
              <w:spacing w:after="0" w:line="240" w:lineRule="auto"/>
              <w:ind w:left="487"/>
              <w:jc w:val="both"/>
              <w:rPr>
                <w:noProof/>
                <w:lang w:val="bg-BG"/>
              </w:rPr>
            </w:pPr>
            <w:r w:rsidRPr="00782BF9">
              <w:rPr>
                <w:noProof/>
                <w:lang w:val="bg-BG"/>
              </w:rPr>
              <w:t>учители, работещи в училища, в които делът на учениците в неравностойно положение е най-малко 10 % и определят специални педагогически методи за приобщаващо образование в своите педагогически програми (източник: KIR).</w:t>
            </w:r>
          </w:p>
          <w:p w14:paraId="4A56E999" w14:textId="77777777" w:rsidR="00CE3BAD" w:rsidRPr="00782BF9" w:rsidRDefault="00CE3BAD">
            <w:pPr>
              <w:spacing w:after="0" w:line="240" w:lineRule="auto"/>
              <w:jc w:val="both"/>
              <w:rPr>
                <w:rFonts w:eastAsia="Times New Roman" w:cstheme="minorHAnsi"/>
                <w:noProof/>
                <w:sz w:val="18"/>
                <w:lang w:val="bg-BG"/>
              </w:rPr>
            </w:pPr>
          </w:p>
          <w:p w14:paraId="034C6768" w14:textId="5FD8B793" w:rsidR="00CE3BAD" w:rsidRPr="00782BF9" w:rsidRDefault="006B5475">
            <w:pPr>
              <w:pStyle w:val="P68B1DB1-Normal10"/>
              <w:spacing w:after="0" w:line="240" w:lineRule="auto"/>
              <w:jc w:val="both"/>
              <w:rPr>
                <w:rFonts w:eastAsia="Times New Roman"/>
                <w:noProof/>
                <w:lang w:val="bg-BG"/>
              </w:rPr>
            </w:pPr>
            <w:r w:rsidRPr="00782BF9">
              <w:rPr>
                <w:noProof/>
                <w:lang w:val="bg-BG"/>
              </w:rPr>
              <w:t>Законът включва също така разпоредби, съгласно които годишните увеличения на заплатите на учителите в началото на кариерата (</w:t>
            </w:r>
            <w:r w:rsidRPr="00782BF9">
              <w:rPr>
                <w:i/>
                <w:noProof/>
                <w:lang w:val="bg-BG"/>
              </w:rPr>
              <w:t xml:space="preserve">gyakornok) </w:t>
            </w:r>
            <w:r w:rsidRPr="00782BF9">
              <w:rPr>
                <w:noProof/>
                <w:lang w:val="bg-BG"/>
              </w:rPr>
              <w:t xml:space="preserve">са, считано от 1 януари 2023 г. и поне до 31 декември 2030 г., най-малко до, най-малко същото като средното годишно увеличение на заплатите за всички учители в системата на общественото образование. Годишните увеличения се прилагат със задна дата, считано от 1 януари на съответната година. </w:t>
            </w:r>
          </w:p>
          <w:p w14:paraId="2527A593" w14:textId="77777777" w:rsidR="00CE3BAD" w:rsidRPr="00782BF9" w:rsidRDefault="00CE3BAD">
            <w:pPr>
              <w:spacing w:after="0" w:line="240" w:lineRule="auto"/>
              <w:jc w:val="both"/>
              <w:rPr>
                <w:rFonts w:eastAsia="Times New Roman" w:cstheme="minorHAnsi"/>
                <w:noProof/>
                <w:sz w:val="18"/>
                <w:lang w:val="bg-BG"/>
              </w:rPr>
            </w:pPr>
          </w:p>
          <w:p w14:paraId="3C326172" w14:textId="519C71EC" w:rsidR="00CE3BAD" w:rsidRPr="00782BF9" w:rsidRDefault="006B5475">
            <w:pPr>
              <w:pStyle w:val="P68B1DB1-Normal10"/>
              <w:spacing w:after="0" w:line="240" w:lineRule="auto"/>
              <w:jc w:val="both"/>
              <w:rPr>
                <w:rFonts w:eastAsia="Times New Roman"/>
                <w:noProof/>
                <w:lang w:val="bg-BG"/>
              </w:rPr>
            </w:pPr>
            <w:r w:rsidRPr="00782BF9">
              <w:rPr>
                <w:noProof/>
                <w:lang w:val="bg-BG"/>
              </w:rPr>
              <w:t>По време на изготвянето му законопроектът ще бъде предмет на съдържателен социален диалог с най-големите профсъюзи на учителите.</w:t>
            </w:r>
          </w:p>
          <w:p w14:paraId="73D11EB0" w14:textId="77777777" w:rsidR="00CE3BAD" w:rsidRPr="00782BF9" w:rsidRDefault="00CE3BAD">
            <w:pPr>
              <w:spacing w:after="0" w:line="240" w:lineRule="auto"/>
              <w:jc w:val="both"/>
              <w:rPr>
                <w:rFonts w:eastAsia="Times New Roman" w:cstheme="minorHAnsi"/>
                <w:noProof/>
                <w:sz w:val="18"/>
                <w:lang w:val="bg-BG"/>
              </w:rPr>
            </w:pPr>
          </w:p>
        </w:tc>
      </w:tr>
      <w:tr w:rsidR="00CE3BAD" w:rsidRPr="00782BF9" w14:paraId="3AD50EFF"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04726AC7" w14:textId="572067EA" w:rsidR="00CE3BAD" w:rsidRPr="00782BF9" w:rsidRDefault="006B5475">
            <w:pPr>
              <w:pStyle w:val="P68B1DB1-Normal10"/>
              <w:spacing w:after="0" w:line="240" w:lineRule="auto"/>
              <w:rPr>
                <w:rFonts w:eastAsia="Times New Roman"/>
                <w:noProof/>
                <w:lang w:val="bg-BG"/>
              </w:rPr>
            </w:pPr>
            <w:r w:rsidRPr="00782BF9">
              <w:rPr>
                <w:noProof/>
                <w:lang w:val="bg-BG"/>
              </w:rPr>
              <w:t>17</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34770C0A" w14:textId="650A014D" w:rsidR="00CE3BAD" w:rsidRPr="00782BF9" w:rsidRDefault="006B5475">
            <w:pPr>
              <w:pStyle w:val="P68B1DB1-Normal10"/>
              <w:spacing w:after="0" w:line="240" w:lineRule="auto"/>
              <w:rPr>
                <w:rFonts w:eastAsia="Times New Roman"/>
                <w:noProof/>
                <w:lang w:val="bg-BG"/>
              </w:rPr>
            </w:pPr>
            <w:r w:rsidRPr="00782BF9">
              <w:rPr>
                <w:noProof/>
                <w:lang w:val="bg-BG"/>
              </w:rPr>
              <w:t>C1.R3 Подобряване на привлекателността на учителската професия</w:t>
            </w:r>
          </w:p>
        </w:tc>
        <w:tc>
          <w:tcPr>
            <w:tcW w:w="971" w:type="dxa"/>
            <w:tcBorders>
              <w:top w:val="single" w:sz="4" w:space="0" w:color="auto"/>
              <w:left w:val="nil"/>
              <w:bottom w:val="single" w:sz="4" w:space="0" w:color="auto"/>
              <w:right w:val="single" w:sz="4" w:space="0" w:color="auto"/>
            </w:tcBorders>
            <w:shd w:val="clear" w:color="auto" w:fill="C6EFCE"/>
            <w:vAlign w:val="center"/>
          </w:tcPr>
          <w:p w14:paraId="5615BADE"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1AAEAB52" w14:textId="77777777" w:rsidR="00CE3BAD" w:rsidRPr="00782BF9" w:rsidRDefault="006B5475">
            <w:pPr>
              <w:pStyle w:val="P68B1DB1-Normal10"/>
              <w:spacing w:after="0" w:line="240" w:lineRule="auto"/>
              <w:rPr>
                <w:rFonts w:eastAsia="Times New Roman"/>
                <w:noProof/>
                <w:lang w:val="bg-BG"/>
              </w:rPr>
            </w:pPr>
            <w:r w:rsidRPr="00782BF9">
              <w:rPr>
                <w:noProof/>
                <w:lang w:val="bg-BG"/>
              </w:rPr>
              <w:t>Средна заплата на учителите в системата на общественото образование през 2023 г. спрямо средната заплата на завършилите висше образование</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39EF2602" w14:textId="77777777" w:rsidR="00CE3BAD" w:rsidRPr="00782BF9" w:rsidRDefault="00CE3BAD">
            <w:pPr>
              <w:spacing w:after="0" w:line="240" w:lineRule="auto"/>
              <w:rPr>
                <w:rFonts w:eastAsia="Times New Roman"/>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2691DD91"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44EDB80D" w14:textId="77777777" w:rsidR="00CE3BAD" w:rsidRPr="00782BF9" w:rsidRDefault="006B5475">
            <w:pPr>
              <w:pStyle w:val="P68B1DB1-Normal10"/>
              <w:spacing w:after="0" w:line="240" w:lineRule="auto"/>
              <w:rPr>
                <w:rFonts w:eastAsia="Times New Roman"/>
                <w:noProof/>
                <w:lang w:val="bg-BG"/>
              </w:rPr>
            </w:pPr>
            <w:r w:rsidRPr="00782BF9">
              <w:rPr>
                <w:noProof/>
                <w:lang w:val="bg-BG"/>
              </w:rPr>
              <w:t>59</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6EBAA349" w14:textId="77777777" w:rsidR="00CE3BAD" w:rsidRPr="00782BF9" w:rsidRDefault="006B5475">
            <w:pPr>
              <w:pStyle w:val="P68B1DB1-Normal10"/>
              <w:spacing w:after="0" w:line="240" w:lineRule="auto"/>
              <w:rPr>
                <w:rFonts w:eastAsia="Times New Roman"/>
                <w:noProof/>
                <w:lang w:val="bg-BG"/>
              </w:rPr>
            </w:pPr>
            <w:r w:rsidRPr="00782BF9">
              <w:rPr>
                <w:noProof/>
                <w:lang w:val="bg-BG"/>
              </w:rPr>
              <w:t>64.7</w:t>
            </w:r>
          </w:p>
        </w:tc>
        <w:tc>
          <w:tcPr>
            <w:tcW w:w="911" w:type="dxa"/>
            <w:tcBorders>
              <w:top w:val="single" w:sz="4" w:space="0" w:color="auto"/>
              <w:left w:val="nil"/>
              <w:bottom w:val="single" w:sz="4" w:space="0" w:color="auto"/>
              <w:right w:val="single" w:sz="4" w:space="0" w:color="auto"/>
            </w:tcBorders>
            <w:shd w:val="clear" w:color="auto" w:fill="C6EFCE"/>
            <w:vAlign w:val="center"/>
          </w:tcPr>
          <w:p w14:paraId="09171C30"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56A109DE"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7B047ED5" w14:textId="72A68A62" w:rsidR="00CE3BAD" w:rsidRPr="00782BF9" w:rsidRDefault="006B5475">
            <w:pPr>
              <w:pStyle w:val="P68B1DB1-Normal10"/>
              <w:spacing w:after="0" w:line="240" w:lineRule="auto"/>
              <w:jc w:val="both"/>
              <w:rPr>
                <w:rFonts w:eastAsia="Times New Roman"/>
                <w:noProof/>
                <w:lang w:val="bg-BG"/>
              </w:rPr>
            </w:pPr>
            <w:r w:rsidRPr="00782BF9">
              <w:rPr>
                <w:noProof/>
                <w:lang w:val="bg-BG"/>
              </w:rPr>
              <w:t>Средната заплата на учителите в системата на общественото образование (всички учители с висше образование съгласно определението в Закона за общественото образование, с изключение на професионалното образование) трябва да достигне поне 64.7</w:t>
            </w:r>
            <w:r w:rsidRPr="00782BF9">
              <w:rPr>
                <w:noProof/>
                <w:color w:val="006100"/>
                <w:lang w:val="bg-BG"/>
              </w:rPr>
              <w:t xml:space="preserve"> </w:t>
            </w:r>
            <w:r w:rsidRPr="00782BF9">
              <w:rPr>
                <w:noProof/>
                <w:lang w:val="bg-BG"/>
              </w:rPr>
              <w:t xml:space="preserve">% от средната работна заплата на завършилите висше образование в сравнение с 59 % през 2022 г. </w:t>
            </w:r>
          </w:p>
          <w:p w14:paraId="7682B4E0" w14:textId="77777777" w:rsidR="00CE3BAD" w:rsidRPr="00782BF9" w:rsidRDefault="00CE3BAD">
            <w:pPr>
              <w:spacing w:after="0" w:line="240" w:lineRule="auto"/>
              <w:jc w:val="both"/>
              <w:rPr>
                <w:rFonts w:eastAsia="Times New Roman" w:cstheme="minorHAnsi"/>
                <w:noProof/>
                <w:sz w:val="18"/>
                <w:lang w:val="bg-BG"/>
              </w:rPr>
            </w:pPr>
          </w:p>
          <w:p w14:paraId="0F61ED30" w14:textId="77777777" w:rsidR="00CE3BAD" w:rsidRPr="00782BF9" w:rsidRDefault="006B5475">
            <w:pPr>
              <w:pStyle w:val="P68B1DB1-Normal10"/>
              <w:spacing w:after="0" w:line="240" w:lineRule="auto"/>
              <w:jc w:val="both"/>
              <w:rPr>
                <w:rFonts w:eastAsia="Times New Roman" w:cstheme="minorHAnsi"/>
                <w:noProof/>
                <w:lang w:val="bg-BG"/>
              </w:rPr>
            </w:pPr>
            <w:r w:rsidRPr="00782BF9">
              <w:rPr>
                <w:noProof/>
                <w:lang w:val="bg-BG"/>
              </w:rPr>
              <w:t xml:space="preserve">Увеличението на средната заплата на учителите за 2023 г. се определя въз основа на данните за резултатите за средните заплати на завършилите висше образование през 2022 г. (публикувани от Унгарската статистическа служба) и официалните прогнози на Министерството на финансите за растежа на заплатите в националната икономика за 2023 г. Произтичащото от това увеличение на заплатите на учителите се прилага със задна дата, считано от 1 януари 2023 г. </w:t>
            </w:r>
          </w:p>
        </w:tc>
      </w:tr>
      <w:tr w:rsidR="00CE3BAD" w:rsidRPr="00782BF9" w14:paraId="64CF0009"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1AAD2E32" w14:textId="113F703A" w:rsidR="00CE3BAD" w:rsidRPr="00782BF9" w:rsidRDefault="006B5475">
            <w:pPr>
              <w:pStyle w:val="P68B1DB1-Normal10"/>
              <w:spacing w:after="0" w:line="240" w:lineRule="auto"/>
              <w:rPr>
                <w:rFonts w:eastAsia="Times New Roman"/>
                <w:noProof/>
                <w:lang w:val="bg-BG"/>
              </w:rPr>
            </w:pPr>
            <w:r w:rsidRPr="00782BF9">
              <w:rPr>
                <w:noProof/>
                <w:lang w:val="bg-BG"/>
              </w:rPr>
              <w:t>18</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00D1FAAD" w14:textId="7D75863C" w:rsidR="00CE3BAD" w:rsidRPr="00782BF9" w:rsidRDefault="006B5475">
            <w:pPr>
              <w:pStyle w:val="P68B1DB1-Normal10"/>
              <w:spacing w:after="0" w:line="240" w:lineRule="auto"/>
              <w:rPr>
                <w:rFonts w:eastAsia="Times New Roman"/>
                <w:noProof/>
                <w:lang w:val="bg-BG"/>
              </w:rPr>
            </w:pPr>
            <w:r w:rsidRPr="00782BF9">
              <w:rPr>
                <w:noProof/>
                <w:lang w:val="bg-BG"/>
              </w:rPr>
              <w:t>C1.R3 Подобряване на привлекателността на учителската професия</w:t>
            </w:r>
          </w:p>
        </w:tc>
        <w:tc>
          <w:tcPr>
            <w:tcW w:w="971" w:type="dxa"/>
            <w:tcBorders>
              <w:top w:val="single" w:sz="4" w:space="0" w:color="auto"/>
              <w:left w:val="nil"/>
              <w:bottom w:val="single" w:sz="4" w:space="0" w:color="auto"/>
              <w:right w:val="single" w:sz="4" w:space="0" w:color="auto"/>
            </w:tcBorders>
            <w:shd w:val="clear" w:color="auto" w:fill="C6EFCE"/>
            <w:vAlign w:val="center"/>
          </w:tcPr>
          <w:p w14:paraId="128A6F67"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63E090DE" w14:textId="77777777" w:rsidR="00CE3BAD" w:rsidRPr="00782BF9" w:rsidRDefault="006B5475">
            <w:pPr>
              <w:pStyle w:val="P68B1DB1-Normal10"/>
              <w:spacing w:after="0" w:line="240" w:lineRule="auto"/>
              <w:rPr>
                <w:rFonts w:eastAsia="Times New Roman"/>
                <w:noProof/>
                <w:lang w:val="bg-BG"/>
              </w:rPr>
            </w:pPr>
            <w:r w:rsidRPr="00782BF9">
              <w:rPr>
                <w:noProof/>
                <w:lang w:val="bg-BG"/>
              </w:rPr>
              <w:t>Средна заплата на учителите в системата на общественото образование през 2024 г. спрямо средната заплата на завършилите висше образование</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392280CF" w14:textId="77777777" w:rsidR="00CE3BAD" w:rsidRPr="00782BF9" w:rsidRDefault="00CE3BAD">
            <w:pPr>
              <w:spacing w:after="0" w:line="240" w:lineRule="auto"/>
              <w:rPr>
                <w:rFonts w:eastAsia="Times New Roman" w:cstheme="minorHAnsi"/>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7BB4536C"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4FF14859" w14:textId="77777777" w:rsidR="00CE3BAD" w:rsidRPr="00782BF9" w:rsidRDefault="006B5475">
            <w:pPr>
              <w:pStyle w:val="P68B1DB1-Normal10"/>
              <w:spacing w:after="0" w:line="240" w:lineRule="auto"/>
              <w:rPr>
                <w:rFonts w:eastAsia="Times New Roman"/>
                <w:noProof/>
                <w:lang w:val="bg-BG"/>
              </w:rPr>
            </w:pPr>
            <w:r w:rsidRPr="00782BF9">
              <w:rPr>
                <w:noProof/>
                <w:lang w:val="bg-BG"/>
              </w:rPr>
              <w:t>64.7</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767170BF" w14:textId="77777777" w:rsidR="00CE3BAD" w:rsidRPr="00782BF9" w:rsidRDefault="006B5475">
            <w:pPr>
              <w:pStyle w:val="P68B1DB1-Normal10"/>
              <w:spacing w:after="0" w:line="240" w:lineRule="auto"/>
              <w:rPr>
                <w:rFonts w:eastAsia="Times New Roman"/>
                <w:noProof/>
                <w:lang w:val="bg-BG"/>
              </w:rPr>
            </w:pPr>
            <w:r w:rsidRPr="00782BF9">
              <w:rPr>
                <w:noProof/>
                <w:lang w:val="bg-BG"/>
              </w:rPr>
              <w:t>71.8</w:t>
            </w:r>
          </w:p>
        </w:tc>
        <w:tc>
          <w:tcPr>
            <w:tcW w:w="911" w:type="dxa"/>
            <w:tcBorders>
              <w:top w:val="single" w:sz="4" w:space="0" w:color="auto"/>
              <w:left w:val="nil"/>
              <w:bottom w:val="single" w:sz="4" w:space="0" w:color="auto"/>
              <w:right w:val="single" w:sz="4" w:space="0" w:color="auto"/>
            </w:tcBorders>
            <w:shd w:val="clear" w:color="auto" w:fill="C6EFCE"/>
            <w:vAlign w:val="center"/>
          </w:tcPr>
          <w:p w14:paraId="78FF373C"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71F6EFB5" w14:textId="77777777" w:rsidR="00CE3BAD" w:rsidRPr="00782BF9" w:rsidRDefault="006B5475">
            <w:pPr>
              <w:pStyle w:val="P68B1DB1-Normal10"/>
              <w:spacing w:after="0" w:line="240" w:lineRule="auto"/>
              <w:rPr>
                <w:rFonts w:eastAsia="Times New Roman"/>
                <w:noProof/>
                <w:lang w:val="bg-BG"/>
              </w:rPr>
            </w:pPr>
            <w:r w:rsidRPr="00782BF9">
              <w:rPr>
                <w:noProof/>
                <w:lang w:val="bg-BG"/>
              </w:rPr>
              <w:t>2024</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2956D6C9" w14:textId="7A17C536" w:rsidR="00CE3BAD" w:rsidRPr="00782BF9" w:rsidRDefault="006B5475">
            <w:pPr>
              <w:pStyle w:val="P68B1DB1-Normal10"/>
              <w:spacing w:after="0" w:line="240" w:lineRule="auto"/>
              <w:jc w:val="both"/>
              <w:rPr>
                <w:rFonts w:eastAsia="Times New Roman"/>
                <w:noProof/>
                <w:lang w:val="bg-BG"/>
              </w:rPr>
            </w:pPr>
            <w:r w:rsidRPr="00782BF9">
              <w:rPr>
                <w:noProof/>
                <w:lang w:val="bg-BG"/>
              </w:rPr>
              <w:t>Средната заплата на учителите в системата на общественото образование (всички учители с висше образование съгласно определението в Закона за общественото образование, с изключение на професионалното образование) трябва да достигне поне 71.8</w:t>
            </w:r>
            <w:r w:rsidRPr="00782BF9">
              <w:rPr>
                <w:noProof/>
                <w:color w:val="006100"/>
                <w:lang w:val="bg-BG"/>
              </w:rPr>
              <w:t xml:space="preserve"> </w:t>
            </w:r>
            <w:r w:rsidRPr="00782BF9">
              <w:rPr>
                <w:noProof/>
                <w:lang w:val="bg-BG"/>
              </w:rPr>
              <w:t xml:space="preserve">% от средната заплата на завършилите висше образование в сравнение с поне 64,7 % през 2023 г. </w:t>
            </w:r>
          </w:p>
          <w:p w14:paraId="037AA362" w14:textId="77777777" w:rsidR="00CE3BAD" w:rsidRPr="00782BF9" w:rsidRDefault="00CE3BAD">
            <w:pPr>
              <w:spacing w:after="0" w:line="240" w:lineRule="auto"/>
              <w:jc w:val="both"/>
              <w:rPr>
                <w:rFonts w:eastAsia="Times New Roman" w:cstheme="minorHAnsi"/>
                <w:noProof/>
                <w:sz w:val="18"/>
                <w:lang w:val="bg-BG"/>
              </w:rPr>
            </w:pPr>
          </w:p>
          <w:p w14:paraId="12DA8939" w14:textId="77777777" w:rsidR="00CE3BAD" w:rsidRPr="00782BF9" w:rsidRDefault="006B5475">
            <w:pPr>
              <w:pStyle w:val="P68B1DB1-Normal10"/>
              <w:spacing w:after="0" w:line="240" w:lineRule="auto"/>
              <w:jc w:val="both"/>
              <w:rPr>
                <w:rFonts w:eastAsia="Times New Roman"/>
                <w:noProof/>
                <w:lang w:val="bg-BG"/>
              </w:rPr>
            </w:pPr>
            <w:r w:rsidRPr="00782BF9">
              <w:rPr>
                <w:noProof/>
                <w:lang w:val="bg-BG"/>
              </w:rPr>
              <w:t>Увеличението на средната заплата на учителите за 2024 г. се определя въз основа на данните за резултатите за средните заплати на завършилите висше образование през 2023 г. (публикувани от Унгарската статистическа служба) и официалните прогнози на Министерството на финансите за растежа на заплатите в националната икономика за 2024 г. Произтичащото от това увеличение на заплатите на учителите се прилага със задна дата, считано от 1 януари 2024 г.</w:t>
            </w:r>
          </w:p>
        </w:tc>
      </w:tr>
      <w:tr w:rsidR="00CE3BAD" w:rsidRPr="00782BF9" w14:paraId="3926DCE0"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7441392D" w14:textId="49C109FB" w:rsidR="00CE3BAD" w:rsidRPr="00782BF9" w:rsidRDefault="006B5475">
            <w:pPr>
              <w:pStyle w:val="P68B1DB1-Normal10"/>
              <w:spacing w:after="0" w:line="240" w:lineRule="auto"/>
              <w:rPr>
                <w:rFonts w:eastAsia="Times New Roman"/>
                <w:noProof/>
                <w:lang w:val="bg-BG"/>
              </w:rPr>
            </w:pPr>
            <w:r w:rsidRPr="00782BF9">
              <w:rPr>
                <w:noProof/>
                <w:lang w:val="bg-BG"/>
              </w:rPr>
              <w:t>19</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053B605F" w14:textId="40E94A60" w:rsidR="00CE3BAD" w:rsidRPr="00782BF9" w:rsidRDefault="006B5475">
            <w:pPr>
              <w:pStyle w:val="P68B1DB1-Normal10"/>
              <w:spacing w:after="0" w:line="240" w:lineRule="auto"/>
              <w:rPr>
                <w:rFonts w:eastAsia="Times New Roman"/>
                <w:noProof/>
                <w:lang w:val="bg-BG"/>
              </w:rPr>
            </w:pPr>
            <w:r w:rsidRPr="00782BF9">
              <w:rPr>
                <w:noProof/>
                <w:lang w:val="bg-BG"/>
              </w:rPr>
              <w:t>C1.R3 Подобряване на привлекателността на учителската професия</w:t>
            </w:r>
          </w:p>
        </w:tc>
        <w:tc>
          <w:tcPr>
            <w:tcW w:w="971" w:type="dxa"/>
            <w:tcBorders>
              <w:top w:val="single" w:sz="4" w:space="0" w:color="auto"/>
              <w:left w:val="nil"/>
              <w:bottom w:val="single" w:sz="4" w:space="0" w:color="auto"/>
              <w:right w:val="single" w:sz="4" w:space="0" w:color="auto"/>
            </w:tcBorders>
            <w:shd w:val="clear" w:color="auto" w:fill="C6EFCE"/>
            <w:vAlign w:val="center"/>
          </w:tcPr>
          <w:p w14:paraId="51ECDB13"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069D5B72" w14:textId="77777777" w:rsidR="00CE3BAD" w:rsidRPr="00782BF9" w:rsidRDefault="006B5475">
            <w:pPr>
              <w:pStyle w:val="P68B1DB1-Normal10"/>
              <w:spacing w:after="0" w:line="240" w:lineRule="auto"/>
              <w:rPr>
                <w:rFonts w:eastAsia="Times New Roman"/>
                <w:noProof/>
                <w:lang w:val="bg-BG"/>
              </w:rPr>
            </w:pPr>
            <w:r w:rsidRPr="00782BF9">
              <w:rPr>
                <w:noProof/>
                <w:lang w:val="bg-BG"/>
              </w:rPr>
              <w:t>Средна заплата на учителите в системата на общественото образование през 2025 г. спрямо средната заплата на завършилите висше образование</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5DC9DB56" w14:textId="77777777" w:rsidR="00CE3BAD" w:rsidRPr="00782BF9" w:rsidRDefault="00CE3BAD">
            <w:pPr>
              <w:spacing w:after="0" w:line="240" w:lineRule="auto"/>
              <w:rPr>
                <w:rFonts w:eastAsia="Times New Roman" w:cstheme="minorHAnsi"/>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23F0518E"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557569DC" w14:textId="77777777" w:rsidR="00CE3BAD" w:rsidRPr="00782BF9" w:rsidRDefault="006B5475">
            <w:pPr>
              <w:pStyle w:val="P68B1DB1-Normal10"/>
              <w:spacing w:after="0" w:line="240" w:lineRule="auto"/>
              <w:rPr>
                <w:rFonts w:eastAsia="Times New Roman"/>
                <w:noProof/>
                <w:lang w:val="bg-BG"/>
              </w:rPr>
            </w:pPr>
            <w:r w:rsidRPr="00782BF9">
              <w:rPr>
                <w:noProof/>
                <w:lang w:val="bg-BG"/>
              </w:rPr>
              <w:t>71.8</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146AFC62" w14:textId="77777777" w:rsidR="00CE3BAD" w:rsidRPr="00782BF9" w:rsidRDefault="006B5475">
            <w:pPr>
              <w:pStyle w:val="P68B1DB1-Normal10"/>
              <w:spacing w:after="0" w:line="240" w:lineRule="auto"/>
              <w:rPr>
                <w:rFonts w:eastAsia="Times New Roman"/>
                <w:noProof/>
                <w:lang w:val="bg-BG"/>
              </w:rPr>
            </w:pPr>
            <w:r w:rsidRPr="00782BF9">
              <w:rPr>
                <w:noProof/>
                <w:lang w:val="bg-BG"/>
              </w:rPr>
              <w:t>80</w:t>
            </w:r>
          </w:p>
        </w:tc>
        <w:tc>
          <w:tcPr>
            <w:tcW w:w="911" w:type="dxa"/>
            <w:tcBorders>
              <w:top w:val="single" w:sz="4" w:space="0" w:color="auto"/>
              <w:left w:val="nil"/>
              <w:bottom w:val="single" w:sz="4" w:space="0" w:color="auto"/>
              <w:right w:val="single" w:sz="4" w:space="0" w:color="auto"/>
            </w:tcBorders>
            <w:shd w:val="clear" w:color="auto" w:fill="C6EFCE"/>
            <w:vAlign w:val="center"/>
          </w:tcPr>
          <w:p w14:paraId="6760FECF"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0F1C48C8" w14:textId="5A3427E7" w:rsidR="00CE3BAD" w:rsidRPr="00782BF9" w:rsidRDefault="006B5475">
            <w:pPr>
              <w:pStyle w:val="P68B1DB1-Normal10"/>
              <w:spacing w:after="0" w:line="240" w:lineRule="auto"/>
              <w:rPr>
                <w:rFonts w:eastAsia="Times New Roman"/>
                <w:noProof/>
                <w:lang w:val="bg-BG"/>
              </w:rPr>
            </w:pPr>
            <w:r w:rsidRPr="00782BF9">
              <w:rPr>
                <w:noProof/>
                <w:lang w:val="bg-BG"/>
              </w:rPr>
              <w:t>2025</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4B20E49E" w14:textId="78ECBFED" w:rsidR="00CE3BAD" w:rsidRPr="00782BF9" w:rsidRDefault="006B5475">
            <w:pPr>
              <w:pStyle w:val="P68B1DB1-Normal10"/>
              <w:spacing w:after="0" w:line="240" w:lineRule="auto"/>
              <w:jc w:val="both"/>
              <w:rPr>
                <w:rFonts w:eastAsia="Times New Roman"/>
                <w:noProof/>
                <w:lang w:val="bg-BG"/>
              </w:rPr>
            </w:pPr>
            <w:r w:rsidRPr="00782BF9">
              <w:rPr>
                <w:noProof/>
                <w:lang w:val="bg-BG"/>
              </w:rPr>
              <w:t>Средната заплата на учителите в системата на общественото образование (всички учители с висше образование съгласно определението в Закона за общественото образование, с изключение на професионалното образование) трябва да достигне поне 80</w:t>
            </w:r>
            <w:r w:rsidRPr="00782BF9">
              <w:rPr>
                <w:noProof/>
                <w:color w:val="006100"/>
                <w:lang w:val="bg-BG"/>
              </w:rPr>
              <w:t xml:space="preserve"> </w:t>
            </w:r>
            <w:r w:rsidRPr="00782BF9">
              <w:rPr>
                <w:noProof/>
                <w:lang w:val="bg-BG"/>
              </w:rPr>
              <w:t>% от средната заплата на завършилите висше образование в сравнение с поне 71.8</w:t>
            </w:r>
            <w:r w:rsidRPr="00782BF9">
              <w:rPr>
                <w:noProof/>
                <w:color w:val="006100"/>
                <w:lang w:val="bg-BG"/>
              </w:rPr>
              <w:t xml:space="preserve"> </w:t>
            </w:r>
            <w:r w:rsidRPr="00782BF9">
              <w:rPr>
                <w:noProof/>
                <w:lang w:val="bg-BG"/>
              </w:rPr>
              <w:t xml:space="preserve">% през 2024 г. </w:t>
            </w:r>
          </w:p>
          <w:p w14:paraId="47EF5192" w14:textId="77777777" w:rsidR="00CE3BAD" w:rsidRPr="00782BF9" w:rsidRDefault="00CE3BAD">
            <w:pPr>
              <w:spacing w:after="0" w:line="240" w:lineRule="auto"/>
              <w:jc w:val="both"/>
              <w:rPr>
                <w:rFonts w:eastAsia="Times New Roman" w:cstheme="minorHAnsi"/>
                <w:noProof/>
                <w:sz w:val="18"/>
                <w:lang w:val="bg-BG"/>
              </w:rPr>
            </w:pPr>
          </w:p>
          <w:p w14:paraId="43193584" w14:textId="77777777" w:rsidR="00CE3BAD" w:rsidRPr="00782BF9" w:rsidRDefault="006B5475">
            <w:pPr>
              <w:pStyle w:val="P68B1DB1-Normal10"/>
              <w:spacing w:after="0" w:line="240" w:lineRule="auto"/>
              <w:jc w:val="both"/>
              <w:rPr>
                <w:rFonts w:eastAsia="Times New Roman"/>
                <w:noProof/>
                <w:lang w:val="bg-BG"/>
              </w:rPr>
            </w:pPr>
            <w:r w:rsidRPr="00782BF9">
              <w:rPr>
                <w:noProof/>
                <w:lang w:val="bg-BG"/>
              </w:rPr>
              <w:t>Увеличението на средната заплата на учителите за 2025 г. се определя въз основа на данните за резултатите за средните заплати на завършилите висше образование през 2024 г. (публикувани от Унгарската статистическа служба) и официалните прогнози на Министерството на финансите за растежа на заплатите в националната икономика за 2025 г. Произтичащото от това увеличение на заплатите на учителите се прилага със задна дата, считано от 1 януари 2025 г.</w:t>
            </w:r>
          </w:p>
        </w:tc>
      </w:tr>
      <w:tr w:rsidR="00CE3BAD" w:rsidRPr="00782BF9" w14:paraId="51A39B37"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37A6B2BF" w14:textId="0DA8C2C5" w:rsidR="00CE3BAD" w:rsidRPr="00782BF9" w:rsidRDefault="006B5475">
            <w:pPr>
              <w:pStyle w:val="P68B1DB1-Normal10"/>
              <w:spacing w:line="240" w:lineRule="auto"/>
              <w:rPr>
                <w:rFonts w:eastAsia="Times New Roman"/>
                <w:noProof/>
                <w:lang w:val="bg-BG"/>
              </w:rPr>
            </w:pPr>
            <w:r w:rsidRPr="00782BF9">
              <w:rPr>
                <w:noProof/>
                <w:lang w:val="bg-BG"/>
              </w:rPr>
              <w:t>20</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7772E8A6" w14:textId="572F6B81" w:rsidR="00CE3BAD" w:rsidRPr="00782BF9" w:rsidRDefault="006B5475">
            <w:pPr>
              <w:pStyle w:val="P68B1DB1-Normal10"/>
              <w:spacing w:line="240" w:lineRule="auto"/>
              <w:rPr>
                <w:rFonts w:eastAsia="Times New Roman"/>
                <w:noProof/>
                <w:lang w:val="bg-BG"/>
              </w:rPr>
            </w:pPr>
            <w:r w:rsidRPr="00782BF9">
              <w:rPr>
                <w:noProof/>
                <w:lang w:val="bg-BG"/>
              </w:rPr>
              <w:t>C1.R3 Подобряване на привлекателността на учителската професия</w:t>
            </w:r>
          </w:p>
        </w:tc>
        <w:tc>
          <w:tcPr>
            <w:tcW w:w="971" w:type="dxa"/>
            <w:tcBorders>
              <w:top w:val="single" w:sz="4" w:space="0" w:color="auto"/>
              <w:left w:val="nil"/>
              <w:bottom w:val="single" w:sz="4" w:space="0" w:color="auto"/>
              <w:right w:val="single" w:sz="4" w:space="0" w:color="auto"/>
            </w:tcBorders>
            <w:shd w:val="clear" w:color="auto" w:fill="C6EFCE"/>
            <w:vAlign w:val="center"/>
          </w:tcPr>
          <w:p w14:paraId="0563D6D1" w14:textId="08C2C05B" w:rsidR="00CE3BAD" w:rsidRPr="00782BF9" w:rsidRDefault="006B5475">
            <w:pPr>
              <w:pStyle w:val="P68B1DB1-Normal10"/>
              <w:spacing w:line="240" w:lineRule="auto"/>
              <w:rPr>
                <w:rFonts w:eastAsia="Times New Roman"/>
                <w:noProof/>
                <w:lang w:val="bg-BG"/>
              </w:rPr>
            </w:pPr>
            <w:r w:rsidRPr="00782BF9">
              <w:rPr>
                <w:noProof/>
                <w:lang w:val="bg-BG"/>
              </w:rPr>
              <w:t>Ключов етап</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518E1E72" w14:textId="5A3D5BD8" w:rsidR="00CE3BAD" w:rsidRPr="00782BF9" w:rsidRDefault="006B5475">
            <w:pPr>
              <w:pStyle w:val="P68B1DB1-Normal12"/>
              <w:spacing w:line="240" w:lineRule="auto"/>
              <w:rPr>
                <w:rFonts w:eastAsia="Calibri" w:cs="Calibri"/>
                <w:noProof/>
                <w:lang w:val="bg-BG"/>
              </w:rPr>
            </w:pPr>
            <w:r w:rsidRPr="00782BF9">
              <w:rPr>
                <w:noProof/>
                <w:lang w:val="bg-BG"/>
              </w:rPr>
              <w:t>Влизане в сила на законодателство, определящо увеличението на заплатите на учителите в началото на образованието за 2025 г.</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1FD05D26" w14:textId="3973CBA7" w:rsidR="00CE3BAD" w:rsidRPr="00782BF9" w:rsidRDefault="006B5475">
            <w:pPr>
              <w:pStyle w:val="P68B1DB1-Normal12"/>
              <w:spacing w:line="240" w:lineRule="auto"/>
              <w:rPr>
                <w:rFonts w:eastAsia="Calibri" w:cs="Calibri"/>
                <w:noProof/>
                <w:lang w:val="bg-BG"/>
              </w:rPr>
            </w:pPr>
            <w:r w:rsidRPr="00782BF9">
              <w:rPr>
                <w:noProof/>
                <w:lang w:val="bg-BG"/>
              </w:rPr>
              <w:t>Разпоредби в законодателството, указващи влизането му в сила</w:t>
            </w:r>
          </w:p>
        </w:tc>
        <w:tc>
          <w:tcPr>
            <w:tcW w:w="1112" w:type="dxa"/>
            <w:tcBorders>
              <w:top w:val="single" w:sz="4" w:space="0" w:color="auto"/>
              <w:left w:val="nil"/>
              <w:bottom w:val="single" w:sz="4" w:space="0" w:color="auto"/>
              <w:right w:val="single" w:sz="4" w:space="0" w:color="auto"/>
            </w:tcBorders>
            <w:shd w:val="clear" w:color="auto" w:fill="C6EFCE"/>
            <w:vAlign w:val="center"/>
          </w:tcPr>
          <w:p w14:paraId="13900604" w14:textId="74FB126D" w:rsidR="00CE3BAD" w:rsidRPr="00782BF9" w:rsidRDefault="00CE3BAD">
            <w:pPr>
              <w:spacing w:line="240" w:lineRule="auto"/>
              <w:rPr>
                <w:rFonts w:eastAsia="Times New Roman"/>
                <w:noProof/>
                <w:sz w:val="18"/>
                <w:lang w:val="bg-BG"/>
              </w:rPr>
            </w:pPr>
          </w:p>
        </w:tc>
        <w:tc>
          <w:tcPr>
            <w:tcW w:w="1674" w:type="dxa"/>
            <w:tcBorders>
              <w:top w:val="single" w:sz="4" w:space="0" w:color="auto"/>
              <w:left w:val="nil"/>
              <w:bottom w:val="single" w:sz="4" w:space="0" w:color="auto"/>
              <w:right w:val="single" w:sz="4" w:space="0" w:color="auto"/>
            </w:tcBorders>
            <w:shd w:val="clear" w:color="auto" w:fill="C6EFCE"/>
            <w:vAlign w:val="center"/>
          </w:tcPr>
          <w:p w14:paraId="24C8B956" w14:textId="1566F597" w:rsidR="00CE3BAD" w:rsidRPr="00782BF9" w:rsidRDefault="00CE3BAD">
            <w:pPr>
              <w:spacing w:line="240" w:lineRule="auto"/>
              <w:rPr>
                <w:rFonts w:eastAsia="Times New Roman"/>
                <w:noProof/>
                <w:sz w:val="18"/>
                <w:lang w:val="bg-BG"/>
              </w:rPr>
            </w:pPr>
          </w:p>
        </w:tc>
        <w:tc>
          <w:tcPr>
            <w:tcW w:w="1161" w:type="dxa"/>
            <w:tcBorders>
              <w:top w:val="single" w:sz="4" w:space="0" w:color="auto"/>
              <w:left w:val="nil"/>
              <w:bottom w:val="single" w:sz="4" w:space="0" w:color="auto"/>
              <w:right w:val="single" w:sz="4" w:space="0" w:color="auto"/>
            </w:tcBorders>
            <w:shd w:val="clear" w:color="auto" w:fill="C6EFCE"/>
            <w:vAlign w:val="center"/>
          </w:tcPr>
          <w:p w14:paraId="60FC458C" w14:textId="1A875294" w:rsidR="00CE3BAD" w:rsidRPr="00782BF9" w:rsidRDefault="00CE3BAD">
            <w:pPr>
              <w:spacing w:line="240" w:lineRule="auto"/>
              <w:rPr>
                <w:rFonts w:eastAsia="Times New Roman"/>
                <w:noProof/>
                <w:sz w:val="18"/>
                <w:lang w:val="bg-BG"/>
              </w:rPr>
            </w:pPr>
          </w:p>
        </w:tc>
        <w:tc>
          <w:tcPr>
            <w:tcW w:w="911" w:type="dxa"/>
            <w:tcBorders>
              <w:top w:val="single" w:sz="4" w:space="0" w:color="auto"/>
              <w:left w:val="nil"/>
              <w:bottom w:val="single" w:sz="4" w:space="0" w:color="auto"/>
              <w:right w:val="single" w:sz="4" w:space="0" w:color="auto"/>
            </w:tcBorders>
            <w:shd w:val="clear" w:color="auto" w:fill="C6EFCE"/>
            <w:vAlign w:val="center"/>
          </w:tcPr>
          <w:p w14:paraId="457B65DC" w14:textId="15AC0E57" w:rsidR="00CE3BAD" w:rsidRPr="00782BF9" w:rsidRDefault="006B5475">
            <w:pPr>
              <w:pStyle w:val="P68B1DB1-Normal10"/>
              <w:spacing w:line="240" w:lineRule="auto"/>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6A23AC40" w14:textId="48D5C45E" w:rsidR="00CE3BAD" w:rsidRPr="00782BF9" w:rsidRDefault="006B5475">
            <w:pPr>
              <w:pStyle w:val="P68B1DB1-Normal10"/>
              <w:spacing w:line="240" w:lineRule="auto"/>
              <w:rPr>
                <w:rFonts w:eastAsia="Times New Roman"/>
                <w:noProof/>
                <w:lang w:val="bg-BG"/>
              </w:rPr>
            </w:pPr>
            <w:r w:rsidRPr="00782BF9">
              <w:rPr>
                <w:noProof/>
                <w:lang w:val="bg-BG"/>
              </w:rPr>
              <w:t>2025</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69CA1DC1" w14:textId="07CBD7E7" w:rsidR="00CE3BAD" w:rsidRPr="00782BF9" w:rsidRDefault="006B5475">
            <w:pPr>
              <w:pStyle w:val="P68B1DB1-Normal12"/>
              <w:spacing w:line="240" w:lineRule="auto"/>
              <w:jc w:val="both"/>
              <w:rPr>
                <w:rFonts w:eastAsia="Calibri" w:cs="Calibri"/>
                <w:noProof/>
                <w:lang w:val="bg-BG"/>
              </w:rPr>
            </w:pPr>
            <w:r w:rsidRPr="00782BF9">
              <w:rPr>
                <w:noProof/>
                <w:lang w:val="bg-BG"/>
              </w:rPr>
              <w:t>Влиза в сила законодателство, с което се установява, че увеличението на заплатите на началните учители</w:t>
            </w:r>
            <w:r w:rsidRPr="00782BF9">
              <w:rPr>
                <w:i/>
                <w:noProof/>
                <w:lang w:val="bg-BG"/>
              </w:rPr>
              <w:t>(</w:t>
            </w:r>
            <w:r w:rsidRPr="00782BF9">
              <w:rPr>
                <w:noProof/>
                <w:lang w:val="bg-BG"/>
              </w:rPr>
              <w:t>gyakornok) за 2025 г. ще бъде с 10 процентни пункта по-високо от средното увеличение на заплатите за всички учители в системата на общественото образование през 2025 г.</w:t>
            </w:r>
          </w:p>
        </w:tc>
      </w:tr>
      <w:tr w:rsidR="00CE3BAD" w:rsidRPr="00782BF9" w14:paraId="58B1E075"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77EECA6C" w14:textId="1E44B837" w:rsidR="00CE3BAD" w:rsidRPr="00782BF9" w:rsidRDefault="006B5475">
            <w:pPr>
              <w:pStyle w:val="P68B1DB1-Normal10"/>
              <w:spacing w:after="0" w:line="240" w:lineRule="auto"/>
              <w:rPr>
                <w:rFonts w:eastAsia="Times New Roman"/>
                <w:noProof/>
                <w:lang w:val="bg-BG"/>
              </w:rPr>
            </w:pPr>
            <w:r w:rsidRPr="00782BF9">
              <w:rPr>
                <w:noProof/>
                <w:lang w:val="bg-BG"/>
              </w:rPr>
              <w:t>21</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1ED893FD" w14:textId="6D2D0D20" w:rsidR="00CE3BAD" w:rsidRPr="00782BF9" w:rsidRDefault="006B5475">
            <w:pPr>
              <w:pStyle w:val="P68B1DB1-Normal10"/>
              <w:spacing w:after="0" w:line="240" w:lineRule="auto"/>
              <w:rPr>
                <w:rFonts w:eastAsia="Times New Roman"/>
                <w:noProof/>
                <w:lang w:val="bg-BG"/>
              </w:rPr>
            </w:pPr>
            <w:r w:rsidRPr="00782BF9">
              <w:rPr>
                <w:noProof/>
                <w:lang w:val="bg-BG"/>
              </w:rPr>
              <w:t>C1.R3 Подобряване на привлекателността на учителската професия</w:t>
            </w:r>
          </w:p>
        </w:tc>
        <w:tc>
          <w:tcPr>
            <w:tcW w:w="971" w:type="dxa"/>
            <w:tcBorders>
              <w:top w:val="single" w:sz="4" w:space="0" w:color="auto"/>
              <w:left w:val="nil"/>
              <w:bottom w:val="single" w:sz="4" w:space="0" w:color="auto"/>
              <w:right w:val="single" w:sz="4" w:space="0" w:color="auto"/>
            </w:tcBorders>
            <w:shd w:val="clear" w:color="auto" w:fill="C6EFCE"/>
            <w:vAlign w:val="center"/>
          </w:tcPr>
          <w:p w14:paraId="75B20309"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492B5DF7" w14:textId="0771158D" w:rsidR="00CE3BAD" w:rsidRPr="00782BF9" w:rsidRDefault="006B5475">
            <w:pPr>
              <w:pStyle w:val="P68B1DB1-Normal10"/>
              <w:spacing w:after="0" w:line="240" w:lineRule="auto"/>
              <w:rPr>
                <w:rFonts w:eastAsia="Times New Roman"/>
                <w:noProof/>
                <w:lang w:val="bg-BG"/>
              </w:rPr>
            </w:pPr>
            <w:r w:rsidRPr="00782BF9">
              <w:rPr>
                <w:noProof/>
                <w:lang w:val="bg-BG"/>
              </w:rPr>
              <w:t>Прилагане на увеличенията на заплатите за учители, работещи в населени места в неравностойно положение, учители, работещи в училища с дял на учениците в неравностойно положение от най-малко 10 %, и учители в начално ниво</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1FC0A393" w14:textId="77777777" w:rsidR="00CE3BAD" w:rsidRPr="00782BF9" w:rsidRDefault="006B5475">
            <w:pPr>
              <w:pStyle w:val="P68B1DB1-Normal10"/>
              <w:spacing w:after="0" w:line="240" w:lineRule="auto"/>
              <w:rPr>
                <w:rFonts w:eastAsia="Times New Roman"/>
                <w:noProof/>
                <w:lang w:val="bg-BG"/>
              </w:rPr>
            </w:pPr>
            <w:r w:rsidRPr="00782BF9">
              <w:rPr>
                <w:noProof/>
                <w:lang w:val="bg-BG"/>
              </w:rPr>
              <w:t>Доклад относно прилагането на увеличенията на заплатите</w:t>
            </w:r>
          </w:p>
        </w:tc>
        <w:tc>
          <w:tcPr>
            <w:tcW w:w="1112" w:type="dxa"/>
            <w:tcBorders>
              <w:top w:val="single" w:sz="4" w:space="0" w:color="auto"/>
              <w:left w:val="nil"/>
              <w:bottom w:val="single" w:sz="4" w:space="0" w:color="auto"/>
              <w:right w:val="single" w:sz="4" w:space="0" w:color="auto"/>
            </w:tcBorders>
            <w:shd w:val="clear" w:color="auto" w:fill="C6EFCE"/>
            <w:vAlign w:val="center"/>
          </w:tcPr>
          <w:p w14:paraId="3C5005E2" w14:textId="77777777" w:rsidR="00CE3BAD" w:rsidRPr="00782BF9" w:rsidRDefault="00CE3BAD">
            <w:pPr>
              <w:spacing w:after="0" w:line="240" w:lineRule="auto"/>
              <w:rPr>
                <w:rFonts w:eastAsia="Times New Roman"/>
                <w:noProof/>
                <w:sz w:val="18"/>
                <w:lang w:val="bg-BG"/>
              </w:rPr>
            </w:pPr>
          </w:p>
        </w:tc>
        <w:tc>
          <w:tcPr>
            <w:tcW w:w="1674" w:type="dxa"/>
            <w:tcBorders>
              <w:top w:val="single" w:sz="4" w:space="0" w:color="auto"/>
              <w:left w:val="nil"/>
              <w:bottom w:val="single" w:sz="4" w:space="0" w:color="auto"/>
              <w:right w:val="single" w:sz="4" w:space="0" w:color="auto"/>
            </w:tcBorders>
            <w:shd w:val="clear" w:color="auto" w:fill="C6EFCE"/>
            <w:vAlign w:val="center"/>
          </w:tcPr>
          <w:p w14:paraId="64FE93E1" w14:textId="77777777" w:rsidR="00CE3BAD" w:rsidRPr="00782BF9" w:rsidRDefault="00CE3BAD">
            <w:pPr>
              <w:spacing w:after="0" w:line="240" w:lineRule="auto"/>
              <w:rPr>
                <w:rFonts w:eastAsia="Times New Roman"/>
                <w:noProof/>
                <w:sz w:val="18"/>
                <w:lang w:val="bg-BG"/>
              </w:rPr>
            </w:pPr>
          </w:p>
        </w:tc>
        <w:tc>
          <w:tcPr>
            <w:tcW w:w="1161" w:type="dxa"/>
            <w:tcBorders>
              <w:top w:val="single" w:sz="4" w:space="0" w:color="auto"/>
              <w:left w:val="nil"/>
              <w:bottom w:val="single" w:sz="4" w:space="0" w:color="auto"/>
              <w:right w:val="single" w:sz="4" w:space="0" w:color="auto"/>
            </w:tcBorders>
            <w:shd w:val="clear" w:color="auto" w:fill="C6EFCE"/>
            <w:vAlign w:val="center"/>
          </w:tcPr>
          <w:p w14:paraId="157C0458" w14:textId="77777777" w:rsidR="00CE3BAD" w:rsidRPr="00782BF9" w:rsidRDefault="00CE3BAD">
            <w:pPr>
              <w:spacing w:after="0" w:line="240" w:lineRule="auto"/>
              <w:rPr>
                <w:rFonts w:eastAsia="Times New Roman"/>
                <w:noProof/>
                <w:sz w:val="18"/>
                <w:lang w:val="bg-BG"/>
              </w:rPr>
            </w:pPr>
          </w:p>
        </w:tc>
        <w:tc>
          <w:tcPr>
            <w:tcW w:w="911" w:type="dxa"/>
            <w:tcBorders>
              <w:top w:val="single" w:sz="4" w:space="0" w:color="auto"/>
              <w:left w:val="nil"/>
              <w:bottom w:val="single" w:sz="4" w:space="0" w:color="auto"/>
              <w:right w:val="single" w:sz="4" w:space="0" w:color="auto"/>
            </w:tcBorders>
            <w:shd w:val="clear" w:color="auto" w:fill="C6EFCE"/>
            <w:vAlign w:val="center"/>
          </w:tcPr>
          <w:p w14:paraId="51BF6322"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364AEDE9"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7395E653" w14:textId="2D8BEC66" w:rsidR="00CE3BAD" w:rsidRPr="00782BF9" w:rsidRDefault="006B5475">
            <w:pPr>
              <w:pStyle w:val="P68B1DB1-Normal10"/>
              <w:spacing w:after="0" w:line="240" w:lineRule="auto"/>
              <w:jc w:val="both"/>
              <w:rPr>
                <w:rFonts w:eastAsia="Times New Roman"/>
                <w:noProof/>
                <w:lang w:val="bg-BG"/>
              </w:rPr>
            </w:pPr>
            <w:r w:rsidRPr="00782BF9">
              <w:rPr>
                <w:noProof/>
                <w:lang w:val="bg-BG"/>
              </w:rPr>
              <w:t>Изготвя се доклад, който показва прилагането през периода 2023—2026 г. на увеличенията на заплатите, посочени в ключови етапи 16 и 20, за учителите, работещи в населени места в неравностойно положение, учителите, работещи в училища с дял на учениците в неравностойно положение от най-малко 10</w:t>
            </w:r>
            <w:r w:rsidRPr="00782BF9">
              <w:rPr>
                <w:noProof/>
                <w:color w:val="006100"/>
                <w:lang w:val="bg-BG"/>
              </w:rPr>
              <w:t xml:space="preserve"> </w:t>
            </w:r>
            <w:r w:rsidRPr="00782BF9">
              <w:rPr>
                <w:noProof/>
                <w:lang w:val="bg-BG"/>
              </w:rPr>
              <w:t>%, и в техните педагогически програми се определят специални педагогически методи за приобщаващо образование, както и за началните учители.</w:t>
            </w:r>
          </w:p>
        </w:tc>
      </w:tr>
      <w:tr w:rsidR="00CE3BAD" w:rsidRPr="00782BF9" w14:paraId="4599595C"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4C2A947A" w14:textId="1307F0CF" w:rsidR="00CE3BAD" w:rsidRPr="00782BF9" w:rsidRDefault="006B5475">
            <w:pPr>
              <w:pStyle w:val="P68B1DB1-Normal10"/>
              <w:spacing w:after="0" w:line="240" w:lineRule="auto"/>
              <w:rPr>
                <w:rFonts w:eastAsia="Times New Roman"/>
                <w:noProof/>
                <w:lang w:val="bg-BG"/>
              </w:rPr>
            </w:pPr>
            <w:r w:rsidRPr="00782BF9">
              <w:rPr>
                <w:noProof/>
                <w:lang w:val="bg-BG"/>
              </w:rPr>
              <w:t>22</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06A7E841" w14:textId="74FD6BEA" w:rsidR="00CE3BAD" w:rsidRPr="00782BF9" w:rsidRDefault="006B5475">
            <w:pPr>
              <w:pStyle w:val="P68B1DB1-Normal10"/>
              <w:spacing w:after="0" w:line="240" w:lineRule="auto"/>
              <w:rPr>
                <w:rFonts w:eastAsia="Times New Roman"/>
                <w:noProof/>
                <w:lang w:val="bg-BG"/>
              </w:rPr>
            </w:pPr>
            <w:r w:rsidRPr="00782BF9">
              <w:rPr>
                <w:noProof/>
                <w:lang w:val="bg-BG"/>
              </w:rPr>
              <w:t>C1.I3 Обучение на учители и подобряване на управленските умения на ръководителите на институции</w:t>
            </w:r>
          </w:p>
        </w:tc>
        <w:tc>
          <w:tcPr>
            <w:tcW w:w="971" w:type="dxa"/>
            <w:tcBorders>
              <w:top w:val="single" w:sz="4" w:space="0" w:color="auto"/>
              <w:left w:val="nil"/>
              <w:bottom w:val="single" w:sz="4" w:space="0" w:color="auto"/>
              <w:right w:val="single" w:sz="4" w:space="0" w:color="auto"/>
            </w:tcBorders>
            <w:shd w:val="clear" w:color="auto" w:fill="C6EFCE"/>
            <w:vAlign w:val="center"/>
          </w:tcPr>
          <w:p w14:paraId="2C1E385F" w14:textId="1A386175"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07023143" w14:textId="39E7EB8D" w:rsidR="00CE3BAD" w:rsidRPr="00782BF9" w:rsidRDefault="006B5475">
            <w:pPr>
              <w:pStyle w:val="P68B1DB1-Normal10"/>
              <w:spacing w:after="0" w:line="240" w:lineRule="auto"/>
              <w:rPr>
                <w:rFonts w:eastAsia="Times New Roman"/>
                <w:noProof/>
                <w:lang w:val="bg-BG"/>
              </w:rPr>
            </w:pPr>
            <w:r w:rsidRPr="00782BF9">
              <w:rPr>
                <w:noProof/>
                <w:lang w:val="bg-BG"/>
              </w:rPr>
              <w:t>Брой ръководители и заместник-ръководители на обществени образователни институции, участвали в продължаващото професионално развитие</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4136C47F" w14:textId="6ED70E8A" w:rsidR="00CE3BAD" w:rsidRPr="00782BF9" w:rsidRDefault="00CE3BAD">
            <w:pPr>
              <w:spacing w:after="0" w:line="240" w:lineRule="auto"/>
              <w:rPr>
                <w:rFonts w:eastAsia="Times New Roman"/>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729317FA" w14:textId="2C4623B0" w:rsidR="00CE3BAD" w:rsidRPr="00782BF9" w:rsidRDefault="006B5475">
            <w:pPr>
              <w:pStyle w:val="P68B1DB1-Normal10"/>
              <w:spacing w:after="0" w:line="240" w:lineRule="auto"/>
              <w:jc w:val="center"/>
              <w:rPr>
                <w:rFonts w:eastAsia="Times New Roman"/>
                <w:noProof/>
                <w:lang w:val="bg-BG"/>
              </w:rPr>
            </w:pPr>
            <w:r w:rsidRPr="00782BF9">
              <w:rPr>
                <w:noProof/>
                <w:lang w:val="bg-BG"/>
              </w:rPr>
              <w:t>Брой</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471644DA" w14:textId="07972A13" w:rsidR="00CE3BAD" w:rsidRPr="00782BF9" w:rsidRDefault="006B5475">
            <w:pPr>
              <w:pStyle w:val="P68B1DB1-Normal10"/>
              <w:spacing w:after="0" w:line="240" w:lineRule="auto"/>
              <w:jc w:val="center"/>
              <w:rPr>
                <w:rFonts w:eastAsia="Times New Roman"/>
                <w:noProof/>
                <w:lang w:val="bg-BG"/>
              </w:rPr>
            </w:pPr>
            <w:r w:rsidRPr="00782BF9">
              <w:rPr>
                <w:noProof/>
                <w:lang w:val="bg-BG"/>
              </w:rPr>
              <w:t>0</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016DF52A" w14:textId="409B01C4" w:rsidR="00CE3BAD" w:rsidRPr="00782BF9" w:rsidRDefault="006B5475">
            <w:pPr>
              <w:pStyle w:val="P68B1DB1-Normal10"/>
              <w:spacing w:after="0" w:line="240" w:lineRule="auto"/>
              <w:jc w:val="center"/>
              <w:rPr>
                <w:rFonts w:eastAsia="Times New Roman"/>
                <w:noProof/>
                <w:lang w:val="bg-BG"/>
              </w:rPr>
            </w:pPr>
            <w:r w:rsidRPr="00782BF9">
              <w:rPr>
                <w:noProof/>
                <w:lang w:val="bg-BG"/>
              </w:rPr>
              <w:t>3</w:t>
            </w:r>
            <w:r w:rsidRPr="00782BF9">
              <w:rPr>
                <w:noProof/>
                <w:color w:val="006100"/>
                <w:lang w:val="bg-BG"/>
              </w:rPr>
              <w:t xml:space="preserve"> </w:t>
            </w:r>
            <w:r w:rsidRPr="00782BF9">
              <w:rPr>
                <w:noProof/>
                <w:lang w:val="bg-BG"/>
              </w:rPr>
              <w:t>000</w:t>
            </w:r>
          </w:p>
        </w:tc>
        <w:tc>
          <w:tcPr>
            <w:tcW w:w="911" w:type="dxa"/>
            <w:tcBorders>
              <w:top w:val="single" w:sz="4" w:space="0" w:color="auto"/>
              <w:left w:val="nil"/>
              <w:bottom w:val="single" w:sz="4" w:space="0" w:color="auto"/>
              <w:right w:val="single" w:sz="4" w:space="0" w:color="auto"/>
            </w:tcBorders>
            <w:shd w:val="clear" w:color="auto" w:fill="C6EFCE"/>
            <w:vAlign w:val="center"/>
          </w:tcPr>
          <w:p w14:paraId="474A51E6" w14:textId="54E14EDC"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6D5994B5" w14:textId="25793BAB"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5FD9BEA2" w14:textId="27C76499" w:rsidR="00CE3BAD" w:rsidRPr="00782BF9" w:rsidRDefault="006B5475">
            <w:pPr>
              <w:pStyle w:val="P68B1DB1-Normal10"/>
              <w:spacing w:line="240" w:lineRule="auto"/>
              <w:jc w:val="both"/>
              <w:rPr>
                <w:rFonts w:eastAsia="Times New Roman"/>
                <w:noProof/>
                <w:lang w:val="bg-BG"/>
              </w:rPr>
            </w:pPr>
            <w:r w:rsidRPr="00782BF9">
              <w:rPr>
                <w:noProof/>
                <w:lang w:val="bg-BG"/>
              </w:rPr>
              <w:t>Най-малко 3</w:t>
            </w:r>
            <w:r w:rsidRPr="00782BF9">
              <w:rPr>
                <w:noProof/>
                <w:color w:val="006100"/>
                <w:lang w:val="bg-BG"/>
              </w:rPr>
              <w:t xml:space="preserve"> </w:t>
            </w:r>
            <w:r w:rsidRPr="00782BF9">
              <w:rPr>
                <w:noProof/>
                <w:lang w:val="bg-BG"/>
              </w:rPr>
              <w:t>000 ръководители и заместник-ръководители на обществени образователни институции участват в продължаващото професионално развитие с цел подобряване на техните цифрови и управленски умения.</w:t>
            </w:r>
          </w:p>
        </w:tc>
      </w:tr>
      <w:tr w:rsidR="00CE3BAD" w:rsidRPr="00782BF9" w14:paraId="0533B55B"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1C2129AD" w14:textId="32ADF424" w:rsidR="00CE3BAD" w:rsidRPr="00782BF9" w:rsidRDefault="006B5475">
            <w:pPr>
              <w:pStyle w:val="P68B1DB1-Normal10"/>
              <w:spacing w:after="0" w:line="240" w:lineRule="auto"/>
              <w:rPr>
                <w:rFonts w:eastAsia="Times New Roman"/>
                <w:noProof/>
                <w:lang w:val="bg-BG"/>
              </w:rPr>
            </w:pPr>
            <w:r w:rsidRPr="00782BF9">
              <w:rPr>
                <w:noProof/>
                <w:lang w:val="bg-BG"/>
              </w:rPr>
              <w:t>23</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0A1996EB" w14:textId="09A60FC7" w:rsidR="00CE3BAD" w:rsidRPr="00782BF9" w:rsidRDefault="006B5475">
            <w:pPr>
              <w:pStyle w:val="P68B1DB1-Normal10"/>
              <w:spacing w:after="0" w:line="240" w:lineRule="auto"/>
              <w:rPr>
                <w:rFonts w:eastAsia="Times New Roman"/>
                <w:noProof/>
                <w:lang w:val="bg-BG"/>
              </w:rPr>
            </w:pPr>
            <w:r w:rsidRPr="00782BF9">
              <w:rPr>
                <w:noProof/>
                <w:lang w:val="bg-BG"/>
              </w:rPr>
              <w:t>C1.I3 Обучение на учители и подобряване на управленските умения на ръководителите на институции</w:t>
            </w:r>
          </w:p>
        </w:tc>
        <w:tc>
          <w:tcPr>
            <w:tcW w:w="971" w:type="dxa"/>
            <w:tcBorders>
              <w:top w:val="single" w:sz="4" w:space="0" w:color="auto"/>
              <w:left w:val="nil"/>
              <w:bottom w:val="single" w:sz="4" w:space="0" w:color="auto"/>
              <w:right w:val="single" w:sz="4" w:space="0" w:color="auto"/>
            </w:tcBorders>
            <w:shd w:val="clear" w:color="auto" w:fill="C6EFCE"/>
            <w:vAlign w:val="center"/>
          </w:tcPr>
          <w:p w14:paraId="291AE41D" w14:textId="3AEF967E"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36D65E7C" w14:textId="7CC1AD1D" w:rsidR="00CE3BAD" w:rsidRPr="00782BF9" w:rsidRDefault="006B5475">
            <w:pPr>
              <w:pStyle w:val="P68B1DB1-Normal10"/>
              <w:rPr>
                <w:rFonts w:eastAsia="Times New Roman"/>
                <w:noProof/>
                <w:lang w:val="bg-BG"/>
              </w:rPr>
            </w:pPr>
            <w:r w:rsidRPr="00782BF9">
              <w:rPr>
                <w:noProof/>
                <w:lang w:val="bg-BG"/>
              </w:rPr>
              <w:t>Брой учители от публични образователни институции, участвали в продължаващо професионално развитие</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79C2D3B8" w14:textId="7ADEEFBA" w:rsidR="00CE3BAD" w:rsidRPr="00782BF9" w:rsidRDefault="00CE3BAD">
            <w:pPr>
              <w:spacing w:after="0" w:line="240" w:lineRule="auto"/>
              <w:rPr>
                <w:rFonts w:eastAsia="Times New Roman"/>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79BB8225" w14:textId="6E0A875C" w:rsidR="00CE3BAD" w:rsidRPr="00782BF9" w:rsidRDefault="006B5475">
            <w:pPr>
              <w:pStyle w:val="P68B1DB1-Normal10"/>
              <w:spacing w:after="0" w:line="240" w:lineRule="auto"/>
              <w:jc w:val="center"/>
              <w:rPr>
                <w:rFonts w:eastAsia="Times New Roman"/>
                <w:noProof/>
                <w:lang w:val="bg-BG"/>
              </w:rPr>
            </w:pPr>
            <w:r w:rsidRPr="00782BF9">
              <w:rPr>
                <w:noProof/>
                <w:lang w:val="bg-BG"/>
              </w:rPr>
              <w:t>Брой</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1131422C" w14:textId="1200DC78" w:rsidR="00CE3BAD" w:rsidRPr="00782BF9" w:rsidRDefault="006B5475">
            <w:pPr>
              <w:pStyle w:val="P68B1DB1-Normal10"/>
              <w:spacing w:after="0" w:line="240" w:lineRule="auto"/>
              <w:jc w:val="center"/>
              <w:rPr>
                <w:rFonts w:eastAsia="Times New Roman"/>
                <w:noProof/>
                <w:lang w:val="bg-BG"/>
              </w:rPr>
            </w:pPr>
            <w:r w:rsidRPr="00782BF9">
              <w:rPr>
                <w:noProof/>
                <w:lang w:val="bg-BG"/>
              </w:rPr>
              <w:t>0</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0630CC1C" w14:textId="51EE1C94" w:rsidR="00CE3BAD" w:rsidRPr="00782BF9" w:rsidRDefault="006B5475">
            <w:pPr>
              <w:pStyle w:val="P68B1DB1-Normal10"/>
              <w:spacing w:after="0" w:line="240" w:lineRule="auto"/>
              <w:jc w:val="center"/>
              <w:rPr>
                <w:rFonts w:eastAsia="Times New Roman"/>
                <w:noProof/>
                <w:lang w:val="bg-BG"/>
              </w:rPr>
            </w:pPr>
            <w:r w:rsidRPr="00782BF9">
              <w:rPr>
                <w:noProof/>
                <w:lang w:val="bg-BG"/>
              </w:rPr>
              <w:t>5</w:t>
            </w:r>
            <w:r w:rsidRPr="00782BF9">
              <w:rPr>
                <w:noProof/>
                <w:color w:val="006100"/>
                <w:lang w:val="bg-BG"/>
              </w:rPr>
              <w:t xml:space="preserve"> </w:t>
            </w:r>
            <w:r w:rsidRPr="00782BF9">
              <w:rPr>
                <w:noProof/>
                <w:lang w:val="bg-BG"/>
              </w:rPr>
              <w:t>000</w:t>
            </w:r>
          </w:p>
        </w:tc>
        <w:tc>
          <w:tcPr>
            <w:tcW w:w="911" w:type="dxa"/>
            <w:tcBorders>
              <w:top w:val="single" w:sz="4" w:space="0" w:color="auto"/>
              <w:left w:val="nil"/>
              <w:bottom w:val="single" w:sz="4" w:space="0" w:color="auto"/>
              <w:right w:val="single" w:sz="4" w:space="0" w:color="auto"/>
            </w:tcBorders>
            <w:shd w:val="clear" w:color="auto" w:fill="C6EFCE"/>
            <w:vAlign w:val="center"/>
          </w:tcPr>
          <w:p w14:paraId="7ED33F47" w14:textId="2732FAD0"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5FA4181E" w14:textId="2516B5C0"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2D607DCC" w14:textId="2F7E70D7" w:rsidR="00CE3BAD" w:rsidRPr="00782BF9" w:rsidRDefault="006B5475">
            <w:pPr>
              <w:pStyle w:val="P68B1DB1-Normal10"/>
              <w:spacing w:line="240" w:lineRule="auto"/>
              <w:jc w:val="both"/>
              <w:rPr>
                <w:rFonts w:eastAsia="Times New Roman"/>
                <w:noProof/>
                <w:lang w:val="bg-BG"/>
              </w:rPr>
            </w:pPr>
            <w:r w:rsidRPr="00782BF9">
              <w:rPr>
                <w:noProof/>
                <w:lang w:val="bg-BG"/>
              </w:rPr>
              <w:t>Въз основа на предварителната консултация с учителите, проведена чрез съществуващите организации за координация на общественото образование (Национален съвет по обществено образование, Кръгла маса по въпросите на общественото образование), най-малко 5</w:t>
            </w:r>
            <w:r w:rsidRPr="00782BF9">
              <w:rPr>
                <w:noProof/>
                <w:color w:val="006100"/>
                <w:lang w:val="bg-BG"/>
              </w:rPr>
              <w:t xml:space="preserve"> </w:t>
            </w:r>
            <w:r w:rsidRPr="00782BF9">
              <w:rPr>
                <w:noProof/>
                <w:lang w:val="bg-BG"/>
              </w:rPr>
              <w:t>000 учители в прогимназиалния и гимназиалния етап на средното образование участват в продължаващо професионално развитие, за да придобият допълнителна специализация и сертификат за преподаване на учебни области, за които има голямо търсене.</w:t>
            </w:r>
          </w:p>
        </w:tc>
      </w:tr>
      <w:tr w:rsidR="00CE3BAD" w:rsidRPr="00782BF9" w14:paraId="6EF64A99"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7BF01D84" w14:textId="567BD2BB" w:rsidR="00CE3BAD" w:rsidRPr="00782BF9" w:rsidRDefault="006B5475">
            <w:pPr>
              <w:pStyle w:val="P68B1DB1-Normal10"/>
              <w:spacing w:after="0" w:line="240" w:lineRule="auto"/>
              <w:rPr>
                <w:rFonts w:eastAsia="Times New Roman"/>
                <w:noProof/>
                <w:lang w:val="bg-BG"/>
              </w:rPr>
            </w:pPr>
            <w:r w:rsidRPr="00782BF9">
              <w:rPr>
                <w:noProof/>
                <w:lang w:val="bg-BG"/>
              </w:rPr>
              <w:t>24</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55C62D69" w14:textId="50FD4E21" w:rsidR="00CE3BAD" w:rsidRPr="00782BF9" w:rsidRDefault="006B5475">
            <w:pPr>
              <w:pStyle w:val="P68B1DB1-Normal10"/>
              <w:spacing w:after="0" w:line="240" w:lineRule="auto"/>
              <w:rPr>
                <w:rFonts w:eastAsia="Times New Roman"/>
                <w:noProof/>
                <w:lang w:val="bg-BG"/>
              </w:rPr>
            </w:pPr>
            <w:r w:rsidRPr="00782BF9">
              <w:rPr>
                <w:noProof/>
                <w:lang w:val="bg-BG"/>
              </w:rPr>
              <w:t>C1.I4 Създаване на нови детски ясли</w:t>
            </w:r>
          </w:p>
        </w:tc>
        <w:tc>
          <w:tcPr>
            <w:tcW w:w="971" w:type="dxa"/>
            <w:tcBorders>
              <w:top w:val="single" w:sz="4" w:space="0" w:color="auto"/>
              <w:left w:val="nil"/>
              <w:bottom w:val="single" w:sz="4" w:space="0" w:color="auto"/>
              <w:right w:val="single" w:sz="4" w:space="0" w:color="auto"/>
            </w:tcBorders>
            <w:shd w:val="clear" w:color="auto" w:fill="C6EFCE"/>
            <w:vAlign w:val="center"/>
          </w:tcPr>
          <w:p w14:paraId="23644348" w14:textId="5A1E8123"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2E0F82C1" w14:textId="6BB8B42E" w:rsidR="00CE3BAD" w:rsidRPr="00782BF9" w:rsidRDefault="006B5475">
            <w:pPr>
              <w:pStyle w:val="P68B1DB1-Normal10"/>
              <w:rPr>
                <w:rFonts w:eastAsia="Times New Roman"/>
                <w:noProof/>
                <w:lang w:val="bg-BG"/>
              </w:rPr>
            </w:pPr>
            <w:r w:rsidRPr="00782BF9">
              <w:rPr>
                <w:noProof/>
                <w:lang w:val="bg-BG"/>
              </w:rPr>
              <w:t>Брой деца, записани в новосъздадени детски ясли</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456C7F12" w14:textId="5BCB48D3" w:rsidR="00CE3BAD" w:rsidRPr="00782BF9" w:rsidRDefault="00CE3BAD">
            <w:pPr>
              <w:spacing w:after="0" w:line="240" w:lineRule="auto"/>
              <w:rPr>
                <w:rFonts w:eastAsia="Times New Roman"/>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7E3163EB" w14:textId="08F1558B" w:rsidR="00CE3BAD" w:rsidRPr="00782BF9" w:rsidRDefault="006B5475">
            <w:pPr>
              <w:pStyle w:val="P68B1DB1-Normal10"/>
              <w:spacing w:after="0" w:line="240" w:lineRule="auto"/>
              <w:jc w:val="center"/>
              <w:rPr>
                <w:rFonts w:eastAsia="Times New Roman"/>
                <w:noProof/>
                <w:lang w:val="bg-BG"/>
              </w:rPr>
            </w:pPr>
            <w:r w:rsidRPr="00782BF9">
              <w:rPr>
                <w:noProof/>
                <w:lang w:val="bg-BG"/>
              </w:rPr>
              <w:t>Брой</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2670B2B1" w14:textId="06974A24" w:rsidR="00CE3BAD" w:rsidRPr="00782BF9" w:rsidRDefault="006B5475">
            <w:pPr>
              <w:pStyle w:val="P68B1DB1-Normal10"/>
              <w:spacing w:after="0" w:line="240" w:lineRule="auto"/>
              <w:jc w:val="center"/>
              <w:rPr>
                <w:rFonts w:eastAsia="Times New Roman"/>
                <w:noProof/>
                <w:lang w:val="bg-BG"/>
              </w:rPr>
            </w:pPr>
            <w:r w:rsidRPr="00782BF9">
              <w:rPr>
                <w:noProof/>
                <w:lang w:val="bg-BG"/>
              </w:rPr>
              <w:t>0</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165DE661" w14:textId="3D6E5EFF" w:rsidR="00CE3BAD" w:rsidRPr="00782BF9" w:rsidRDefault="006B5475">
            <w:pPr>
              <w:pStyle w:val="P68B1DB1-Normal10"/>
              <w:spacing w:after="0" w:line="240" w:lineRule="auto"/>
              <w:jc w:val="center"/>
              <w:rPr>
                <w:rFonts w:eastAsia="Times New Roman"/>
                <w:noProof/>
                <w:lang w:val="bg-BG"/>
              </w:rPr>
            </w:pPr>
            <w:r w:rsidRPr="00782BF9">
              <w:rPr>
                <w:noProof/>
                <w:lang w:val="bg-BG"/>
              </w:rPr>
              <w:t>500</w:t>
            </w:r>
          </w:p>
        </w:tc>
        <w:tc>
          <w:tcPr>
            <w:tcW w:w="911" w:type="dxa"/>
            <w:tcBorders>
              <w:top w:val="single" w:sz="4" w:space="0" w:color="auto"/>
              <w:left w:val="nil"/>
              <w:bottom w:val="single" w:sz="4" w:space="0" w:color="auto"/>
              <w:right w:val="single" w:sz="4" w:space="0" w:color="auto"/>
            </w:tcBorders>
            <w:shd w:val="clear" w:color="auto" w:fill="C6EFCE"/>
            <w:vAlign w:val="center"/>
          </w:tcPr>
          <w:p w14:paraId="5688F0DA" w14:textId="462D10F7" w:rsidR="00CE3BAD" w:rsidRPr="00782BF9" w:rsidRDefault="006B5475">
            <w:pPr>
              <w:pStyle w:val="P68B1DB1-Normal10"/>
              <w:spacing w:after="0" w:line="240" w:lineRule="auto"/>
              <w:rPr>
                <w:rFonts w:eastAsia="Times New Roman"/>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6A2F87DE" w14:textId="67FC6D77" w:rsidR="00CE3BAD" w:rsidRPr="00782BF9" w:rsidRDefault="006B5475">
            <w:pPr>
              <w:pStyle w:val="P68B1DB1-Normal10"/>
              <w:spacing w:after="0" w:line="240" w:lineRule="auto"/>
              <w:rPr>
                <w:rFonts w:eastAsia="Times New Roman"/>
                <w:noProof/>
                <w:lang w:val="bg-BG"/>
              </w:rPr>
            </w:pPr>
            <w:r w:rsidRPr="00782BF9">
              <w:rPr>
                <w:noProof/>
                <w:lang w:val="bg-BG"/>
              </w:rPr>
              <w:t>2024</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57678F79" w14:textId="56ED10EC" w:rsidR="00CE3BAD" w:rsidRPr="00782BF9" w:rsidRDefault="006B5475">
            <w:pPr>
              <w:pStyle w:val="P68B1DB1-Normal10"/>
              <w:spacing w:after="0" w:line="240" w:lineRule="auto"/>
              <w:jc w:val="both"/>
              <w:rPr>
                <w:rFonts w:eastAsia="Times New Roman"/>
                <w:noProof/>
                <w:lang w:val="bg-BG"/>
              </w:rPr>
            </w:pPr>
            <w:r w:rsidRPr="00782BF9">
              <w:rPr>
                <w:noProof/>
                <w:lang w:val="bg-BG"/>
              </w:rPr>
              <w:t xml:space="preserve">Най-малко 500 деца трябва да бъдат записани в нови детски ясли, създадени с подкрепата на </w:t>
            </w:r>
            <w:r w:rsidRPr="00782BF9">
              <w:rPr>
                <w:rFonts w:ascii="Calibri" w:hAnsi="Calibri"/>
                <w:noProof/>
                <w:lang w:val="bg-BG"/>
              </w:rPr>
              <w:t>плана за възстановяване и устойчивост</w:t>
            </w:r>
            <w:r w:rsidRPr="00782BF9">
              <w:rPr>
                <w:noProof/>
                <w:lang w:val="bg-BG"/>
              </w:rPr>
              <w:t>.</w:t>
            </w:r>
          </w:p>
        </w:tc>
      </w:tr>
      <w:tr w:rsidR="00CE3BAD" w:rsidRPr="00782BF9" w14:paraId="67C6F7EA"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700C44E1" w14:textId="67503EFA" w:rsidR="00CE3BAD" w:rsidRPr="00782BF9" w:rsidRDefault="006B5475">
            <w:pPr>
              <w:pStyle w:val="P68B1DB1-Normal10"/>
              <w:spacing w:after="0" w:line="240" w:lineRule="auto"/>
              <w:rPr>
                <w:rFonts w:eastAsia="Times New Roman"/>
                <w:noProof/>
                <w:lang w:val="bg-BG"/>
              </w:rPr>
            </w:pPr>
            <w:r w:rsidRPr="00782BF9">
              <w:rPr>
                <w:noProof/>
                <w:lang w:val="bg-BG"/>
              </w:rPr>
              <w:t>25</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1C781BE6" w14:textId="7D0E01B9" w:rsidR="00CE3BAD" w:rsidRPr="00782BF9" w:rsidRDefault="006B5475">
            <w:pPr>
              <w:pStyle w:val="P68B1DB1-Normal10"/>
              <w:spacing w:after="0" w:line="240" w:lineRule="auto"/>
              <w:rPr>
                <w:rFonts w:eastAsia="Times New Roman"/>
                <w:noProof/>
                <w:lang w:val="bg-BG"/>
              </w:rPr>
            </w:pPr>
            <w:r w:rsidRPr="00782BF9">
              <w:rPr>
                <w:noProof/>
                <w:lang w:val="bg-BG"/>
              </w:rPr>
              <w:t>C1.I4 Създаване на нови детски ясли</w:t>
            </w:r>
          </w:p>
        </w:tc>
        <w:tc>
          <w:tcPr>
            <w:tcW w:w="971" w:type="dxa"/>
            <w:tcBorders>
              <w:top w:val="single" w:sz="4" w:space="0" w:color="auto"/>
              <w:left w:val="nil"/>
              <w:bottom w:val="single" w:sz="4" w:space="0" w:color="auto"/>
              <w:right w:val="single" w:sz="4" w:space="0" w:color="auto"/>
            </w:tcBorders>
            <w:shd w:val="clear" w:color="auto" w:fill="C6EFCE"/>
            <w:vAlign w:val="center"/>
          </w:tcPr>
          <w:p w14:paraId="7B8F26DB" w14:textId="38C17F96"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74065695" w14:textId="440E8653" w:rsidR="00CE3BAD" w:rsidRPr="00782BF9" w:rsidRDefault="006B5475">
            <w:pPr>
              <w:pStyle w:val="P68B1DB1-Normal10"/>
              <w:rPr>
                <w:rFonts w:eastAsia="Times New Roman"/>
                <w:noProof/>
                <w:lang w:val="bg-BG"/>
              </w:rPr>
            </w:pPr>
            <w:r w:rsidRPr="00782BF9">
              <w:rPr>
                <w:noProof/>
                <w:lang w:val="bg-BG"/>
              </w:rPr>
              <w:t>Брой на допълнителните деца, записани в новосъздадени детски ясли</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09448ADC" w14:textId="56B7F3E1" w:rsidR="00CE3BAD" w:rsidRPr="00782BF9" w:rsidRDefault="00CE3BAD">
            <w:pPr>
              <w:spacing w:after="0" w:line="240" w:lineRule="auto"/>
              <w:rPr>
                <w:rFonts w:eastAsia="Times New Roman"/>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7E18047B" w14:textId="7551EF66" w:rsidR="00CE3BAD" w:rsidRPr="00782BF9" w:rsidRDefault="006B5475">
            <w:pPr>
              <w:pStyle w:val="P68B1DB1-Normal10"/>
              <w:spacing w:after="0" w:line="240" w:lineRule="auto"/>
              <w:jc w:val="center"/>
              <w:rPr>
                <w:rFonts w:eastAsia="Times New Roman"/>
                <w:noProof/>
                <w:lang w:val="bg-BG"/>
              </w:rPr>
            </w:pPr>
            <w:r w:rsidRPr="00782BF9">
              <w:rPr>
                <w:noProof/>
                <w:lang w:val="bg-BG"/>
              </w:rPr>
              <w:t>Брой</w:t>
            </w:r>
          </w:p>
        </w:tc>
        <w:tc>
          <w:tcPr>
            <w:tcW w:w="1674" w:type="dxa"/>
            <w:tcBorders>
              <w:top w:val="single" w:sz="4" w:space="0" w:color="auto"/>
              <w:left w:val="nil"/>
              <w:bottom w:val="single" w:sz="4" w:space="0" w:color="auto"/>
              <w:right w:val="single" w:sz="4" w:space="0" w:color="auto"/>
            </w:tcBorders>
            <w:shd w:val="clear" w:color="auto" w:fill="C6EFCE"/>
            <w:vAlign w:val="center"/>
          </w:tcPr>
          <w:p w14:paraId="59D78A46" w14:textId="4BC7530B" w:rsidR="00CE3BAD" w:rsidRPr="00782BF9" w:rsidRDefault="006B5475">
            <w:pPr>
              <w:pStyle w:val="P68B1DB1-Normal10"/>
              <w:spacing w:after="0" w:line="240" w:lineRule="auto"/>
              <w:jc w:val="center"/>
              <w:rPr>
                <w:rFonts w:eastAsia="Times New Roman"/>
                <w:noProof/>
                <w:lang w:val="bg-BG"/>
              </w:rPr>
            </w:pPr>
            <w:r w:rsidRPr="00782BF9">
              <w:rPr>
                <w:noProof/>
                <w:lang w:val="bg-BG"/>
              </w:rPr>
              <w:t>500</w:t>
            </w:r>
          </w:p>
        </w:tc>
        <w:tc>
          <w:tcPr>
            <w:tcW w:w="1161" w:type="dxa"/>
            <w:tcBorders>
              <w:top w:val="single" w:sz="4" w:space="0" w:color="auto"/>
              <w:left w:val="nil"/>
              <w:bottom w:val="single" w:sz="4" w:space="0" w:color="auto"/>
              <w:right w:val="single" w:sz="4" w:space="0" w:color="auto"/>
            </w:tcBorders>
            <w:shd w:val="clear" w:color="auto" w:fill="C6EFCE"/>
            <w:vAlign w:val="center"/>
          </w:tcPr>
          <w:p w14:paraId="4277AC7B" w14:textId="692F8ECD" w:rsidR="00CE3BAD" w:rsidRPr="00782BF9" w:rsidRDefault="006B5475">
            <w:pPr>
              <w:pStyle w:val="P68B1DB1-Normal10"/>
              <w:spacing w:after="0" w:line="240" w:lineRule="auto"/>
              <w:jc w:val="center"/>
              <w:rPr>
                <w:rFonts w:eastAsia="Times New Roman"/>
                <w:noProof/>
                <w:lang w:val="bg-BG"/>
              </w:rPr>
            </w:pPr>
            <w:r w:rsidRPr="00782BF9">
              <w:rPr>
                <w:noProof/>
                <w:lang w:val="bg-BG"/>
              </w:rPr>
              <w:t>3</w:t>
            </w:r>
            <w:r w:rsidRPr="00782BF9">
              <w:rPr>
                <w:noProof/>
                <w:color w:val="006100"/>
                <w:lang w:val="bg-BG"/>
              </w:rPr>
              <w:t xml:space="preserve"> </w:t>
            </w:r>
            <w:r w:rsidRPr="00782BF9">
              <w:rPr>
                <w:noProof/>
                <w:lang w:val="bg-BG"/>
              </w:rPr>
              <w:t>984</w:t>
            </w:r>
          </w:p>
        </w:tc>
        <w:tc>
          <w:tcPr>
            <w:tcW w:w="911" w:type="dxa"/>
            <w:tcBorders>
              <w:top w:val="single" w:sz="4" w:space="0" w:color="auto"/>
              <w:left w:val="nil"/>
              <w:bottom w:val="single" w:sz="4" w:space="0" w:color="auto"/>
              <w:right w:val="single" w:sz="4" w:space="0" w:color="auto"/>
            </w:tcBorders>
            <w:shd w:val="clear" w:color="auto" w:fill="C6EFCE"/>
            <w:vAlign w:val="center"/>
          </w:tcPr>
          <w:p w14:paraId="1D33A5FB" w14:textId="0347DE92" w:rsidR="00CE3BAD" w:rsidRPr="00782BF9" w:rsidRDefault="006B5475">
            <w:pPr>
              <w:pStyle w:val="P68B1DB1-Normal10"/>
              <w:spacing w:after="0" w:line="240" w:lineRule="auto"/>
              <w:rPr>
                <w:rFonts w:eastAsia="Times New Roman"/>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2DDAD7FE" w14:textId="3715F835" w:rsidR="00CE3BAD" w:rsidRPr="00782BF9" w:rsidRDefault="006B5475">
            <w:pPr>
              <w:pStyle w:val="P68B1DB1-Normal10"/>
              <w:spacing w:after="0" w:line="240" w:lineRule="auto"/>
              <w:rPr>
                <w:rFonts w:eastAsia="Times New Roman"/>
                <w:noProof/>
                <w:lang w:val="bg-BG"/>
              </w:rPr>
            </w:pPr>
            <w:r w:rsidRPr="00782BF9">
              <w:rPr>
                <w:noProof/>
                <w:lang w:val="bg-BG"/>
              </w:rPr>
              <w:t>2025</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75C3D758" w14:textId="2D10FB88" w:rsidR="00CE3BAD" w:rsidRPr="00782BF9" w:rsidRDefault="006B5475">
            <w:pPr>
              <w:pStyle w:val="P68B1DB1-Normal10"/>
              <w:spacing w:line="240" w:lineRule="auto"/>
              <w:jc w:val="both"/>
              <w:rPr>
                <w:rFonts w:eastAsia="Times New Roman"/>
                <w:noProof/>
                <w:lang w:val="bg-BG"/>
              </w:rPr>
            </w:pPr>
            <w:r w:rsidRPr="00782BF9">
              <w:rPr>
                <w:noProof/>
                <w:lang w:val="bg-BG"/>
              </w:rPr>
              <w:t>Най-малко 3</w:t>
            </w:r>
            <w:r w:rsidRPr="00782BF9">
              <w:rPr>
                <w:noProof/>
                <w:color w:val="006100"/>
                <w:lang w:val="bg-BG"/>
              </w:rPr>
              <w:t xml:space="preserve"> </w:t>
            </w:r>
            <w:r w:rsidRPr="00782BF9">
              <w:rPr>
                <w:noProof/>
                <w:lang w:val="bg-BG"/>
              </w:rPr>
              <w:t>984 деца трябва да бъдат записани в нови детски ясли, създадени с подкрепата на плана за възстановяване и устойчивост. Мярката заделя най-малко 70</w:t>
            </w:r>
            <w:r w:rsidRPr="00782BF9">
              <w:rPr>
                <w:noProof/>
                <w:color w:val="006100"/>
                <w:lang w:val="bg-BG"/>
              </w:rPr>
              <w:t xml:space="preserve"> </w:t>
            </w:r>
            <w:r w:rsidRPr="00782BF9">
              <w:rPr>
                <w:noProof/>
                <w:lang w:val="bg-BG"/>
              </w:rPr>
              <w:t>% от отпуснатите ѝ средства за строителство на нови сгради и най-малко 11</w:t>
            </w:r>
            <w:r w:rsidRPr="00782BF9">
              <w:rPr>
                <w:noProof/>
                <w:color w:val="006100"/>
                <w:lang w:val="bg-BG"/>
              </w:rPr>
              <w:t xml:space="preserve"> </w:t>
            </w:r>
            <w:r w:rsidRPr="00782BF9">
              <w:rPr>
                <w:noProof/>
                <w:lang w:val="bg-BG"/>
              </w:rPr>
              <w:t>% за саниране на инфраструктура с цел повишаване на енергийната ефективност. В критериите за допустимост се посочва, че потреблението на първична енергия на всички нови сгради трябва да бъде най-малко с 20</w:t>
            </w:r>
            <w:r w:rsidRPr="00782BF9">
              <w:rPr>
                <w:noProof/>
                <w:color w:val="006100"/>
                <w:lang w:val="bg-BG"/>
              </w:rPr>
              <w:t xml:space="preserve"> </w:t>
            </w:r>
            <w:r w:rsidRPr="00782BF9">
              <w:rPr>
                <w:noProof/>
                <w:lang w:val="bg-BG"/>
              </w:rPr>
              <w:t>% по-ниско от изискването за сгради с близко до нулево нетно потребление на енергия.</w:t>
            </w:r>
          </w:p>
        </w:tc>
      </w:tr>
      <w:tr w:rsidR="00CE3BAD" w:rsidRPr="00782BF9" w14:paraId="24D5D83E"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4F85666D" w14:textId="0C8CDE01" w:rsidR="00CE3BAD" w:rsidRPr="00782BF9" w:rsidRDefault="006B5475">
            <w:pPr>
              <w:pStyle w:val="P68B1DB1-Normal10"/>
              <w:spacing w:after="0" w:line="240" w:lineRule="auto"/>
              <w:rPr>
                <w:rFonts w:eastAsia="Calibri"/>
                <w:noProof/>
                <w:lang w:val="bg-BG"/>
              </w:rPr>
            </w:pPr>
            <w:r w:rsidRPr="00782BF9">
              <w:rPr>
                <w:noProof/>
                <w:lang w:val="bg-BG"/>
              </w:rPr>
              <w:t>26</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4BB734D2" w14:textId="2BA94C6D" w:rsidR="00CE3BAD" w:rsidRPr="00782BF9" w:rsidRDefault="006B5475">
            <w:pPr>
              <w:pStyle w:val="P68B1DB1-Normal10"/>
              <w:rPr>
                <w:rFonts w:eastAsia="Calibri"/>
                <w:noProof/>
                <w:lang w:val="bg-BG"/>
              </w:rPr>
            </w:pPr>
            <w:r w:rsidRPr="00782BF9">
              <w:rPr>
                <w:noProof/>
                <w:lang w:val="bg-BG"/>
              </w:rPr>
              <w:t xml:space="preserve">C1.R4 Подобряване на устойчивостта на пенсионната система </w:t>
            </w:r>
          </w:p>
        </w:tc>
        <w:tc>
          <w:tcPr>
            <w:tcW w:w="971" w:type="dxa"/>
            <w:tcBorders>
              <w:top w:val="single" w:sz="4" w:space="0" w:color="auto"/>
              <w:left w:val="nil"/>
              <w:bottom w:val="single" w:sz="4" w:space="0" w:color="auto"/>
              <w:right w:val="single" w:sz="4" w:space="0" w:color="auto"/>
            </w:tcBorders>
            <w:shd w:val="clear" w:color="auto" w:fill="C6EFCE"/>
            <w:vAlign w:val="center"/>
          </w:tcPr>
          <w:p w14:paraId="4E72323B" w14:textId="77777777" w:rsidR="00CE3BAD" w:rsidRPr="00782BF9" w:rsidRDefault="006B5475">
            <w:pPr>
              <w:pStyle w:val="P68B1DB1-Normal10"/>
              <w:rPr>
                <w:rFonts w:eastAsia="Calibri"/>
                <w:noProof/>
                <w:lang w:val="bg-BG"/>
              </w:rPr>
            </w:pPr>
            <w:r w:rsidRPr="00782BF9">
              <w:rPr>
                <w:noProof/>
                <w:lang w:val="bg-BG"/>
              </w:rPr>
              <w:t>Ключов етап</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0DFDE863" w14:textId="77777777" w:rsidR="00CE3BAD" w:rsidRPr="00782BF9" w:rsidRDefault="006B5475">
            <w:pPr>
              <w:pStyle w:val="P68B1DB1-Normal10"/>
              <w:rPr>
                <w:rFonts w:eastAsia="Calibri"/>
                <w:noProof/>
                <w:lang w:val="bg-BG"/>
              </w:rPr>
            </w:pPr>
            <w:r w:rsidRPr="00782BF9">
              <w:rPr>
                <w:noProof/>
                <w:lang w:val="bg-BG"/>
              </w:rPr>
              <w:t>Независим международен експертен доклад относно вариантите на политиката за справяне с дългосрочните предизвикателства пред устойчивостта на унгарската пенсионна система</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60C8E778" w14:textId="77777777" w:rsidR="00CE3BAD" w:rsidRPr="00782BF9" w:rsidRDefault="006B5475">
            <w:pPr>
              <w:pStyle w:val="P68B1DB1-Normal10"/>
              <w:rPr>
                <w:rFonts w:eastAsia="Calibri"/>
                <w:noProof/>
                <w:lang w:val="bg-BG"/>
              </w:rPr>
            </w:pPr>
            <w:r w:rsidRPr="00782BF9">
              <w:rPr>
                <w:noProof/>
                <w:lang w:val="bg-BG"/>
              </w:rPr>
              <w:t>Публикуване на доклада</w:t>
            </w:r>
          </w:p>
        </w:tc>
        <w:tc>
          <w:tcPr>
            <w:tcW w:w="1112" w:type="dxa"/>
            <w:tcBorders>
              <w:top w:val="single" w:sz="4" w:space="0" w:color="auto"/>
              <w:left w:val="nil"/>
              <w:bottom w:val="single" w:sz="4" w:space="0" w:color="auto"/>
              <w:right w:val="single" w:sz="4" w:space="0" w:color="auto"/>
            </w:tcBorders>
            <w:shd w:val="clear" w:color="auto" w:fill="C6EFCE"/>
            <w:vAlign w:val="center"/>
          </w:tcPr>
          <w:p w14:paraId="1664C7B4" w14:textId="77777777" w:rsidR="00CE3BAD" w:rsidRPr="00782BF9" w:rsidRDefault="00CE3BAD">
            <w:pPr>
              <w:jc w:val="center"/>
              <w:rPr>
                <w:rFonts w:eastAsia="Calibri"/>
                <w:noProof/>
                <w:sz w:val="18"/>
                <w:lang w:val="bg-BG"/>
              </w:rPr>
            </w:pPr>
          </w:p>
        </w:tc>
        <w:tc>
          <w:tcPr>
            <w:tcW w:w="1674" w:type="dxa"/>
            <w:tcBorders>
              <w:top w:val="single" w:sz="4" w:space="0" w:color="auto"/>
              <w:left w:val="nil"/>
              <w:bottom w:val="single" w:sz="4" w:space="0" w:color="auto"/>
              <w:right w:val="single" w:sz="4" w:space="0" w:color="auto"/>
            </w:tcBorders>
            <w:shd w:val="clear" w:color="auto" w:fill="C6EFCE"/>
            <w:vAlign w:val="center"/>
          </w:tcPr>
          <w:p w14:paraId="334E0774" w14:textId="77777777" w:rsidR="00CE3BAD" w:rsidRPr="00782BF9" w:rsidRDefault="00CE3BAD">
            <w:pPr>
              <w:jc w:val="center"/>
              <w:rPr>
                <w:rFonts w:eastAsia="Calibri"/>
                <w:noProof/>
                <w:sz w:val="18"/>
                <w:lang w:val="bg-BG"/>
              </w:rPr>
            </w:pPr>
          </w:p>
        </w:tc>
        <w:tc>
          <w:tcPr>
            <w:tcW w:w="1161" w:type="dxa"/>
            <w:tcBorders>
              <w:top w:val="single" w:sz="4" w:space="0" w:color="auto"/>
              <w:left w:val="nil"/>
              <w:bottom w:val="single" w:sz="4" w:space="0" w:color="auto"/>
              <w:right w:val="single" w:sz="4" w:space="0" w:color="auto"/>
            </w:tcBorders>
            <w:shd w:val="clear" w:color="auto" w:fill="C6EFCE"/>
            <w:vAlign w:val="center"/>
          </w:tcPr>
          <w:p w14:paraId="5380B66B" w14:textId="77777777" w:rsidR="00CE3BAD" w:rsidRPr="00782BF9" w:rsidRDefault="00CE3BAD">
            <w:pPr>
              <w:jc w:val="center"/>
              <w:rPr>
                <w:rFonts w:eastAsia="Calibri"/>
                <w:noProof/>
                <w:sz w:val="18"/>
                <w:lang w:val="bg-BG"/>
              </w:rPr>
            </w:pPr>
          </w:p>
        </w:tc>
        <w:tc>
          <w:tcPr>
            <w:tcW w:w="911" w:type="dxa"/>
            <w:tcBorders>
              <w:top w:val="single" w:sz="4" w:space="0" w:color="auto"/>
              <w:left w:val="nil"/>
              <w:bottom w:val="single" w:sz="4" w:space="0" w:color="auto"/>
              <w:right w:val="single" w:sz="4" w:space="0" w:color="auto"/>
            </w:tcBorders>
            <w:shd w:val="clear" w:color="auto" w:fill="C6EFCE"/>
            <w:vAlign w:val="center"/>
          </w:tcPr>
          <w:p w14:paraId="0BE31971" w14:textId="77777777" w:rsidR="00CE3BAD" w:rsidRPr="00782BF9" w:rsidRDefault="006B5475">
            <w:pPr>
              <w:pStyle w:val="P68B1DB1-Normal10"/>
              <w:spacing w:after="0" w:line="240" w:lineRule="auto"/>
              <w:rPr>
                <w:rFonts w:eastAsia="Times New Roman"/>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2253AD1D"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7F24F9B0" w14:textId="77777777" w:rsidR="00CE3BAD" w:rsidRPr="00782BF9" w:rsidRDefault="006B5475">
            <w:pPr>
              <w:pStyle w:val="P68B1DB1-Normal10"/>
              <w:spacing w:line="240" w:lineRule="auto"/>
              <w:jc w:val="both"/>
              <w:rPr>
                <w:rFonts w:eastAsia="Times New Roman"/>
                <w:noProof/>
                <w:lang w:val="bg-BG"/>
              </w:rPr>
            </w:pPr>
            <w:r w:rsidRPr="00782BF9">
              <w:rPr>
                <w:noProof/>
                <w:lang w:val="bg-BG"/>
              </w:rPr>
              <w:t>Независим международен експертен доклад относно вариантите на политиката за справяне с предизвикателствата пред дългосрочната устойчивост се изготвя от независим доставчик с широко признат експертен опит (въз основа на общи допускания и прогнози от последния съвместен доклад на Европейската комисия и Комитета за икономическа политика относно застаряването на населението). Този доклад:</w:t>
            </w:r>
          </w:p>
          <w:p w14:paraId="488BD211" w14:textId="77777777" w:rsidR="00CE3BAD" w:rsidRPr="00782BF9" w:rsidRDefault="006B5475">
            <w:pPr>
              <w:pStyle w:val="P68B1DB1-Normal10"/>
              <w:spacing w:line="240" w:lineRule="auto"/>
              <w:jc w:val="both"/>
              <w:rPr>
                <w:rFonts w:eastAsia="Times New Roman"/>
                <w:noProof/>
                <w:lang w:val="bg-BG"/>
              </w:rPr>
            </w:pPr>
            <w:r w:rsidRPr="00782BF9">
              <w:rPr>
                <w:noProof/>
                <w:lang w:val="bg-BG"/>
              </w:rPr>
              <w:t>(1) обхващат публичния пенсионен стълб на пенсионната система, пазара на труда и, в необходимата степен, политиките по заетостта и данъчните политики, които са от значение за удължаването на трудовия живот. Тя обхваща както новите участници, така и съществуващите доставчици на входящи данни;</w:t>
            </w:r>
          </w:p>
          <w:p w14:paraId="3706BD34" w14:textId="77777777" w:rsidR="00CE3BAD" w:rsidRPr="00782BF9" w:rsidRDefault="006B5475">
            <w:pPr>
              <w:pStyle w:val="P68B1DB1-Normal10"/>
              <w:spacing w:line="240" w:lineRule="auto"/>
              <w:jc w:val="both"/>
              <w:rPr>
                <w:rFonts w:eastAsia="Times New Roman"/>
                <w:noProof/>
                <w:lang w:val="bg-BG"/>
              </w:rPr>
            </w:pPr>
            <w:r w:rsidRPr="00782BF9">
              <w:rPr>
                <w:noProof/>
                <w:lang w:val="bg-BG"/>
              </w:rPr>
              <w:t>(2) да се даде диагноза на пенсионната система и нейната финансова устойчивост;</w:t>
            </w:r>
          </w:p>
          <w:p w14:paraId="1895445E" w14:textId="35ABDB84" w:rsidR="00CE3BAD" w:rsidRPr="00782BF9" w:rsidRDefault="006B5475">
            <w:pPr>
              <w:pStyle w:val="P68B1DB1-Normal10"/>
              <w:spacing w:line="240" w:lineRule="auto"/>
              <w:jc w:val="both"/>
              <w:rPr>
                <w:rFonts w:eastAsia="Times New Roman"/>
                <w:noProof/>
                <w:lang w:val="bg-BG"/>
              </w:rPr>
            </w:pPr>
            <w:r w:rsidRPr="00782BF9">
              <w:rPr>
                <w:noProof/>
                <w:lang w:val="bg-BG"/>
              </w:rPr>
              <w:t>(3) да представи конкретни предложения за политики (с акцент върху, но не само, удължаване на професионалния живот, включително чрез обвързване на законоустановената пенсионна възраст с очакваната продължителност на живота и чрез повишаване на действителната пенсионна възраст чрез стимули за насърчаване на по-дълъг трудов живот и санкции за ранно пенсиониране, като същевременно се обръща внимание на неравенството в доходите на пенсионерите (като се вземат предвид най-добрите практики в държавите — членки на ЕС));</w:t>
            </w:r>
          </w:p>
          <w:p w14:paraId="316C80C6" w14:textId="0BDB8D99" w:rsidR="00CE3BAD" w:rsidRPr="00782BF9" w:rsidRDefault="006B5475">
            <w:pPr>
              <w:pStyle w:val="P68B1DB1-Normal10"/>
              <w:spacing w:line="240" w:lineRule="auto"/>
              <w:jc w:val="both"/>
              <w:rPr>
                <w:rFonts w:eastAsia="Times New Roman"/>
                <w:noProof/>
                <w:lang w:val="bg-BG"/>
              </w:rPr>
            </w:pPr>
            <w:r w:rsidRPr="00782BF9">
              <w:rPr>
                <w:noProof/>
                <w:lang w:val="bg-BG"/>
              </w:rPr>
              <w:t>(4) да гарантира дългосрочната и средносрочната устойчивост на пенсионната система чрез подходящи мерки по отношение на приходите и автоматични механизми за балансиране, както и чрез ограничаване на увеличението на прогнозните разходи за пенсии като процент от БВП до 2070 г. в сравнение с прогнозите в доклада от 2021 г. относно застаряването на населението, като същевременно се запази адекватността, по-специално чрез преодоляване на неравенствата в доходите;</w:t>
            </w:r>
          </w:p>
          <w:p w14:paraId="2A94EF5E" w14:textId="77777777" w:rsidR="00CE3BAD" w:rsidRPr="00782BF9" w:rsidRDefault="006B5475">
            <w:pPr>
              <w:pStyle w:val="P68B1DB1-Normal10"/>
              <w:spacing w:line="240" w:lineRule="auto"/>
              <w:jc w:val="both"/>
              <w:rPr>
                <w:rFonts w:eastAsia="Times New Roman"/>
                <w:noProof/>
                <w:lang w:val="bg-BG"/>
              </w:rPr>
            </w:pPr>
            <w:r w:rsidRPr="00782BF9">
              <w:rPr>
                <w:noProof/>
                <w:lang w:val="bg-BG"/>
              </w:rPr>
              <w:t xml:space="preserve">(5) предоставяне на оценка на въздействието (устойчивост, неравенство и гледна точка на адекватността) на тези предложения за политики. </w:t>
            </w:r>
          </w:p>
          <w:p w14:paraId="2EAFAEE8" w14:textId="77777777" w:rsidR="00CE3BAD" w:rsidRPr="00782BF9" w:rsidRDefault="006B5475">
            <w:pPr>
              <w:pStyle w:val="P68B1DB1-Normal10"/>
              <w:spacing w:line="240" w:lineRule="auto"/>
              <w:jc w:val="both"/>
              <w:rPr>
                <w:rFonts w:eastAsia="Times New Roman"/>
                <w:noProof/>
                <w:lang w:val="bg-BG"/>
              </w:rPr>
            </w:pPr>
            <w:r w:rsidRPr="00782BF9">
              <w:rPr>
                <w:noProof/>
                <w:lang w:val="bg-BG"/>
              </w:rPr>
              <w:t>Докладът се оповестява публично.</w:t>
            </w:r>
          </w:p>
        </w:tc>
      </w:tr>
      <w:tr w:rsidR="00CE3BAD" w:rsidRPr="00782BF9" w14:paraId="2CCE54BE" w14:textId="77777777">
        <w:trPr>
          <w:trHeight w:val="54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3AD593D2" w14:textId="132D9665" w:rsidR="00CE3BAD" w:rsidRPr="00782BF9" w:rsidRDefault="006B5475">
            <w:pPr>
              <w:pStyle w:val="P68B1DB1-Normal10"/>
              <w:jc w:val="center"/>
              <w:rPr>
                <w:rFonts w:eastAsia="Calibri"/>
                <w:b/>
                <w:noProof/>
                <w:lang w:val="bg-BG"/>
              </w:rPr>
            </w:pPr>
            <w:r w:rsidRPr="00782BF9">
              <w:rPr>
                <w:noProof/>
                <w:lang w:val="bg-BG"/>
              </w:rPr>
              <w:t>27</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2E94BC34" w14:textId="00DF0DF7" w:rsidR="00CE3BAD" w:rsidRPr="00782BF9" w:rsidRDefault="006B5475">
            <w:pPr>
              <w:pStyle w:val="P68B1DB1-Normal10"/>
              <w:rPr>
                <w:rFonts w:eastAsia="Calibri"/>
                <w:noProof/>
                <w:lang w:val="bg-BG"/>
              </w:rPr>
            </w:pPr>
            <w:r w:rsidRPr="00782BF9">
              <w:rPr>
                <w:noProof/>
                <w:lang w:val="bg-BG"/>
              </w:rPr>
              <w:t>C1.R4 Подобряване на устойчивостта на пенсионната система</w:t>
            </w:r>
          </w:p>
        </w:tc>
        <w:tc>
          <w:tcPr>
            <w:tcW w:w="971" w:type="dxa"/>
            <w:tcBorders>
              <w:top w:val="single" w:sz="4" w:space="0" w:color="auto"/>
              <w:left w:val="nil"/>
              <w:bottom w:val="single" w:sz="4" w:space="0" w:color="auto"/>
              <w:right w:val="single" w:sz="4" w:space="0" w:color="auto"/>
            </w:tcBorders>
            <w:shd w:val="clear" w:color="auto" w:fill="C6EFCE"/>
            <w:vAlign w:val="center"/>
          </w:tcPr>
          <w:p w14:paraId="1B04D35C" w14:textId="77777777" w:rsidR="00CE3BAD" w:rsidRPr="00782BF9" w:rsidRDefault="006B5475">
            <w:pPr>
              <w:pStyle w:val="P68B1DB1-Normal10"/>
              <w:rPr>
                <w:noProof/>
                <w:lang w:val="bg-BG"/>
              </w:rPr>
            </w:pPr>
            <w:r w:rsidRPr="00782BF9">
              <w:rPr>
                <w:noProof/>
                <w:lang w:val="bg-BG"/>
              </w:rPr>
              <w:t>Ключов етап</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232D3A4E" w14:textId="77777777" w:rsidR="00CE3BAD" w:rsidRPr="00782BF9" w:rsidRDefault="006B5475">
            <w:pPr>
              <w:pStyle w:val="P68B1DB1-Normal10"/>
              <w:rPr>
                <w:rFonts w:eastAsia="Calibri"/>
                <w:noProof/>
                <w:lang w:val="bg-BG"/>
              </w:rPr>
            </w:pPr>
            <w:r w:rsidRPr="00782BF9">
              <w:rPr>
                <w:noProof/>
                <w:lang w:val="bg-BG"/>
              </w:rPr>
              <w:t>Изготвяне на предложение за политика за изменение на пенсионната система</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19227990" w14:textId="77777777" w:rsidR="00CE3BAD" w:rsidRPr="00782BF9" w:rsidRDefault="006B5475">
            <w:pPr>
              <w:pStyle w:val="P68B1DB1-Normal10"/>
              <w:rPr>
                <w:rFonts w:eastAsia="Calibri"/>
                <w:noProof/>
                <w:lang w:val="bg-BG"/>
              </w:rPr>
            </w:pPr>
            <w:r w:rsidRPr="00782BF9">
              <w:rPr>
                <w:noProof/>
                <w:lang w:val="bg-BG"/>
              </w:rPr>
              <w:t xml:space="preserve">Предложение за реформа на правителството и консултации </w:t>
            </w:r>
          </w:p>
          <w:p w14:paraId="5A9E37C4" w14:textId="77777777" w:rsidR="00CE3BAD" w:rsidRPr="00782BF9" w:rsidRDefault="00CE3BAD">
            <w:pPr>
              <w:rPr>
                <w:rFonts w:eastAsia="Calibri"/>
                <w:noProof/>
                <w:sz w:val="18"/>
                <w:lang w:val="bg-BG"/>
              </w:rPr>
            </w:pPr>
          </w:p>
        </w:tc>
        <w:tc>
          <w:tcPr>
            <w:tcW w:w="1112" w:type="dxa"/>
            <w:tcBorders>
              <w:top w:val="single" w:sz="4" w:space="0" w:color="auto"/>
              <w:left w:val="nil"/>
              <w:bottom w:val="single" w:sz="4" w:space="0" w:color="auto"/>
              <w:right w:val="single" w:sz="4" w:space="0" w:color="auto"/>
            </w:tcBorders>
            <w:shd w:val="clear" w:color="auto" w:fill="C6EFCE"/>
            <w:vAlign w:val="center"/>
          </w:tcPr>
          <w:p w14:paraId="02CE4BB9" w14:textId="77777777" w:rsidR="00CE3BAD" w:rsidRPr="00782BF9" w:rsidRDefault="00CE3BAD">
            <w:pPr>
              <w:rPr>
                <w:rFonts w:eastAsia="Calibri"/>
                <w:noProof/>
                <w:sz w:val="18"/>
                <w:lang w:val="bg-BG"/>
              </w:rPr>
            </w:pPr>
          </w:p>
        </w:tc>
        <w:tc>
          <w:tcPr>
            <w:tcW w:w="1674" w:type="dxa"/>
            <w:tcBorders>
              <w:top w:val="single" w:sz="4" w:space="0" w:color="auto"/>
              <w:left w:val="nil"/>
              <w:bottom w:val="single" w:sz="4" w:space="0" w:color="auto"/>
              <w:right w:val="single" w:sz="4" w:space="0" w:color="auto"/>
            </w:tcBorders>
            <w:shd w:val="clear" w:color="auto" w:fill="C6EFCE"/>
            <w:vAlign w:val="center"/>
          </w:tcPr>
          <w:p w14:paraId="3F3BB2CD" w14:textId="77777777" w:rsidR="00CE3BAD" w:rsidRPr="00782BF9" w:rsidRDefault="00CE3BAD">
            <w:pPr>
              <w:jc w:val="center"/>
              <w:rPr>
                <w:noProof/>
                <w:sz w:val="18"/>
                <w:lang w:val="bg-BG"/>
              </w:rPr>
            </w:pPr>
          </w:p>
        </w:tc>
        <w:tc>
          <w:tcPr>
            <w:tcW w:w="1161" w:type="dxa"/>
            <w:tcBorders>
              <w:top w:val="single" w:sz="4" w:space="0" w:color="auto"/>
              <w:left w:val="nil"/>
              <w:bottom w:val="single" w:sz="4" w:space="0" w:color="auto"/>
              <w:right w:val="single" w:sz="4" w:space="0" w:color="auto"/>
            </w:tcBorders>
            <w:shd w:val="clear" w:color="auto" w:fill="C6EFCE"/>
            <w:vAlign w:val="center"/>
          </w:tcPr>
          <w:p w14:paraId="70473DF6" w14:textId="77777777" w:rsidR="00CE3BAD" w:rsidRPr="00782BF9" w:rsidRDefault="00CE3BAD">
            <w:pPr>
              <w:jc w:val="center"/>
              <w:rPr>
                <w:noProof/>
                <w:sz w:val="18"/>
                <w:lang w:val="bg-BG"/>
              </w:rPr>
            </w:pPr>
          </w:p>
        </w:tc>
        <w:tc>
          <w:tcPr>
            <w:tcW w:w="911" w:type="dxa"/>
            <w:tcBorders>
              <w:top w:val="single" w:sz="4" w:space="0" w:color="auto"/>
              <w:left w:val="nil"/>
              <w:bottom w:val="single" w:sz="4" w:space="0" w:color="auto"/>
              <w:right w:val="single" w:sz="4" w:space="0" w:color="auto"/>
            </w:tcBorders>
            <w:shd w:val="clear" w:color="auto" w:fill="C6EFCE"/>
            <w:vAlign w:val="center"/>
          </w:tcPr>
          <w:p w14:paraId="7820EEE4" w14:textId="77777777" w:rsidR="00CE3BAD" w:rsidRPr="00782BF9" w:rsidRDefault="006B5475">
            <w:pPr>
              <w:pStyle w:val="P68B1DB1-Normal10"/>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227989A8" w14:textId="77777777" w:rsidR="00CE3BAD" w:rsidRPr="00782BF9" w:rsidRDefault="006B5475">
            <w:pPr>
              <w:pStyle w:val="P68B1DB1-Normal10"/>
              <w:jc w:val="center"/>
              <w:rPr>
                <w:rFonts w:eastAsia="Calibri"/>
                <w:noProof/>
                <w:lang w:val="bg-BG"/>
              </w:rPr>
            </w:pPr>
            <w:r w:rsidRPr="00782BF9">
              <w:rPr>
                <w:noProof/>
                <w:lang w:val="bg-BG"/>
              </w:rPr>
              <w:t>2024</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1A60B624" w14:textId="3F227FA5" w:rsidR="00CE3BAD" w:rsidRPr="00782BF9" w:rsidRDefault="006B5475">
            <w:pPr>
              <w:pStyle w:val="P68B1DB1-Normal10"/>
              <w:spacing w:line="240" w:lineRule="auto"/>
              <w:jc w:val="both"/>
              <w:rPr>
                <w:rFonts w:eastAsia="Times New Roman"/>
                <w:noProof/>
                <w:lang w:val="bg-BG"/>
              </w:rPr>
            </w:pPr>
            <w:r w:rsidRPr="00782BF9">
              <w:rPr>
                <w:noProof/>
                <w:lang w:val="bg-BG"/>
              </w:rPr>
              <w:t xml:space="preserve">Правителството изготвя предложение за политика въз основа на констатациите в доклада, посочен в ключов етап 26, в който се очертават предложените варианти за реформа. Предложението за политика е: </w:t>
            </w:r>
            <w:r w:rsidRPr="00782BF9">
              <w:rPr>
                <w:noProof/>
                <w:lang w:val="bg-BG"/>
              </w:rPr>
              <w:br/>
              <w:t>(1) одобрени от правителството с правителствено решение;</w:t>
            </w:r>
          </w:p>
          <w:p w14:paraId="0B384B63" w14:textId="55599564" w:rsidR="00CE3BAD" w:rsidRPr="00782BF9" w:rsidRDefault="006B5475">
            <w:pPr>
              <w:pStyle w:val="P68B1DB1-Normal10"/>
              <w:spacing w:line="240" w:lineRule="auto"/>
              <w:jc w:val="both"/>
              <w:rPr>
                <w:rFonts w:eastAsia="Times New Roman"/>
                <w:noProof/>
                <w:lang w:val="bg-BG"/>
              </w:rPr>
            </w:pPr>
            <w:r w:rsidRPr="00782BF9">
              <w:rPr>
                <w:noProof/>
                <w:lang w:val="bg-BG"/>
              </w:rPr>
              <w:t>(2) Консултации със социалните и икономическите партньори и други заинтересовани страни, включително, но не само, Националния икономически и социален съвет и Съвета на възрастните хора;</w:t>
            </w:r>
          </w:p>
          <w:p w14:paraId="09B0D34F" w14:textId="665C6906" w:rsidR="00CE3BAD" w:rsidRPr="00782BF9" w:rsidRDefault="006B5475">
            <w:pPr>
              <w:pStyle w:val="P68B1DB1-Normal10"/>
              <w:spacing w:line="240" w:lineRule="auto"/>
              <w:jc w:val="both"/>
              <w:rPr>
                <w:rFonts w:eastAsia="Times New Roman"/>
                <w:noProof/>
                <w:lang w:val="bg-BG"/>
              </w:rPr>
            </w:pPr>
            <w:r w:rsidRPr="00782BF9">
              <w:rPr>
                <w:noProof/>
                <w:lang w:val="bg-BG"/>
              </w:rPr>
              <w:t>(3) Представен и обсъден на заседанието на работната група по въпросите на застаряването на населението към Комитета за икономическа политика;</w:t>
            </w:r>
          </w:p>
          <w:p w14:paraId="5FA735F8" w14:textId="6DD2A69C" w:rsidR="00CE3BAD" w:rsidRPr="00782BF9" w:rsidRDefault="006B5475">
            <w:pPr>
              <w:pStyle w:val="P68B1DB1-Normal10"/>
              <w:spacing w:line="240" w:lineRule="auto"/>
              <w:jc w:val="both"/>
              <w:rPr>
                <w:rFonts w:eastAsia="Times New Roman"/>
                <w:noProof/>
                <w:lang w:val="bg-BG"/>
              </w:rPr>
            </w:pPr>
            <w:r w:rsidRPr="00782BF9">
              <w:rPr>
                <w:noProof/>
                <w:lang w:val="bg-BG"/>
              </w:rPr>
              <w:t>(4) Представен за обществена консултация.</w:t>
            </w:r>
          </w:p>
        </w:tc>
      </w:tr>
      <w:tr w:rsidR="00CE3BAD" w:rsidRPr="00782BF9" w14:paraId="19A4A29D" w14:textId="77777777">
        <w:trPr>
          <w:trHeight w:val="170"/>
        </w:trPr>
        <w:tc>
          <w:tcPr>
            <w:tcW w:w="829" w:type="dxa"/>
            <w:tcBorders>
              <w:top w:val="single" w:sz="4" w:space="0" w:color="auto"/>
              <w:left w:val="single" w:sz="4" w:space="0" w:color="auto"/>
              <w:bottom w:val="single" w:sz="4" w:space="0" w:color="auto"/>
              <w:right w:val="single" w:sz="4" w:space="0" w:color="auto"/>
            </w:tcBorders>
            <w:shd w:val="clear" w:color="auto" w:fill="C6EFCE"/>
            <w:vAlign w:val="center"/>
          </w:tcPr>
          <w:p w14:paraId="0295DB36" w14:textId="392328C6" w:rsidR="00CE3BAD" w:rsidRPr="00782BF9" w:rsidRDefault="006B5475">
            <w:pPr>
              <w:pStyle w:val="P68B1DB1-Normal10"/>
              <w:jc w:val="center"/>
              <w:rPr>
                <w:rFonts w:eastAsia="Calibri"/>
                <w:b/>
                <w:noProof/>
                <w:lang w:val="bg-BG"/>
              </w:rPr>
            </w:pPr>
            <w:r w:rsidRPr="00782BF9">
              <w:rPr>
                <w:noProof/>
                <w:lang w:val="bg-BG"/>
              </w:rPr>
              <w:t>28</w:t>
            </w:r>
          </w:p>
        </w:tc>
        <w:tc>
          <w:tcPr>
            <w:tcW w:w="1246" w:type="dxa"/>
            <w:tcBorders>
              <w:top w:val="single" w:sz="4" w:space="0" w:color="auto"/>
              <w:left w:val="nil"/>
              <w:bottom w:val="single" w:sz="4" w:space="0" w:color="auto"/>
              <w:right w:val="single" w:sz="4" w:space="0" w:color="auto"/>
            </w:tcBorders>
            <w:shd w:val="clear" w:color="auto" w:fill="C6EFCE"/>
            <w:vAlign w:val="center"/>
          </w:tcPr>
          <w:p w14:paraId="4A076675" w14:textId="3CBB553F" w:rsidR="00CE3BAD" w:rsidRPr="00782BF9" w:rsidRDefault="006B5475">
            <w:pPr>
              <w:pStyle w:val="P68B1DB1-Normal10"/>
              <w:rPr>
                <w:rFonts w:eastAsia="Calibri"/>
                <w:noProof/>
                <w:lang w:val="bg-BG"/>
              </w:rPr>
            </w:pPr>
            <w:r w:rsidRPr="00782BF9">
              <w:rPr>
                <w:noProof/>
                <w:lang w:val="bg-BG"/>
              </w:rPr>
              <w:t>C1.R4 Подобряване на устойчивостта на пенсионната система</w:t>
            </w:r>
          </w:p>
        </w:tc>
        <w:tc>
          <w:tcPr>
            <w:tcW w:w="971" w:type="dxa"/>
            <w:tcBorders>
              <w:top w:val="single" w:sz="4" w:space="0" w:color="auto"/>
              <w:left w:val="nil"/>
              <w:bottom w:val="single" w:sz="4" w:space="0" w:color="auto"/>
              <w:right w:val="single" w:sz="4" w:space="0" w:color="auto"/>
            </w:tcBorders>
            <w:shd w:val="clear" w:color="auto" w:fill="C6EFCE"/>
            <w:vAlign w:val="center"/>
          </w:tcPr>
          <w:p w14:paraId="18F2670F" w14:textId="77777777" w:rsidR="00CE3BAD" w:rsidRPr="00782BF9" w:rsidRDefault="006B5475">
            <w:pPr>
              <w:pStyle w:val="P68B1DB1-Normal10"/>
              <w:rPr>
                <w:noProof/>
                <w:lang w:val="bg-BG"/>
              </w:rPr>
            </w:pPr>
            <w:r w:rsidRPr="00782BF9">
              <w:rPr>
                <w:noProof/>
                <w:lang w:val="bg-BG"/>
              </w:rPr>
              <w:t>Ключов етап</w:t>
            </w:r>
          </w:p>
        </w:tc>
        <w:tc>
          <w:tcPr>
            <w:tcW w:w="1882" w:type="dxa"/>
            <w:tcBorders>
              <w:top w:val="single" w:sz="4" w:space="0" w:color="auto"/>
              <w:left w:val="nil"/>
              <w:bottom w:val="single" w:sz="4" w:space="0" w:color="auto"/>
              <w:right w:val="single" w:sz="4" w:space="0" w:color="auto"/>
            </w:tcBorders>
            <w:shd w:val="clear" w:color="auto" w:fill="C6EFCE"/>
            <w:vAlign w:val="center"/>
          </w:tcPr>
          <w:p w14:paraId="266858AF" w14:textId="77777777" w:rsidR="00CE3BAD" w:rsidRPr="00782BF9" w:rsidRDefault="006B5475">
            <w:pPr>
              <w:pStyle w:val="P68B1DB1-Normal10"/>
              <w:rPr>
                <w:rFonts w:eastAsia="Calibri"/>
                <w:noProof/>
                <w:lang w:val="bg-BG"/>
              </w:rPr>
            </w:pPr>
            <w:r w:rsidRPr="00782BF9">
              <w:rPr>
                <w:noProof/>
                <w:lang w:val="bg-BG"/>
              </w:rPr>
              <w:t>Влизане в сила на законодателството за изменение на пенсионната система</w:t>
            </w:r>
          </w:p>
        </w:tc>
        <w:tc>
          <w:tcPr>
            <w:tcW w:w="1379" w:type="dxa"/>
            <w:tcBorders>
              <w:top w:val="single" w:sz="4" w:space="0" w:color="auto"/>
              <w:left w:val="nil"/>
              <w:bottom w:val="single" w:sz="4" w:space="0" w:color="auto"/>
              <w:right w:val="single" w:sz="4" w:space="0" w:color="auto"/>
            </w:tcBorders>
            <w:shd w:val="clear" w:color="auto" w:fill="C6EFCE"/>
            <w:vAlign w:val="center"/>
          </w:tcPr>
          <w:p w14:paraId="0C1EE7D3" w14:textId="77777777" w:rsidR="00CE3BAD" w:rsidRPr="00782BF9" w:rsidRDefault="006B5475">
            <w:pPr>
              <w:pStyle w:val="P68B1DB1-Normal10"/>
              <w:rPr>
                <w:rFonts w:eastAsia="Calibri" w:cstheme="minorHAnsi"/>
                <w:noProof/>
                <w:lang w:val="bg-BG"/>
              </w:rPr>
            </w:pPr>
            <w:r w:rsidRPr="00782BF9">
              <w:rPr>
                <w:noProof/>
                <w:lang w:val="bg-BG"/>
              </w:rPr>
              <w:t>Разпоредби в законодателството, указващи влизането му в сила</w:t>
            </w:r>
          </w:p>
        </w:tc>
        <w:tc>
          <w:tcPr>
            <w:tcW w:w="1112" w:type="dxa"/>
            <w:tcBorders>
              <w:top w:val="single" w:sz="4" w:space="0" w:color="auto"/>
              <w:left w:val="nil"/>
              <w:bottom w:val="single" w:sz="4" w:space="0" w:color="auto"/>
              <w:right w:val="single" w:sz="4" w:space="0" w:color="auto"/>
            </w:tcBorders>
            <w:shd w:val="clear" w:color="auto" w:fill="C6EFCE"/>
            <w:vAlign w:val="center"/>
          </w:tcPr>
          <w:p w14:paraId="18B0509D" w14:textId="77777777" w:rsidR="00CE3BAD" w:rsidRPr="00782BF9" w:rsidRDefault="00CE3BAD">
            <w:pPr>
              <w:jc w:val="center"/>
              <w:rPr>
                <w:rFonts w:cstheme="minorHAnsi"/>
                <w:noProof/>
                <w:sz w:val="18"/>
                <w:lang w:val="bg-BG"/>
              </w:rPr>
            </w:pPr>
          </w:p>
        </w:tc>
        <w:tc>
          <w:tcPr>
            <w:tcW w:w="1674" w:type="dxa"/>
            <w:tcBorders>
              <w:top w:val="single" w:sz="4" w:space="0" w:color="auto"/>
              <w:left w:val="nil"/>
              <w:bottom w:val="single" w:sz="4" w:space="0" w:color="auto"/>
              <w:right w:val="single" w:sz="4" w:space="0" w:color="auto"/>
            </w:tcBorders>
            <w:shd w:val="clear" w:color="auto" w:fill="C6EFCE"/>
            <w:vAlign w:val="center"/>
          </w:tcPr>
          <w:p w14:paraId="3F114B09" w14:textId="77777777" w:rsidR="00CE3BAD" w:rsidRPr="00782BF9" w:rsidRDefault="00CE3BAD">
            <w:pPr>
              <w:jc w:val="center"/>
              <w:rPr>
                <w:rFonts w:cstheme="minorHAnsi"/>
                <w:noProof/>
                <w:sz w:val="18"/>
                <w:lang w:val="bg-BG"/>
              </w:rPr>
            </w:pPr>
          </w:p>
        </w:tc>
        <w:tc>
          <w:tcPr>
            <w:tcW w:w="1161" w:type="dxa"/>
            <w:tcBorders>
              <w:top w:val="single" w:sz="4" w:space="0" w:color="auto"/>
              <w:left w:val="nil"/>
              <w:bottom w:val="single" w:sz="4" w:space="0" w:color="auto"/>
              <w:right w:val="single" w:sz="4" w:space="0" w:color="auto"/>
            </w:tcBorders>
            <w:shd w:val="clear" w:color="auto" w:fill="C6EFCE"/>
            <w:vAlign w:val="center"/>
          </w:tcPr>
          <w:p w14:paraId="1578745C" w14:textId="77777777" w:rsidR="00CE3BAD" w:rsidRPr="00782BF9" w:rsidRDefault="00CE3BAD">
            <w:pPr>
              <w:jc w:val="center"/>
              <w:rPr>
                <w:rFonts w:cstheme="minorHAnsi"/>
                <w:noProof/>
                <w:sz w:val="18"/>
                <w:lang w:val="bg-BG"/>
              </w:rPr>
            </w:pPr>
          </w:p>
        </w:tc>
        <w:tc>
          <w:tcPr>
            <w:tcW w:w="911" w:type="dxa"/>
            <w:tcBorders>
              <w:top w:val="single" w:sz="4" w:space="0" w:color="auto"/>
              <w:left w:val="nil"/>
              <w:bottom w:val="single" w:sz="4" w:space="0" w:color="auto"/>
              <w:right w:val="single" w:sz="4" w:space="0" w:color="auto"/>
            </w:tcBorders>
            <w:shd w:val="clear" w:color="auto" w:fill="C6EFCE"/>
            <w:vAlign w:val="center"/>
          </w:tcPr>
          <w:p w14:paraId="4914A9F7" w14:textId="77777777" w:rsidR="00CE3BAD" w:rsidRPr="00782BF9" w:rsidRDefault="006B5475">
            <w:pPr>
              <w:pStyle w:val="P68B1DB1-Normal10"/>
              <w:jc w:val="center"/>
              <w:rPr>
                <w:rFonts w:eastAsia="Calibri"/>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vAlign w:val="center"/>
          </w:tcPr>
          <w:p w14:paraId="38C93994" w14:textId="77777777" w:rsidR="00CE3BAD" w:rsidRPr="00782BF9" w:rsidRDefault="006B5475">
            <w:pPr>
              <w:pStyle w:val="P68B1DB1-Normal10"/>
              <w:jc w:val="center"/>
              <w:rPr>
                <w:rFonts w:eastAsia="Calibri"/>
                <w:noProof/>
                <w:lang w:val="bg-BG"/>
              </w:rPr>
            </w:pPr>
            <w:r w:rsidRPr="00782BF9">
              <w:rPr>
                <w:noProof/>
                <w:lang w:val="bg-BG"/>
              </w:rPr>
              <w:t>2025</w:t>
            </w:r>
          </w:p>
        </w:tc>
        <w:tc>
          <w:tcPr>
            <w:tcW w:w="4250" w:type="dxa"/>
            <w:tcBorders>
              <w:top w:val="single" w:sz="4" w:space="0" w:color="auto"/>
              <w:left w:val="nil"/>
              <w:bottom w:val="single" w:sz="4" w:space="0" w:color="auto"/>
              <w:right w:val="single" w:sz="4" w:space="0" w:color="auto"/>
            </w:tcBorders>
            <w:shd w:val="clear" w:color="auto" w:fill="C6EFCE"/>
            <w:vAlign w:val="center"/>
          </w:tcPr>
          <w:p w14:paraId="5CDA69E5" w14:textId="11B5DAD1" w:rsidR="00CE3BAD" w:rsidRPr="00782BF9" w:rsidRDefault="006B5475">
            <w:pPr>
              <w:pStyle w:val="P68B1DB1-Normal10"/>
              <w:spacing w:line="240" w:lineRule="auto"/>
              <w:jc w:val="both"/>
              <w:rPr>
                <w:rFonts w:eastAsia="Times New Roman"/>
                <w:noProof/>
                <w:lang w:val="bg-BG"/>
              </w:rPr>
            </w:pPr>
            <w:r w:rsidRPr="00782BF9">
              <w:rPr>
                <w:noProof/>
                <w:lang w:val="bg-BG"/>
              </w:rPr>
              <w:t>Законодателството за изменение на пенсионната система въз основа на законодателното предложение на правителството влиза в сила. Законодателството:</w:t>
            </w:r>
          </w:p>
          <w:p w14:paraId="33A8E1D3" w14:textId="77777777" w:rsidR="00CE3BAD" w:rsidRPr="00782BF9" w:rsidRDefault="006B5475">
            <w:pPr>
              <w:pStyle w:val="P68B1DB1-Normal10"/>
              <w:spacing w:line="240" w:lineRule="auto"/>
              <w:jc w:val="both"/>
              <w:rPr>
                <w:rFonts w:eastAsia="Times New Roman"/>
                <w:noProof/>
                <w:lang w:val="bg-BG"/>
              </w:rPr>
            </w:pPr>
            <w:r w:rsidRPr="00782BF9">
              <w:rPr>
                <w:noProof/>
                <w:lang w:val="bg-BG"/>
              </w:rPr>
              <w:t>а) насърчаване на средносрочната и дългосрочната фискална устойчивост;</w:t>
            </w:r>
          </w:p>
          <w:p w14:paraId="421D525A" w14:textId="32604E4E" w:rsidR="00CE3BAD" w:rsidRPr="00782BF9" w:rsidRDefault="006B5475">
            <w:pPr>
              <w:pStyle w:val="P68B1DB1-Normal10"/>
              <w:spacing w:line="240" w:lineRule="auto"/>
              <w:jc w:val="both"/>
              <w:rPr>
                <w:rFonts w:eastAsia="Times New Roman"/>
                <w:noProof/>
                <w:lang w:val="bg-BG"/>
              </w:rPr>
            </w:pPr>
            <w:r w:rsidRPr="00782BF9">
              <w:rPr>
                <w:noProof/>
                <w:lang w:val="bg-BG"/>
              </w:rPr>
              <w:t>б) повишаване на адекватността на пенсиите, изплащани на пенсионери с по-ниски доходи;</w:t>
            </w:r>
          </w:p>
          <w:p w14:paraId="79ED3091" w14:textId="77777777" w:rsidR="00CE3BAD" w:rsidRPr="00782BF9" w:rsidRDefault="006B5475">
            <w:pPr>
              <w:pStyle w:val="P68B1DB1-Normal10"/>
              <w:spacing w:line="240" w:lineRule="auto"/>
              <w:jc w:val="both"/>
              <w:rPr>
                <w:rFonts w:eastAsia="Times New Roman"/>
                <w:noProof/>
                <w:lang w:val="bg-BG"/>
              </w:rPr>
            </w:pPr>
            <w:r w:rsidRPr="00782BF9">
              <w:rPr>
                <w:noProof/>
                <w:lang w:val="bg-BG"/>
              </w:rPr>
              <w:t>в) допринася за удължаването на трудовия живот; и че</w:t>
            </w:r>
          </w:p>
          <w:p w14:paraId="73D1202B" w14:textId="77777777" w:rsidR="00CE3BAD" w:rsidRPr="00782BF9" w:rsidRDefault="006B5475">
            <w:pPr>
              <w:pStyle w:val="P68B1DB1-Normal10"/>
              <w:spacing w:line="240" w:lineRule="auto"/>
              <w:jc w:val="both"/>
              <w:rPr>
                <w:rFonts w:eastAsia="Times New Roman"/>
                <w:noProof/>
                <w:lang w:val="bg-BG"/>
              </w:rPr>
            </w:pPr>
            <w:r w:rsidRPr="00782BF9">
              <w:rPr>
                <w:noProof/>
                <w:lang w:val="bg-BG"/>
              </w:rPr>
              <w:t>г) да въведе, доколкото е необходимо, механизми за автоматично балансиране в пенсионната система и други промени в параметрите.</w:t>
            </w:r>
          </w:p>
          <w:p w14:paraId="1AB2BC3C" w14:textId="1A797201" w:rsidR="00CE3BAD" w:rsidRPr="00782BF9" w:rsidRDefault="006B5475">
            <w:pPr>
              <w:pStyle w:val="P68B1DB1-Normal10"/>
              <w:spacing w:line="240" w:lineRule="auto"/>
              <w:jc w:val="both"/>
              <w:rPr>
                <w:rFonts w:eastAsia="Times New Roman"/>
                <w:noProof/>
                <w:lang w:val="bg-BG"/>
              </w:rPr>
            </w:pPr>
            <w:r w:rsidRPr="00782BF9">
              <w:rPr>
                <w:noProof/>
                <w:lang w:val="bg-BG"/>
              </w:rPr>
              <w:t xml:space="preserve">Законодателното предложение на правителството за такъв акт взема предвид резултатите от консултациите и се придружава от подробна оценка на въздействието. </w:t>
            </w:r>
          </w:p>
          <w:p w14:paraId="55EBF8A0" w14:textId="77777777" w:rsidR="00CE3BAD" w:rsidRPr="00782BF9" w:rsidRDefault="006B5475">
            <w:pPr>
              <w:pStyle w:val="P68B1DB1-Normal10"/>
              <w:spacing w:line="240" w:lineRule="auto"/>
              <w:jc w:val="both"/>
              <w:rPr>
                <w:rFonts w:eastAsia="Times New Roman"/>
                <w:noProof/>
                <w:lang w:val="bg-BG"/>
              </w:rPr>
            </w:pPr>
            <w:r w:rsidRPr="00782BF9">
              <w:rPr>
                <w:noProof/>
                <w:lang w:val="bg-BG"/>
              </w:rPr>
              <w:t xml:space="preserve">Оценката на въздействието показва как — въз основа на законодателното предложение на правителството — дългосрочната устойчивост на пенсионната система се осигурява чрез подходящи мерки и възможни автоматични механизми за балансиране, както и чрез ограничаване на увеличението на прогнозните разходи за пенсии като процент от БВП до 2070 г. в сравнение с последните прогнози в доклада за застаряването на населението. Оценката на въздействието се основава на общите допускания за макроикономическите и демографските прогнози в последния доклад относно застаряването на населението. </w:t>
            </w:r>
          </w:p>
          <w:p w14:paraId="79B115F7" w14:textId="07CF9E98" w:rsidR="00CE3BAD" w:rsidRPr="00782BF9" w:rsidRDefault="00CE3BAD">
            <w:pPr>
              <w:jc w:val="both"/>
              <w:rPr>
                <w:rFonts w:eastAsia="Times New Roman"/>
                <w:noProof/>
                <w:sz w:val="18"/>
                <w:lang w:val="bg-BG"/>
              </w:rPr>
            </w:pPr>
          </w:p>
        </w:tc>
      </w:tr>
    </w:tbl>
    <w:p w14:paraId="7403BFF4" w14:textId="77777777" w:rsidR="00CE3BAD" w:rsidRPr="00782BF9" w:rsidRDefault="00CE3BAD">
      <w:pPr>
        <w:spacing w:after="160" w:line="259" w:lineRule="auto"/>
        <w:rPr>
          <w:noProof/>
          <w:lang w:val="bg-BG"/>
        </w:rPr>
      </w:pPr>
    </w:p>
    <w:p w14:paraId="41AAA872" w14:textId="77777777" w:rsidR="00CE3BAD" w:rsidRPr="00782BF9" w:rsidRDefault="00CE3BAD">
      <w:pPr>
        <w:spacing w:after="160" w:line="259" w:lineRule="auto"/>
        <w:rPr>
          <w:noProof/>
          <w:lang w:val="bg-BG"/>
        </w:rPr>
        <w:sectPr w:rsidR="00CE3BAD" w:rsidRPr="00782BF9" w:rsidSect="00D637EC">
          <w:headerReference w:type="even" r:id="rId21"/>
          <w:headerReference w:type="default" r:id="rId22"/>
          <w:footerReference w:type="even" r:id="rId23"/>
          <w:footerReference w:type="default" r:id="rId24"/>
          <w:headerReference w:type="first" r:id="rId25"/>
          <w:footerReference w:type="first" r:id="rId26"/>
          <w:pgSz w:w="16839" w:h="11907" w:orient="landscape"/>
          <w:pgMar w:top="1418" w:right="1134" w:bottom="1418" w:left="1134" w:header="709" w:footer="709" w:gutter="0"/>
          <w:cols w:space="720"/>
          <w:docGrid w:linePitch="360"/>
        </w:sectPr>
      </w:pPr>
    </w:p>
    <w:p w14:paraId="62274873" w14:textId="77777777" w:rsidR="00CE3BAD" w:rsidRPr="00782BF9" w:rsidRDefault="006B5475">
      <w:pPr>
        <w:pStyle w:val="paragraph"/>
        <w:spacing w:before="0" w:beforeAutospacing="0" w:after="0" w:afterAutospacing="0"/>
        <w:ind w:left="840" w:hanging="840"/>
        <w:jc w:val="both"/>
        <w:textAlignment w:val="baseline"/>
        <w:rPr>
          <w:rFonts w:ascii="Segoe UI" w:hAnsi="Segoe UI" w:cs="Segoe UI"/>
          <w:noProof/>
          <w:sz w:val="18"/>
          <w:lang w:val="bg-BG"/>
        </w:rPr>
      </w:pPr>
      <w:r w:rsidRPr="00782BF9">
        <w:rPr>
          <w:rStyle w:val="normaltextrun"/>
          <w:b/>
          <w:noProof/>
          <w:lang w:val="bg-BG"/>
        </w:rPr>
        <w:t>А.2. Описание на реформите и инвестициите за заема</w:t>
      </w:r>
      <w:r w:rsidRPr="00782BF9">
        <w:rPr>
          <w:rStyle w:val="eop"/>
          <w:noProof/>
          <w:lang w:val="bg-BG"/>
        </w:rPr>
        <w:t xml:space="preserve"> </w:t>
      </w:r>
    </w:p>
    <w:p w14:paraId="4A74DC5D" w14:textId="77777777" w:rsidR="00CE3BAD" w:rsidRPr="00782BF9" w:rsidRDefault="00CE3BAD">
      <w:pPr>
        <w:pStyle w:val="paragraph"/>
        <w:spacing w:before="0" w:beforeAutospacing="0" w:after="0" w:afterAutospacing="0"/>
        <w:ind w:left="840" w:hanging="840"/>
        <w:jc w:val="both"/>
        <w:textAlignment w:val="baseline"/>
        <w:rPr>
          <w:rStyle w:val="normaltextrun"/>
          <w:noProof/>
          <w:u w:val="single"/>
          <w:lang w:val="bg-BG"/>
        </w:rPr>
      </w:pPr>
    </w:p>
    <w:p w14:paraId="18135D77" w14:textId="5361E35E" w:rsidR="00CE3BAD" w:rsidRPr="00782BF9" w:rsidRDefault="009F4B1A">
      <w:pPr>
        <w:pStyle w:val="P68B1DB1-Normal2"/>
        <w:keepNext/>
        <w:spacing w:after="120" w:line="240" w:lineRule="auto"/>
        <w:jc w:val="both"/>
        <w:rPr>
          <w:noProof/>
          <w:lang w:val="bg-BG"/>
        </w:rPr>
      </w:pPr>
      <w:r w:rsidRPr="00782BF9">
        <w:rPr>
          <w:noProof/>
          <w:lang w:val="bg-BG"/>
        </w:rPr>
        <w:t>C</w:t>
      </w:r>
      <w:r w:rsidR="006B5475" w:rsidRPr="00782BF9">
        <w:rPr>
          <w:noProof/>
          <w:lang w:val="bg-BG"/>
        </w:rPr>
        <w:t>1.</w:t>
      </w:r>
      <w:r w:rsidRPr="00782BF9">
        <w:rPr>
          <w:noProof/>
          <w:lang w:val="bg-BG"/>
        </w:rPr>
        <w:t>I</w:t>
      </w:r>
      <w:r w:rsidR="006B5475" w:rsidRPr="00782BF9">
        <w:rPr>
          <w:noProof/>
          <w:lang w:val="bg-BG"/>
        </w:rPr>
        <w:t xml:space="preserve">5: Създаване на нови места за детски ясли  </w:t>
      </w:r>
    </w:p>
    <w:p w14:paraId="10BAE83A" w14:textId="427385A7" w:rsidR="00CE3BAD" w:rsidRPr="00782BF9" w:rsidRDefault="006B5475">
      <w:pPr>
        <w:pStyle w:val="paragraph"/>
        <w:spacing w:before="0" w:beforeAutospacing="0" w:after="0" w:afterAutospacing="0"/>
        <w:jc w:val="both"/>
        <w:textAlignment w:val="baseline"/>
        <w:rPr>
          <w:rStyle w:val="normaltextrun"/>
          <w:noProof/>
          <w:lang w:val="bg-BG"/>
        </w:rPr>
      </w:pPr>
      <w:r w:rsidRPr="00782BF9">
        <w:rPr>
          <w:rStyle w:val="normaltextrun"/>
          <w:noProof/>
          <w:lang w:val="bg-BG"/>
        </w:rPr>
        <w:t xml:space="preserve">Целта на инвестицията е да се увеличи допълнително наличието на образователни услуги в ранна детска възраст. Тази мярка има за цел да допринесе за по-високи равнища на заетост сред родителите, особено сред жените, като по този начин допринесе за равенството между половете и социалното приобщаване. </w:t>
      </w:r>
    </w:p>
    <w:p w14:paraId="65DBFB4B" w14:textId="77777777" w:rsidR="00CE3BAD" w:rsidRPr="00782BF9" w:rsidRDefault="00CE3BAD">
      <w:pPr>
        <w:pStyle w:val="paragraph"/>
        <w:spacing w:before="0" w:beforeAutospacing="0" w:after="0" w:afterAutospacing="0"/>
        <w:jc w:val="both"/>
        <w:textAlignment w:val="baseline"/>
        <w:rPr>
          <w:rStyle w:val="normaltextrun"/>
          <w:noProof/>
          <w:lang w:val="bg-BG"/>
        </w:rPr>
      </w:pPr>
    </w:p>
    <w:p w14:paraId="636458ED" w14:textId="493CBF09" w:rsidR="00CE3BAD" w:rsidRPr="00782BF9" w:rsidRDefault="006B5475">
      <w:pPr>
        <w:pStyle w:val="paragraph"/>
        <w:spacing w:before="0" w:beforeAutospacing="0" w:after="0" w:afterAutospacing="0"/>
        <w:jc w:val="both"/>
        <w:textAlignment w:val="baseline"/>
        <w:rPr>
          <w:rStyle w:val="normaltextrun"/>
          <w:noProof/>
          <w:lang w:val="bg-BG"/>
        </w:rPr>
      </w:pPr>
      <w:r w:rsidRPr="00782BF9">
        <w:rPr>
          <w:rStyle w:val="normaltextrun"/>
          <w:noProof/>
          <w:lang w:val="bg-BG"/>
        </w:rPr>
        <w:t xml:space="preserve">В рамките на тази мярка в изцяло нови сгради или чрез разширяване на съществуващите такива се създават най-малко 519 нови детски ясли в цяла Унгария в допълнение към 3 984-те нови места за настаняване, подпомагани по мярка C1.I4. Инвестицията включва също така спомагателно оборудване и инфраструктура, като оборудване за класна стая, мебели, детски площадки и паркинги за велосипеди. Търсенето на първична енергия при строителството на нови сгради трябва да бъде най-малко 20 % под изискването за сгради с близко до нулево нетно потребление на енергия. В резултат на инвестицията най-малко 519 деца трябва да бъдат записани на новите места. </w:t>
      </w:r>
    </w:p>
    <w:p w14:paraId="19C20B46" w14:textId="77777777" w:rsidR="00CE3BAD" w:rsidRPr="00782BF9" w:rsidRDefault="00CE3BAD">
      <w:pPr>
        <w:pStyle w:val="paragraph"/>
        <w:spacing w:before="0" w:beforeAutospacing="0" w:after="0" w:afterAutospacing="0"/>
        <w:jc w:val="both"/>
        <w:textAlignment w:val="baseline"/>
        <w:rPr>
          <w:rStyle w:val="normaltextrun"/>
          <w:noProof/>
          <w:lang w:val="bg-BG"/>
        </w:rPr>
      </w:pPr>
    </w:p>
    <w:p w14:paraId="39F5681C" w14:textId="6F4734D0" w:rsidR="00CE3BAD" w:rsidRPr="00782BF9" w:rsidRDefault="006B5475">
      <w:pPr>
        <w:pStyle w:val="paragraph"/>
        <w:spacing w:before="0" w:beforeAutospacing="0" w:after="0" w:afterAutospacing="0"/>
        <w:jc w:val="both"/>
        <w:textAlignment w:val="baseline"/>
        <w:rPr>
          <w:rFonts w:ascii="Segoe UI" w:hAnsi="Segoe UI" w:cs="Segoe UI"/>
          <w:noProof/>
          <w:sz w:val="18"/>
          <w:lang w:val="bg-BG"/>
        </w:rPr>
      </w:pPr>
      <w:r w:rsidRPr="00782BF9">
        <w:rPr>
          <w:rStyle w:val="normaltextrun"/>
          <w:noProof/>
          <w:lang w:val="bg-BG"/>
        </w:rPr>
        <w:t xml:space="preserve">Изпълнението на инвестицията трябва да приключи до 31 декември 2025 г. </w:t>
      </w:r>
    </w:p>
    <w:p w14:paraId="4134439C" w14:textId="77777777" w:rsidR="00CE3BAD" w:rsidRPr="00782BF9" w:rsidRDefault="00CE3BAD">
      <w:pPr>
        <w:spacing w:after="160" w:line="259" w:lineRule="auto"/>
        <w:rPr>
          <w:noProof/>
          <w:lang w:val="bg-BG"/>
        </w:rPr>
      </w:pPr>
    </w:p>
    <w:p w14:paraId="322CFDFF" w14:textId="77777777" w:rsidR="00CE3BAD" w:rsidRPr="00782BF9" w:rsidRDefault="00CE3BAD">
      <w:pPr>
        <w:spacing w:after="160" w:line="259" w:lineRule="auto"/>
        <w:rPr>
          <w:noProof/>
          <w:lang w:val="bg-BG"/>
        </w:rPr>
      </w:pPr>
    </w:p>
    <w:p w14:paraId="50B0C812" w14:textId="77777777" w:rsidR="00CE3BAD" w:rsidRPr="00782BF9" w:rsidRDefault="00CE3BAD">
      <w:pPr>
        <w:spacing w:after="160" w:line="259" w:lineRule="auto"/>
        <w:rPr>
          <w:noProof/>
          <w:lang w:val="bg-BG"/>
        </w:rPr>
      </w:pPr>
    </w:p>
    <w:p w14:paraId="79CFA164" w14:textId="77777777" w:rsidR="00CE3BAD" w:rsidRPr="00782BF9" w:rsidRDefault="00CE3BAD">
      <w:pPr>
        <w:spacing w:after="160" w:line="259" w:lineRule="auto"/>
        <w:rPr>
          <w:noProof/>
          <w:lang w:val="bg-BG"/>
        </w:rPr>
        <w:sectPr w:rsidR="00CE3BAD" w:rsidRPr="00782BF9" w:rsidSect="00423005">
          <w:headerReference w:type="even" r:id="rId27"/>
          <w:headerReference w:type="default" r:id="rId28"/>
          <w:footerReference w:type="even" r:id="rId29"/>
          <w:footerReference w:type="default" r:id="rId30"/>
          <w:headerReference w:type="first" r:id="rId31"/>
          <w:footerReference w:type="first" r:id="rId32"/>
          <w:pgSz w:w="11907" w:h="16839"/>
          <w:pgMar w:top="1134" w:right="1418" w:bottom="1134" w:left="1418" w:header="709" w:footer="709" w:gutter="0"/>
          <w:cols w:space="720"/>
          <w:docGrid w:linePitch="360"/>
        </w:sectPr>
      </w:pPr>
    </w:p>
    <w:tbl>
      <w:tblPr>
        <w:tblW w:w="5293" w:type="pct"/>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8"/>
        <w:gridCol w:w="1108"/>
        <w:gridCol w:w="849"/>
        <w:gridCol w:w="1504"/>
        <w:gridCol w:w="985"/>
        <w:gridCol w:w="1131"/>
        <w:gridCol w:w="844"/>
        <w:gridCol w:w="705"/>
        <w:gridCol w:w="1046"/>
        <w:gridCol w:w="1128"/>
        <w:gridCol w:w="5237"/>
      </w:tblGrid>
      <w:tr w:rsidR="00CE3BAD" w:rsidRPr="00782BF9" w14:paraId="797007CD" w14:textId="77777777">
        <w:trPr>
          <w:trHeight w:val="1035"/>
        </w:trPr>
        <w:tc>
          <w:tcPr>
            <w:tcW w:w="293"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BBF5CF"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Пореден номер  </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D1D1BB"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Свързана мярка (реформа или инвестиции)  </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867AA02"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Ключов етап/Цел  </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BF1D59B"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Име  </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79C9512" w14:textId="77777777" w:rsidR="00CE3BAD" w:rsidRPr="00782BF9" w:rsidRDefault="006B5475">
            <w:pPr>
              <w:pStyle w:val="P68B1DB1-Normal10"/>
              <w:spacing w:after="0" w:line="240" w:lineRule="auto"/>
              <w:jc w:val="center"/>
              <w:rPr>
                <w:rFonts w:eastAsia="Times New Roman"/>
                <w:b/>
                <w:noProof/>
                <w:lang w:val="bg-BG"/>
              </w:rPr>
            </w:pPr>
            <w:r w:rsidRPr="00782BF9">
              <w:rPr>
                <w:b/>
                <w:noProof/>
                <w:lang w:val="bg-BG"/>
              </w:rPr>
              <w:t>Качествени индикатори</w:t>
            </w:r>
            <w:r w:rsidRPr="00782BF9">
              <w:rPr>
                <w:noProof/>
                <w:lang w:val="bg-BG"/>
              </w:rPr>
              <w:t xml:space="preserve"> </w:t>
            </w:r>
            <w:r w:rsidRPr="00782BF9">
              <w:rPr>
                <w:noProof/>
                <w:lang w:val="bg-BG"/>
              </w:rPr>
              <w:br/>
            </w:r>
            <w:r w:rsidRPr="00782BF9">
              <w:rPr>
                <w:b/>
                <w:noProof/>
                <w:lang w:val="bg-BG"/>
              </w:rPr>
              <w:t xml:space="preserve">(за ключовите етапи) </w:t>
            </w:r>
          </w:p>
        </w:tc>
        <w:tc>
          <w:tcPr>
            <w:tcW w:w="873" w:type="pct"/>
            <w:gridSpan w:val="3"/>
            <w:tcBorders>
              <w:top w:val="single" w:sz="6" w:space="0" w:color="auto"/>
              <w:left w:val="single" w:sz="4" w:space="0" w:color="auto"/>
              <w:bottom w:val="single" w:sz="6" w:space="0" w:color="auto"/>
              <w:right w:val="single" w:sz="6" w:space="0" w:color="auto"/>
            </w:tcBorders>
            <w:shd w:val="clear" w:color="auto" w:fill="BDD7EE"/>
            <w:vAlign w:val="center"/>
            <w:hideMark/>
          </w:tcPr>
          <w:p w14:paraId="1D0F8D76" w14:textId="77777777" w:rsidR="00CE3BAD" w:rsidRPr="00782BF9" w:rsidRDefault="006B5475">
            <w:pPr>
              <w:pStyle w:val="P68B1DB1-Normal10"/>
              <w:spacing w:after="0" w:line="240" w:lineRule="auto"/>
              <w:jc w:val="center"/>
              <w:rPr>
                <w:rFonts w:eastAsia="Times New Roman"/>
                <w:b/>
                <w:noProof/>
                <w:lang w:val="bg-BG"/>
              </w:rPr>
            </w:pPr>
            <w:r w:rsidRPr="00782BF9">
              <w:rPr>
                <w:b/>
                <w:noProof/>
                <w:lang w:val="bg-BG"/>
              </w:rPr>
              <w:t>Количествени индикатори</w:t>
            </w:r>
            <w:r w:rsidRPr="00782BF9">
              <w:rPr>
                <w:noProof/>
                <w:lang w:val="bg-BG"/>
              </w:rPr>
              <w:t xml:space="preserve"> </w:t>
            </w:r>
            <w:r w:rsidRPr="00782BF9">
              <w:rPr>
                <w:noProof/>
                <w:lang w:val="bg-BG"/>
              </w:rPr>
              <w:br/>
            </w:r>
            <w:r w:rsidRPr="00782BF9">
              <w:rPr>
                <w:b/>
                <w:noProof/>
                <w:lang w:val="bg-BG"/>
              </w:rPr>
              <w:t xml:space="preserve">(за целите) </w:t>
            </w:r>
          </w:p>
        </w:tc>
        <w:tc>
          <w:tcPr>
            <w:tcW w:w="688" w:type="pct"/>
            <w:gridSpan w:val="2"/>
            <w:tcBorders>
              <w:top w:val="single" w:sz="6" w:space="0" w:color="auto"/>
              <w:left w:val="nil"/>
              <w:bottom w:val="single" w:sz="6" w:space="0" w:color="auto"/>
              <w:right w:val="single" w:sz="4" w:space="0" w:color="auto"/>
            </w:tcBorders>
            <w:shd w:val="clear" w:color="auto" w:fill="BDD7EE"/>
            <w:vAlign w:val="center"/>
            <w:hideMark/>
          </w:tcPr>
          <w:p w14:paraId="78B2AB00"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Примерен график за приключване   </w:t>
            </w:r>
          </w:p>
        </w:tc>
        <w:tc>
          <w:tcPr>
            <w:tcW w:w="1698"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57159C"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Описание на всеки ключов етап и цел  </w:t>
            </w:r>
          </w:p>
        </w:tc>
      </w:tr>
      <w:tr w:rsidR="00CE3BAD" w:rsidRPr="00782BF9" w14:paraId="6469706A" w14:textId="77777777">
        <w:trPr>
          <w:trHeight w:val="990"/>
        </w:trPr>
        <w:tc>
          <w:tcPr>
            <w:tcW w:w="293" w:type="pct"/>
            <w:vMerge/>
            <w:tcBorders>
              <w:top w:val="single" w:sz="4" w:space="0" w:color="auto"/>
              <w:left w:val="single" w:sz="4" w:space="0" w:color="auto"/>
              <w:bottom w:val="single" w:sz="4" w:space="0" w:color="auto"/>
              <w:right w:val="single" w:sz="4" w:space="0" w:color="auto"/>
            </w:tcBorders>
            <w:vAlign w:val="center"/>
            <w:hideMark/>
          </w:tcPr>
          <w:p w14:paraId="15DF5EA5" w14:textId="77777777" w:rsidR="00CE3BAD" w:rsidRPr="00782BF9" w:rsidRDefault="00CE3BAD">
            <w:pPr>
              <w:spacing w:after="0" w:line="240" w:lineRule="auto"/>
              <w:rPr>
                <w:rFonts w:ascii="Segoe UI" w:eastAsia="Times New Roman" w:hAnsi="Segoe UI" w:cs="Segoe UI"/>
                <w:noProof/>
                <w:sz w:val="18"/>
                <w:lang w:val="bg-BG"/>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353EA76D" w14:textId="77777777" w:rsidR="00CE3BAD" w:rsidRPr="00782BF9" w:rsidRDefault="00CE3BAD">
            <w:pPr>
              <w:spacing w:after="0" w:line="240" w:lineRule="auto"/>
              <w:rPr>
                <w:rFonts w:ascii="Segoe UI" w:eastAsia="Times New Roman" w:hAnsi="Segoe UI" w:cs="Segoe UI"/>
                <w:noProof/>
                <w:sz w:val="18"/>
                <w:lang w:val="bg-BG"/>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3FA9BF03" w14:textId="77777777" w:rsidR="00CE3BAD" w:rsidRPr="00782BF9" w:rsidRDefault="00CE3BAD">
            <w:pPr>
              <w:spacing w:after="0" w:line="240" w:lineRule="auto"/>
              <w:rPr>
                <w:rFonts w:ascii="Segoe UI" w:eastAsia="Times New Roman" w:hAnsi="Segoe UI" w:cs="Segoe UI"/>
                <w:noProof/>
                <w:sz w:val="18"/>
                <w:lang w:val="bg-BG"/>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6E11BBB1" w14:textId="77777777" w:rsidR="00CE3BAD" w:rsidRPr="00782BF9" w:rsidRDefault="00CE3BAD">
            <w:pPr>
              <w:spacing w:after="0" w:line="240" w:lineRule="auto"/>
              <w:rPr>
                <w:rFonts w:ascii="Segoe UI" w:eastAsia="Times New Roman" w:hAnsi="Segoe UI" w:cs="Segoe UI"/>
                <w:noProof/>
                <w:sz w:val="18"/>
                <w:lang w:val="bg-BG"/>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14:paraId="395A5AD4" w14:textId="77777777" w:rsidR="00CE3BAD" w:rsidRPr="00782BF9" w:rsidRDefault="00CE3BAD">
            <w:pPr>
              <w:spacing w:after="0" w:line="240" w:lineRule="auto"/>
              <w:rPr>
                <w:rFonts w:ascii="Segoe UI" w:eastAsia="Times New Roman" w:hAnsi="Segoe UI" w:cs="Segoe UI"/>
                <w:noProof/>
                <w:sz w:val="18"/>
                <w:lang w:val="bg-BG"/>
              </w:rPr>
            </w:pPr>
          </w:p>
        </w:tc>
        <w:tc>
          <w:tcPr>
            <w:tcW w:w="368" w:type="pct"/>
            <w:tcBorders>
              <w:top w:val="nil"/>
              <w:left w:val="single" w:sz="4" w:space="0" w:color="auto"/>
              <w:bottom w:val="single" w:sz="6" w:space="0" w:color="auto"/>
              <w:right w:val="single" w:sz="6" w:space="0" w:color="auto"/>
            </w:tcBorders>
            <w:shd w:val="clear" w:color="auto" w:fill="BDD7EE"/>
            <w:vAlign w:val="center"/>
            <w:hideMark/>
          </w:tcPr>
          <w:p w14:paraId="5A5B55A6"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Единица мярка  </w:t>
            </w:r>
          </w:p>
        </w:tc>
        <w:tc>
          <w:tcPr>
            <w:tcW w:w="275" w:type="pct"/>
            <w:tcBorders>
              <w:top w:val="nil"/>
              <w:left w:val="nil"/>
              <w:bottom w:val="single" w:sz="6" w:space="0" w:color="auto"/>
              <w:right w:val="single" w:sz="6" w:space="0" w:color="auto"/>
            </w:tcBorders>
            <w:shd w:val="clear" w:color="auto" w:fill="BDD7EE"/>
            <w:vAlign w:val="center"/>
            <w:hideMark/>
          </w:tcPr>
          <w:p w14:paraId="7CF1AAF3"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Базова линия   </w:t>
            </w:r>
          </w:p>
        </w:tc>
        <w:tc>
          <w:tcPr>
            <w:tcW w:w="230" w:type="pct"/>
            <w:tcBorders>
              <w:top w:val="nil"/>
              <w:left w:val="nil"/>
              <w:bottom w:val="single" w:sz="6" w:space="0" w:color="auto"/>
              <w:right w:val="single" w:sz="6" w:space="0" w:color="auto"/>
            </w:tcBorders>
            <w:shd w:val="clear" w:color="auto" w:fill="BDD7EE"/>
            <w:vAlign w:val="center"/>
            <w:hideMark/>
          </w:tcPr>
          <w:p w14:paraId="5E3830D3"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Цел   </w:t>
            </w:r>
          </w:p>
        </w:tc>
        <w:tc>
          <w:tcPr>
            <w:tcW w:w="321" w:type="pct"/>
            <w:tcBorders>
              <w:top w:val="nil"/>
              <w:left w:val="nil"/>
              <w:bottom w:val="single" w:sz="6" w:space="0" w:color="auto"/>
              <w:right w:val="single" w:sz="6" w:space="0" w:color="auto"/>
            </w:tcBorders>
            <w:shd w:val="clear" w:color="auto" w:fill="BDD7EE"/>
            <w:vAlign w:val="center"/>
            <w:hideMark/>
          </w:tcPr>
          <w:p w14:paraId="2CB5F4EE"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Тримесечие  </w:t>
            </w:r>
          </w:p>
        </w:tc>
        <w:tc>
          <w:tcPr>
            <w:tcW w:w="367" w:type="pct"/>
            <w:tcBorders>
              <w:top w:val="nil"/>
              <w:left w:val="nil"/>
              <w:bottom w:val="single" w:sz="6" w:space="0" w:color="auto"/>
              <w:right w:val="single" w:sz="4" w:space="0" w:color="auto"/>
            </w:tcBorders>
            <w:shd w:val="clear" w:color="auto" w:fill="BDD7EE"/>
            <w:vAlign w:val="center"/>
            <w:hideMark/>
          </w:tcPr>
          <w:p w14:paraId="5B8225FA"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Година  </w:t>
            </w:r>
          </w:p>
        </w:tc>
        <w:tc>
          <w:tcPr>
            <w:tcW w:w="1698" w:type="pct"/>
            <w:vMerge/>
            <w:tcBorders>
              <w:top w:val="single" w:sz="4" w:space="0" w:color="auto"/>
              <w:left w:val="single" w:sz="4" w:space="0" w:color="auto"/>
              <w:bottom w:val="single" w:sz="4" w:space="0" w:color="auto"/>
              <w:right w:val="single" w:sz="4" w:space="0" w:color="auto"/>
            </w:tcBorders>
            <w:vAlign w:val="center"/>
            <w:hideMark/>
          </w:tcPr>
          <w:p w14:paraId="2AF7C7A8" w14:textId="77777777" w:rsidR="00CE3BAD" w:rsidRPr="00782BF9" w:rsidRDefault="00CE3BAD">
            <w:pPr>
              <w:spacing w:after="0" w:line="240" w:lineRule="auto"/>
              <w:rPr>
                <w:rFonts w:ascii="Segoe UI" w:eastAsia="Times New Roman" w:hAnsi="Segoe UI" w:cs="Segoe UI"/>
                <w:noProof/>
                <w:sz w:val="18"/>
                <w:lang w:val="bg-BG"/>
              </w:rPr>
            </w:pPr>
          </w:p>
        </w:tc>
      </w:tr>
      <w:tr w:rsidR="00CE3BAD" w:rsidRPr="00782BF9" w14:paraId="5CA239EA" w14:textId="77777777">
        <w:trPr>
          <w:trHeight w:val="300"/>
        </w:trPr>
        <w:tc>
          <w:tcPr>
            <w:tcW w:w="293" w:type="pct"/>
            <w:tcBorders>
              <w:top w:val="single" w:sz="4" w:space="0" w:color="auto"/>
              <w:left w:val="single" w:sz="6" w:space="0" w:color="auto"/>
              <w:bottom w:val="single" w:sz="6" w:space="0" w:color="auto"/>
              <w:right w:val="single" w:sz="6" w:space="0" w:color="auto"/>
            </w:tcBorders>
            <w:shd w:val="clear" w:color="auto" w:fill="C6EFCE"/>
            <w:hideMark/>
          </w:tcPr>
          <w:p w14:paraId="3C6D76D2" w14:textId="460D30A9"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365</w:t>
            </w:r>
          </w:p>
        </w:tc>
        <w:tc>
          <w:tcPr>
            <w:tcW w:w="361" w:type="pct"/>
            <w:tcBorders>
              <w:top w:val="single" w:sz="4" w:space="0" w:color="auto"/>
              <w:left w:val="nil"/>
              <w:bottom w:val="single" w:sz="6" w:space="0" w:color="auto"/>
              <w:right w:val="single" w:sz="6" w:space="0" w:color="auto"/>
            </w:tcBorders>
            <w:shd w:val="clear" w:color="auto" w:fill="C6EFCE"/>
            <w:hideMark/>
          </w:tcPr>
          <w:p w14:paraId="4E741C32" w14:textId="24B4563B"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C1.I5 Създаване на нови детски ясли </w:t>
            </w:r>
          </w:p>
        </w:tc>
        <w:tc>
          <w:tcPr>
            <w:tcW w:w="277" w:type="pct"/>
            <w:tcBorders>
              <w:top w:val="single" w:sz="4" w:space="0" w:color="auto"/>
              <w:left w:val="nil"/>
              <w:bottom w:val="single" w:sz="6" w:space="0" w:color="auto"/>
              <w:right w:val="single" w:sz="6" w:space="0" w:color="auto"/>
            </w:tcBorders>
            <w:shd w:val="clear" w:color="auto" w:fill="C6EFCE"/>
            <w:hideMark/>
          </w:tcPr>
          <w:p w14:paraId="576A960F"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Целеви  </w:t>
            </w:r>
          </w:p>
        </w:tc>
        <w:tc>
          <w:tcPr>
            <w:tcW w:w="489" w:type="pct"/>
            <w:tcBorders>
              <w:top w:val="single" w:sz="4" w:space="0" w:color="auto"/>
              <w:left w:val="nil"/>
              <w:bottom w:val="single" w:sz="6" w:space="0" w:color="auto"/>
              <w:right w:val="single" w:sz="6" w:space="0" w:color="auto"/>
            </w:tcBorders>
            <w:shd w:val="clear" w:color="auto" w:fill="C6EFCE"/>
            <w:hideMark/>
          </w:tcPr>
          <w:p w14:paraId="2F0BACDE"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Брой на допълнителните деца, записани в новосъздадени детски ясли </w:t>
            </w:r>
          </w:p>
        </w:tc>
        <w:tc>
          <w:tcPr>
            <w:tcW w:w="321" w:type="pct"/>
            <w:tcBorders>
              <w:top w:val="single" w:sz="4" w:space="0" w:color="auto"/>
              <w:left w:val="nil"/>
              <w:bottom w:val="single" w:sz="6" w:space="0" w:color="auto"/>
              <w:right w:val="single" w:sz="6" w:space="0" w:color="auto"/>
            </w:tcBorders>
            <w:shd w:val="clear" w:color="auto" w:fill="C6EFCE"/>
            <w:hideMark/>
          </w:tcPr>
          <w:p w14:paraId="6DF39E4E"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 xml:space="preserve"> </w:t>
            </w:r>
          </w:p>
        </w:tc>
        <w:tc>
          <w:tcPr>
            <w:tcW w:w="368" w:type="pct"/>
            <w:tcBorders>
              <w:top w:val="nil"/>
              <w:left w:val="nil"/>
              <w:bottom w:val="single" w:sz="6" w:space="0" w:color="auto"/>
              <w:right w:val="single" w:sz="6" w:space="0" w:color="auto"/>
            </w:tcBorders>
            <w:shd w:val="clear" w:color="auto" w:fill="C6EFCE"/>
            <w:hideMark/>
          </w:tcPr>
          <w:p w14:paraId="360D187D"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Брой  </w:t>
            </w:r>
          </w:p>
        </w:tc>
        <w:tc>
          <w:tcPr>
            <w:tcW w:w="275" w:type="pct"/>
            <w:tcBorders>
              <w:top w:val="nil"/>
              <w:left w:val="nil"/>
              <w:bottom w:val="single" w:sz="6" w:space="0" w:color="auto"/>
              <w:right w:val="single" w:sz="6" w:space="0" w:color="auto"/>
            </w:tcBorders>
            <w:shd w:val="clear" w:color="auto" w:fill="C6EFCE"/>
            <w:hideMark/>
          </w:tcPr>
          <w:p w14:paraId="2F713A85" w14:textId="0F7C1B01"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 3</w:t>
            </w:r>
            <w:r w:rsidRPr="00782BF9">
              <w:rPr>
                <w:noProof/>
                <w:color w:val="006100"/>
                <w:lang w:val="bg-BG"/>
              </w:rPr>
              <w:t xml:space="preserve"> </w:t>
            </w:r>
            <w:r w:rsidRPr="00782BF9">
              <w:rPr>
                <w:noProof/>
                <w:lang w:val="bg-BG"/>
              </w:rPr>
              <w:t>984 </w:t>
            </w:r>
          </w:p>
        </w:tc>
        <w:tc>
          <w:tcPr>
            <w:tcW w:w="230" w:type="pct"/>
            <w:tcBorders>
              <w:top w:val="nil"/>
              <w:left w:val="nil"/>
              <w:bottom w:val="single" w:sz="6" w:space="0" w:color="auto"/>
              <w:right w:val="single" w:sz="6" w:space="0" w:color="auto"/>
            </w:tcBorders>
            <w:shd w:val="clear" w:color="auto" w:fill="C6EFCE"/>
            <w:hideMark/>
          </w:tcPr>
          <w:p w14:paraId="25DEC241" w14:textId="42B9256F"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4</w:t>
            </w:r>
            <w:r w:rsidRPr="00782BF9">
              <w:rPr>
                <w:noProof/>
                <w:color w:val="006100"/>
                <w:lang w:val="bg-BG"/>
              </w:rPr>
              <w:t xml:space="preserve"> </w:t>
            </w:r>
            <w:r w:rsidRPr="00782BF9">
              <w:rPr>
                <w:noProof/>
                <w:lang w:val="bg-BG"/>
              </w:rPr>
              <w:t>503  </w:t>
            </w:r>
          </w:p>
        </w:tc>
        <w:tc>
          <w:tcPr>
            <w:tcW w:w="321" w:type="pct"/>
            <w:tcBorders>
              <w:top w:val="nil"/>
              <w:left w:val="nil"/>
              <w:bottom w:val="single" w:sz="6" w:space="0" w:color="auto"/>
              <w:right w:val="single" w:sz="6" w:space="0" w:color="auto"/>
            </w:tcBorders>
            <w:shd w:val="clear" w:color="auto" w:fill="C6EFCE"/>
            <w:hideMark/>
          </w:tcPr>
          <w:p w14:paraId="6DCF0B75" w14:textId="2913A564"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 Т4 Г.</w:t>
            </w:r>
          </w:p>
        </w:tc>
        <w:tc>
          <w:tcPr>
            <w:tcW w:w="367" w:type="pct"/>
            <w:tcBorders>
              <w:top w:val="nil"/>
              <w:left w:val="nil"/>
              <w:bottom w:val="single" w:sz="6" w:space="0" w:color="auto"/>
              <w:right w:val="single" w:sz="6" w:space="0" w:color="auto"/>
            </w:tcBorders>
            <w:shd w:val="clear" w:color="auto" w:fill="C6EFCE"/>
            <w:hideMark/>
          </w:tcPr>
          <w:p w14:paraId="3AF76B29"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2025  </w:t>
            </w:r>
          </w:p>
        </w:tc>
        <w:tc>
          <w:tcPr>
            <w:tcW w:w="1698" w:type="pct"/>
            <w:tcBorders>
              <w:top w:val="single" w:sz="4" w:space="0" w:color="auto"/>
              <w:left w:val="nil"/>
              <w:bottom w:val="single" w:sz="6" w:space="0" w:color="auto"/>
              <w:right w:val="single" w:sz="6" w:space="0" w:color="auto"/>
            </w:tcBorders>
            <w:shd w:val="clear" w:color="auto" w:fill="C6EFCE"/>
            <w:hideMark/>
          </w:tcPr>
          <w:p w14:paraId="62B46E44" w14:textId="3EF71DC4" w:rsidR="00CE3BAD" w:rsidRPr="00782BF9" w:rsidRDefault="006B5475">
            <w:pPr>
              <w:pStyle w:val="P68B1DB1-Normal10"/>
              <w:spacing w:after="0" w:line="240" w:lineRule="auto"/>
              <w:textAlignment w:val="baseline"/>
              <w:rPr>
                <w:noProof/>
                <w:lang w:val="bg-BG"/>
              </w:rPr>
            </w:pPr>
            <w:r w:rsidRPr="00782BF9">
              <w:rPr>
                <w:noProof/>
                <w:lang w:val="bg-BG"/>
              </w:rPr>
              <w:t>Най-малко 519 деца трябва да бъдат записани в нови детски ясли в допълнение към 3-те</w:t>
            </w:r>
            <w:r w:rsidRPr="00782BF9">
              <w:rPr>
                <w:noProof/>
                <w:color w:val="006100"/>
                <w:lang w:val="bg-BG"/>
              </w:rPr>
              <w:t xml:space="preserve"> </w:t>
            </w:r>
            <w:r w:rsidRPr="00782BF9">
              <w:rPr>
                <w:noProof/>
                <w:lang w:val="bg-BG"/>
              </w:rPr>
              <w:t xml:space="preserve">записани деца, посочени в цел 25. </w:t>
            </w:r>
          </w:p>
          <w:p w14:paraId="293DB3BC" w14:textId="77777777" w:rsidR="00CE3BAD" w:rsidRPr="00782BF9" w:rsidRDefault="00CE3BAD">
            <w:pPr>
              <w:spacing w:after="0" w:line="240" w:lineRule="auto"/>
              <w:textAlignment w:val="baseline"/>
              <w:rPr>
                <w:noProof/>
                <w:sz w:val="18"/>
                <w:lang w:val="bg-BG"/>
              </w:rPr>
            </w:pPr>
          </w:p>
          <w:p w14:paraId="1036C210" w14:textId="77777777" w:rsidR="00CE3BAD" w:rsidRPr="00782BF9" w:rsidRDefault="006B5475">
            <w:pPr>
              <w:pStyle w:val="P68B1DB1-Normal10"/>
              <w:spacing w:after="0" w:line="240" w:lineRule="auto"/>
              <w:textAlignment w:val="baseline"/>
              <w:rPr>
                <w:noProof/>
                <w:lang w:val="bg-BG"/>
              </w:rPr>
            </w:pPr>
            <w:r w:rsidRPr="00782BF9">
              <w:rPr>
                <w:noProof/>
                <w:lang w:val="bg-BG"/>
              </w:rPr>
              <w:t>Тези нови места ще бъдат създадени с подкрепата на плана за възстановяване и устойчивост в цяла Унгария в изцяло нови сгради или чрез разширяване на съществуващите. Мярката заделя най-малко 70</w:t>
            </w:r>
            <w:r w:rsidRPr="00782BF9">
              <w:rPr>
                <w:noProof/>
                <w:color w:val="006100"/>
                <w:lang w:val="bg-BG"/>
              </w:rPr>
              <w:t xml:space="preserve"> </w:t>
            </w:r>
            <w:r w:rsidRPr="00782BF9">
              <w:rPr>
                <w:noProof/>
                <w:lang w:val="bg-BG"/>
              </w:rPr>
              <w:t>% от отпуснатите ѝ средства за строителство на нови сгради и най-малко 11</w:t>
            </w:r>
            <w:r w:rsidRPr="00782BF9">
              <w:rPr>
                <w:noProof/>
                <w:color w:val="006100"/>
                <w:lang w:val="bg-BG"/>
              </w:rPr>
              <w:t xml:space="preserve"> </w:t>
            </w:r>
            <w:r w:rsidRPr="00782BF9">
              <w:rPr>
                <w:noProof/>
                <w:lang w:val="bg-BG"/>
              </w:rPr>
              <w:t xml:space="preserve">% за саниране на инфраструктура с цел повишаване на енергийната ефективност. </w:t>
            </w:r>
          </w:p>
          <w:p w14:paraId="12B09000" w14:textId="77777777" w:rsidR="00CE3BAD" w:rsidRPr="00782BF9" w:rsidRDefault="006B5475">
            <w:pPr>
              <w:pStyle w:val="P68B1DB1-Normal10"/>
              <w:spacing w:after="0" w:line="240" w:lineRule="auto"/>
              <w:textAlignment w:val="baseline"/>
              <w:rPr>
                <w:noProof/>
                <w:lang w:val="bg-BG"/>
              </w:rPr>
            </w:pPr>
            <w:r w:rsidRPr="00782BF9">
              <w:rPr>
                <w:noProof/>
                <w:lang w:val="bg-BG"/>
              </w:rPr>
              <w:t>Търсенето на първична енергия при строителството на нови сгради трябва да бъде най-малко 20</w:t>
            </w:r>
            <w:r w:rsidRPr="00782BF9">
              <w:rPr>
                <w:noProof/>
                <w:color w:val="006100"/>
                <w:lang w:val="bg-BG"/>
              </w:rPr>
              <w:t xml:space="preserve"> </w:t>
            </w:r>
            <w:r w:rsidRPr="00782BF9">
              <w:rPr>
                <w:noProof/>
                <w:lang w:val="bg-BG"/>
              </w:rPr>
              <w:t>% под изискването за сгради с близко до нулево нетно потребление на енергия. Инвестицията включва също така спомагателно оборудване и инфраструктура, като оборудване за класна стая, мебели, детски площадки и паркинги за велосипеди.</w:t>
            </w:r>
          </w:p>
          <w:p w14:paraId="40D6CDD9" w14:textId="1FBF8DD3" w:rsidR="00CE3BAD" w:rsidRPr="00782BF9" w:rsidRDefault="00CE3BAD">
            <w:pPr>
              <w:spacing w:after="0" w:line="240" w:lineRule="auto"/>
              <w:textAlignment w:val="baseline"/>
              <w:rPr>
                <w:rFonts w:eastAsia="Times New Roman"/>
                <w:noProof/>
                <w:sz w:val="18"/>
                <w:lang w:val="bg-BG"/>
              </w:rPr>
            </w:pPr>
          </w:p>
        </w:tc>
      </w:tr>
    </w:tbl>
    <w:p w14:paraId="487F79A2" w14:textId="2B9918F2" w:rsidR="00CE3BAD" w:rsidRPr="00782BF9" w:rsidRDefault="00CE3BAD">
      <w:pPr>
        <w:spacing w:after="160" w:line="259" w:lineRule="auto"/>
        <w:rPr>
          <w:noProof/>
          <w:lang w:val="bg-BG"/>
        </w:rPr>
        <w:sectPr w:rsidR="00CE3BAD" w:rsidRPr="00782BF9" w:rsidSect="00D637EC">
          <w:headerReference w:type="even" r:id="rId33"/>
          <w:headerReference w:type="default" r:id="rId34"/>
          <w:footerReference w:type="even" r:id="rId35"/>
          <w:footerReference w:type="default" r:id="rId36"/>
          <w:headerReference w:type="first" r:id="rId37"/>
          <w:footerReference w:type="first" r:id="rId38"/>
          <w:pgSz w:w="16839" w:h="11907" w:orient="landscape"/>
          <w:pgMar w:top="1418" w:right="1134" w:bottom="1418" w:left="1134" w:header="709" w:footer="709" w:gutter="0"/>
          <w:cols w:space="720"/>
          <w:docGrid w:linePitch="360"/>
        </w:sectPr>
      </w:pPr>
    </w:p>
    <w:p w14:paraId="0DDCA2D4" w14:textId="77777777" w:rsidR="00CE3BAD" w:rsidRPr="00782BF9" w:rsidRDefault="006B5475">
      <w:pPr>
        <w:pStyle w:val="Heading2"/>
        <w:ind w:left="0" w:firstLine="0"/>
        <w:rPr>
          <w:noProof/>
          <w:lang w:val="bg-BG"/>
        </w:rPr>
      </w:pPr>
      <w:r w:rsidRPr="00782BF9">
        <w:rPr>
          <w:noProof/>
          <w:lang w:val="bg-BG"/>
        </w:rPr>
        <w:t>Б. КОМПОНЕНТ 2: ВИСОКОКВАЛИФИЦИРАНА, КОНКУРЕНТОСПОСОБНА РАБОТНА СИЛА</w:t>
      </w:r>
    </w:p>
    <w:p w14:paraId="2C576023" w14:textId="77777777" w:rsidR="00CE3BAD" w:rsidRPr="00782BF9" w:rsidRDefault="00CE3BAD">
      <w:pPr>
        <w:spacing w:after="120" w:line="240" w:lineRule="auto"/>
        <w:jc w:val="both"/>
        <w:rPr>
          <w:rFonts w:ascii="Times New Roman" w:hAnsi="Times New Roman" w:cs="Times New Roman"/>
          <w:noProof/>
          <w:sz w:val="24"/>
          <w:lang w:val="bg-BG"/>
        </w:rPr>
      </w:pPr>
    </w:p>
    <w:p w14:paraId="364E9012" w14:textId="25904FF0"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Този компонент на унгарския план за възстановяване и устойчивост допринася за модернизирането на системите за професионално и висше образование. В него се разглеждат предизвикателствата на екологичния и цифровия преход чрез прилагане на решения за енергийно ефективно саниране и цифрово оборудване в сградите във висшите учебни заведения и институциите за професионално образование. Компонентът е насочен и към предизвикателствата, свързани с развитието на умения и нивата на научни изследвания и иновации, чрез стимулиране на научноизследователските проекти между бизнеса и академичните среди. Мерките в този компонент са важни за възстановяването на икономиката и за повишаването на устойчивостта на бъдещи кризи. </w:t>
      </w:r>
    </w:p>
    <w:p w14:paraId="7EF9C78B" w14:textId="09BBEFF0"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Основната цел на този компонент е да се укрепи работната сила и свързаните с нея институции за обучение в контекста на настоящите и евентуални нови кризи и да се подобри социално-икономическата среда в Унгария. За тази цел компонентът има за цел i) да създаде конкурентоспособна система за висше образование; II) допринасят за увеличаване на наличността на квалифицирани работници; и iii) подкрепа за екосистема за наука, иновации и обучение.  </w:t>
      </w:r>
    </w:p>
    <w:p w14:paraId="4F692ADD" w14:textId="3E27A4B2"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Компонентът подкрепя изпълнението на специфичните за всяка държава препоръки за насърчаване на инвестициите и реформите в областта на научните изследвания и иновациите, както и на екологичните и цифровите умения (специфична за държавата препоръка 5 през 2022 г.); съсредоточаване на инвестициите върху екологичния и цифровия преход и върху цифровата инфраструктура на училищата (специфична за всяка държава препоръка 2 през 2020 г.); както и за съсредоточаване на свързаната с инвестициите икономическа политика върху научните изследвания и иновациите (Специфична за всяка държава препоръка 3 през 2019 г.). </w:t>
      </w:r>
    </w:p>
    <w:p w14:paraId="109E346F"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Очаква се, че нито една мярка в този компонент не нанася значителни вреди на екологичните цели по смисъла на член 17 от Регламент (ЕС) 2020/852, като се вземе предвид описанието на мерките и стъпките за смекчаване, определени в плана за възстановяване и устойчивост в съответствие с Техническите насоки съгласно принципа за ненанасяне на значителни вреди (2021/C58/01).</w:t>
      </w:r>
    </w:p>
    <w:p w14:paraId="204E3921" w14:textId="77777777" w:rsidR="00CE3BAD" w:rsidRPr="00782BF9" w:rsidRDefault="006B5475">
      <w:pPr>
        <w:pStyle w:val="Heading2"/>
        <w:spacing w:before="0" w:after="120" w:line="240" w:lineRule="auto"/>
        <w:ind w:left="0" w:firstLine="0"/>
        <w:rPr>
          <w:noProof/>
          <w:lang w:val="bg-BG"/>
        </w:rPr>
      </w:pPr>
      <w:r w:rsidRPr="00782BF9">
        <w:rPr>
          <w:noProof/>
          <w:lang w:val="bg-BG"/>
        </w:rPr>
        <w:t>Б.1. Описание на реформите и инвестициите за безвъзмездна финансова подкрепа</w:t>
      </w:r>
    </w:p>
    <w:p w14:paraId="73F2604E" w14:textId="793C22CE" w:rsidR="00CE3BAD" w:rsidRPr="00782BF9" w:rsidRDefault="006B5475">
      <w:pPr>
        <w:pStyle w:val="P68B1DB1-Normal2"/>
        <w:spacing w:after="120" w:line="240" w:lineRule="auto"/>
        <w:jc w:val="both"/>
        <w:rPr>
          <w:rFonts w:cs="Times New Roman"/>
          <w:noProof/>
          <w:lang w:val="bg-BG"/>
        </w:rPr>
      </w:pPr>
      <w:r w:rsidRPr="00782BF9">
        <w:rPr>
          <w:noProof/>
          <w:lang w:val="bg-BG"/>
        </w:rPr>
        <w:t>C2.R1: Модернизиране на курсовете за висше образование</w:t>
      </w:r>
    </w:p>
    <w:p w14:paraId="34658ED1" w14:textId="0FA08FA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реформата е да се модернизира висшето образование чрез включване на по-ориентирани към практиката елементи в изискванията за обучение. Той е съсредоточен върху създаването на обучение и инфраструктурно сътрудничество с институциите за професионално обучение и иновации в определени области, както и върху укрепването на системата за повишаване на квалификацията и преквалификация на висшето образование в съответствие с изискванията на пазара на труда. </w:t>
      </w:r>
    </w:p>
    <w:p w14:paraId="3724B2C8" w14:textId="6921EA4D" w:rsidR="00CE3BAD" w:rsidRPr="00782BF9" w:rsidRDefault="006B5475">
      <w:pPr>
        <w:spacing w:after="120" w:line="240" w:lineRule="auto"/>
        <w:jc w:val="both"/>
        <w:rPr>
          <w:rFonts w:ascii="Times New Roman" w:hAnsi="Times New Roman" w:cs="Times New Roman"/>
          <w:noProof/>
          <w:sz w:val="24"/>
          <w:lang w:val="bg-BG"/>
        </w:rPr>
      </w:pPr>
      <w:r w:rsidRPr="00782BF9">
        <w:rPr>
          <w:rFonts w:ascii="Times New Roman" w:hAnsi="Times New Roman"/>
          <w:noProof/>
          <w:sz w:val="24"/>
          <w:lang w:val="bg-BG"/>
        </w:rPr>
        <w:t>Като част от мярката се преразглеждат и изменят няколко наредби, включително за управление на интелектуалната собственост и за правилата за работа на изпитните центрове в Закона за професионалното обучение, за определяне на изпълнението на изпитните задачи от изпитните центрове, за обучение на учителите на работното място и за цифрови обучения (електронно обучение, дистанционно обучение, смесено обучение), обхващащи обучението за възрастни и образованието за възрастни. При модернизирането на областите на обучение и преразглеждането на законодателството се вземат предвид нуждите на пазара на труда, свързани с екологичните и цифровите умения. Реформата ще доведе до модернизиране на 15 области на висшето образование като право и публична администрация, икономика, медицински и здравни науки, селско стопанство, изкуство и природни науки.</w:t>
      </w:r>
      <w:r w:rsidRPr="00782BF9">
        <w:rPr>
          <w:noProof/>
          <w:lang w:val="bg-BG"/>
        </w:rPr>
        <w:t xml:space="preserve"> Реформата</w:t>
      </w:r>
      <w:r w:rsidRPr="00782BF9">
        <w:rPr>
          <w:rFonts w:ascii="Times New Roman" w:hAnsi="Times New Roman"/>
          <w:noProof/>
          <w:sz w:val="24"/>
          <w:lang w:val="bg-BG"/>
        </w:rPr>
        <w:t xml:space="preserve">се основава на доклад, в който се посочват разпоредбите, които ще бъдат преразгледани за областите на висшето образование. Този доклад се изготвя съвместно от Унгарския комитет по акредитация, Унгарската конференция на ректорите и Образователния орган, с участието по целесъобразност на висшите учебни заведения. Характеристиките на модернизираната структура за обучение се разпространяват сред заинтересованите страни и целевите групи като част от реформата. </w:t>
      </w:r>
    </w:p>
    <w:p w14:paraId="15EB67BE" w14:textId="2BCC01B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трябва да приключи до 31 декември 2023 г.</w:t>
      </w:r>
    </w:p>
    <w:p w14:paraId="4C6A9F20" w14:textId="77777777" w:rsidR="00CE3BAD" w:rsidRPr="00782BF9" w:rsidRDefault="00CE3BAD">
      <w:pPr>
        <w:spacing w:after="120" w:line="240" w:lineRule="auto"/>
        <w:jc w:val="both"/>
        <w:rPr>
          <w:rFonts w:ascii="Times New Roman" w:hAnsi="Times New Roman" w:cs="Times New Roman"/>
          <w:noProof/>
          <w:sz w:val="24"/>
          <w:lang w:val="bg-BG"/>
        </w:rPr>
      </w:pPr>
    </w:p>
    <w:p w14:paraId="02F7A9A3" w14:textId="1ECBAA0C" w:rsidR="00CE3BAD" w:rsidRPr="00782BF9" w:rsidRDefault="009F4B1A">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2.</w:t>
      </w:r>
      <w:r w:rsidRPr="00782BF9">
        <w:rPr>
          <w:noProof/>
          <w:lang w:val="bg-BG"/>
        </w:rPr>
        <w:t>I</w:t>
      </w:r>
      <w:r w:rsidR="006B5475" w:rsidRPr="00782BF9">
        <w:rPr>
          <w:noProof/>
          <w:lang w:val="bg-BG"/>
        </w:rPr>
        <w:t xml:space="preserve">1: Институционални иновации и засилени дейности във висшето образование </w:t>
      </w:r>
    </w:p>
    <w:p w14:paraId="72337BDF" w14:textId="58B6F5C1" w:rsidR="00CE3BAD" w:rsidRPr="00782BF9" w:rsidRDefault="006B5475">
      <w:pPr>
        <w:spacing w:after="120" w:line="240" w:lineRule="auto"/>
        <w:jc w:val="both"/>
        <w:rPr>
          <w:rFonts w:ascii="Times New Roman" w:hAnsi="Times New Roman" w:cs="Times New Roman"/>
          <w:noProof/>
          <w:sz w:val="24"/>
          <w:lang w:val="bg-BG"/>
        </w:rPr>
      </w:pPr>
      <w:r w:rsidRPr="00782BF9">
        <w:rPr>
          <w:rFonts w:ascii="Times New Roman" w:hAnsi="Times New Roman"/>
          <w:noProof/>
          <w:sz w:val="24"/>
          <w:lang w:val="bg-BG"/>
        </w:rPr>
        <w:t>Целта на инвестицията е да се разработи дистанционно учебно съдържание, система за управление на обучението и курсове за обучение на възрастни във висшите учебни заведения, предоставящи микроудостоверения. Микроквалификацията е доказателство за резултатите от обучението, които учащият е придобил след кратък учебен опит и които са били оценени спрямо прозрачни стандарти. Доказателството се съдържа в заверен документ, в който се посочват името на титуляря, постигнатите резултати от обучението, методът на оценяване, издаващият орган и когато е приложимо, равнището по квалификационната рамка и получените кредити. Микроквалификациите са собственост на учащия, могат да бъдат споделяни, преносими, могат да бъдат комбинирани в по-големи удостоверения или квалификации и</w:t>
      </w:r>
      <w:r w:rsidRPr="00782BF9">
        <w:rPr>
          <w:noProof/>
          <w:lang w:val="bg-BG"/>
        </w:rPr>
        <w:t xml:space="preserve"> </w:t>
      </w:r>
      <w:r w:rsidRPr="00782BF9">
        <w:rPr>
          <w:rFonts w:ascii="Times New Roman" w:hAnsi="Times New Roman"/>
          <w:noProof/>
          <w:sz w:val="24"/>
          <w:lang w:val="bg-BG"/>
        </w:rPr>
        <w:t xml:space="preserve">да предоставят кредити по Европейската система за трансфер и натрупване на кредити (ECTS). Те се основават на система за осигуряване на качеството в съответствие със съгласувани стандарти. </w:t>
      </w:r>
    </w:p>
    <w:p w14:paraId="3C2419EB" w14:textId="0D8BD44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В рамките на тази мярка се разработват 19 курса за микроквалификации, които започват да се използват във висшите учебни заведения. Новоразработените микроквалификации отчитат нуждите на икономиката. Микроквалификациите се разработват в съответствие с определението и европейските стандартни елементи за описание на микроквалификациите, както е посочено в Препоръката на Съвета от 25 май 2022 г. относно европейски подход към микроудостоверенията с цел осигуряване на възможности за учене през целия живот и пригодност за заетост. В резултат на инвестицията все по-голям брой студенти/лица получават сертификати за микроквалификации и участват в програми за развитие на цифровите умения, предоставяни от висшите учебни заведения. Най-малко 600 лица, участващи в дейности по обучение за възрастни в съответните висши учебни заведения, придобиват кредитни микроквалификации с кредити по Европейската система за трансфер и натрупване на кредити (ECTS). Освен това се разработва най-малко 1800 цифрово учебно съдържание, включително учебни материали, сценарии, подкастове, екранни записи, видеоклипове, викторини, справочни материали, компютърно съдържание, уеб съдържание, цифрови игри и др. Най-малко 34 000 студенти и служители (включително учители) в участващите висши учебни заведения участват в програми за развитие на цифровите умения, компетентности и знания по тази мярка. По-специално обучението на учителите се съсредоточава върху уменията за използване на цифрови инструменти за преподаване и разработване на цифрово учебно съдържание. </w:t>
      </w:r>
    </w:p>
    <w:p w14:paraId="5003192C"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30 юни 2026 г.</w:t>
      </w:r>
    </w:p>
    <w:p w14:paraId="77E37C86" w14:textId="77777777" w:rsidR="00CE3BAD" w:rsidRPr="00782BF9" w:rsidRDefault="00CE3BAD">
      <w:pPr>
        <w:spacing w:after="120" w:line="240" w:lineRule="auto"/>
        <w:jc w:val="both"/>
        <w:rPr>
          <w:rFonts w:ascii="Times New Roman" w:hAnsi="Times New Roman" w:cs="Times New Roman"/>
          <w:b/>
          <w:noProof/>
          <w:sz w:val="24"/>
          <w:lang w:val="bg-BG"/>
        </w:rPr>
      </w:pPr>
    </w:p>
    <w:p w14:paraId="21E98DCB" w14:textId="3F76C1D5" w:rsidR="00CE3BAD" w:rsidRPr="00782BF9" w:rsidRDefault="009F4B1A">
      <w:pPr>
        <w:pStyle w:val="P68B1DB1-Normal2"/>
        <w:spacing w:after="120" w:line="240" w:lineRule="auto"/>
        <w:jc w:val="both"/>
        <w:rPr>
          <w:noProof/>
          <w:lang w:val="bg-BG"/>
        </w:rPr>
      </w:pPr>
      <w:r w:rsidRPr="00782BF9">
        <w:rPr>
          <w:noProof/>
          <w:lang w:val="bg-BG"/>
        </w:rPr>
        <w:t>C</w:t>
      </w:r>
      <w:r w:rsidR="006B5475" w:rsidRPr="00782BF9">
        <w:rPr>
          <w:noProof/>
          <w:lang w:val="bg-BG"/>
        </w:rPr>
        <w:t>2.</w:t>
      </w:r>
      <w:r w:rsidRPr="00782BF9">
        <w:rPr>
          <w:noProof/>
          <w:lang w:val="bg-BG"/>
        </w:rPr>
        <w:t>I</w:t>
      </w:r>
      <w:r w:rsidR="006B5475" w:rsidRPr="00782BF9">
        <w:rPr>
          <w:noProof/>
          <w:lang w:val="bg-BG"/>
        </w:rPr>
        <w:t xml:space="preserve">2: Модернизиране на инфраструктурата и цифровизация във висшите учебни заведения </w:t>
      </w:r>
    </w:p>
    <w:p w14:paraId="17F1724D"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инвестицията е да се повиши привлекателността на висшите учебни заведения и да се подкрепи екологичният и цифровият преход чрез модернизирана инфраструктура, цифровизация и дейности за развитие на капацитет.  </w:t>
      </w:r>
    </w:p>
    <w:p w14:paraId="24BAA760"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Инвестицията се състои от:</w:t>
      </w:r>
    </w:p>
    <w:p w14:paraId="27B3D895"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I) обновяване на енергийната ефективност на висшите учебни заведения, като се постигат средно най-малко 30 % икономии на първична енергия.</w:t>
      </w:r>
    </w:p>
    <w:p w14:paraId="39888347" w14:textId="47B1C6BF"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II) строителство на нови сгради за висши учебни заведения, чието търсене на първична енергия трябва да е най-малко с 20 % под изискването за сгради с близко до нулево нетно потребление на енергия. </w:t>
      </w:r>
    </w:p>
    <w:p w14:paraId="452108A5" w14:textId="4F84706B" w:rsidR="00CE3BAD" w:rsidRPr="00782BF9" w:rsidRDefault="006B5475">
      <w:pPr>
        <w:pStyle w:val="P68B1DB1-Normal4"/>
        <w:spacing w:after="120" w:line="240" w:lineRule="auto"/>
        <w:jc w:val="both"/>
        <w:rPr>
          <w:rFonts w:cs="Times New Roman"/>
          <w:noProof/>
          <w:lang w:val="bg-BG"/>
        </w:rPr>
      </w:pPr>
      <w:r w:rsidRPr="00782BF9">
        <w:rPr>
          <w:noProof/>
          <w:lang w:val="bg-BG"/>
        </w:rPr>
        <w:t>III) закупуване и инсталиране на цифрово оборудване във висшите учебни заведения, като например интерактивни бели дъски или големи сензорни екрани, лаптопи, цифрови преносими компютри, персонални компютри, мултимедийни студия, мултимедийни и/или интерактивни устройства, поддържащи цифрова система за управление на преподаването/ученето/ученето, ИКТ инструменти, необходими за разработването/структурираното събиране, съхранение, класифициране и достъпност на съдържанието в съответствие с FAIR на ЕС (Findable, директива за достъпност, оперативна съвместимост и многократна употреба), системи, използвани за излъчване на образование, комуникационни системи и системи за сътрудничество в подкрепа на цифровото образование, мултимедийни системи за съхранение, онлайн каталог, който гарантира възможността за търсене и достъпността на цифровото съдържание, лицензи за образователен софтуер, затворена система за управление на дистанционното обучение и свързаните с нея лицензи за системи за редактиране на учебни програми, системи за услуги в облак.</w:t>
      </w:r>
    </w:p>
    <w:p w14:paraId="1F557138" w14:textId="649799F6" w:rsidR="00CE3BAD" w:rsidRPr="00782BF9" w:rsidRDefault="006B5475">
      <w:pPr>
        <w:pStyle w:val="P68B1DB1-Normal4"/>
        <w:spacing w:after="120" w:line="240" w:lineRule="auto"/>
        <w:jc w:val="both"/>
        <w:rPr>
          <w:rFonts w:cs="Times New Roman"/>
          <w:noProof/>
          <w:lang w:val="bg-BG"/>
        </w:rPr>
      </w:pPr>
      <w:r w:rsidRPr="00782BF9">
        <w:rPr>
          <w:noProof/>
          <w:lang w:val="bg-BG"/>
        </w:rPr>
        <w:t>IV) дейности за развитие на капацитета, включително организиране на обучения, конференции и дейности за развиване на умения; оборудване на семинари и лаборатории за учебни цели; разработване на основни съоръжения, лаборатории за умения, езикови курсове и обучение за компетентности въз основа на нуждите на университетите.</w:t>
      </w:r>
    </w:p>
    <w:p w14:paraId="2BE52B91" w14:textId="07B2E3BF"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30 юни 2026 г.</w:t>
      </w:r>
    </w:p>
    <w:p w14:paraId="74D7C331" w14:textId="77777777" w:rsidR="00CE3BAD" w:rsidRPr="00782BF9" w:rsidRDefault="00CE3BAD">
      <w:pPr>
        <w:spacing w:after="120" w:line="240" w:lineRule="auto"/>
        <w:jc w:val="both"/>
        <w:rPr>
          <w:rFonts w:ascii="Times New Roman" w:hAnsi="Times New Roman" w:cs="Times New Roman"/>
          <w:noProof/>
          <w:sz w:val="24"/>
          <w:lang w:val="bg-BG"/>
        </w:rPr>
      </w:pPr>
    </w:p>
    <w:p w14:paraId="11C51253" w14:textId="56A5B068" w:rsidR="00CE3BAD" w:rsidRPr="00782BF9" w:rsidRDefault="009F4B1A">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2.</w:t>
      </w:r>
      <w:r w:rsidRPr="00782BF9">
        <w:rPr>
          <w:noProof/>
          <w:lang w:val="bg-BG"/>
        </w:rPr>
        <w:t>I</w:t>
      </w:r>
      <w:r w:rsidR="006B5475" w:rsidRPr="00782BF9">
        <w:rPr>
          <w:noProof/>
          <w:lang w:val="bg-BG"/>
        </w:rPr>
        <w:t>3: Разработване на цифрови учебни програми за професионално образование и обучение</w:t>
      </w:r>
    </w:p>
    <w:p w14:paraId="505CB9EA"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инвестицията е да допринесе за наличието на квалифицирана работна сила чрез предоставяне на цифрово образование на всички учащи, които учат професионално образование и обучение. </w:t>
      </w:r>
    </w:p>
    <w:p w14:paraId="105535F4" w14:textId="44EDAEBA" w:rsidR="00CE3BAD" w:rsidRPr="00782BF9" w:rsidRDefault="006B5475">
      <w:pPr>
        <w:pStyle w:val="P68B1DB1-Normal4"/>
        <w:spacing w:after="120" w:line="240" w:lineRule="auto"/>
        <w:jc w:val="both"/>
        <w:rPr>
          <w:rFonts w:cs="Times New Roman"/>
          <w:noProof/>
          <w:lang w:val="bg-BG"/>
        </w:rPr>
      </w:pPr>
      <w:r w:rsidRPr="00782BF9">
        <w:rPr>
          <w:noProof/>
          <w:lang w:val="bg-BG"/>
        </w:rPr>
        <w:t>В резултат на инвестицията се разработват най-малко 75 цифрови учебни материала за професионално образование и обучение, свързани с конкретни професии, и най-малко 13 000 ученици (индивидуални потребители), участващи в професионално образование и обучение или посещаващи образование за възрастни в съответните професии, имат достъп до тези цифрови учебни материали. Цифровите учебни материали се разработват в сектори, които не са под контрола на Министерството на културата и иновациите, в съответствие с член 45, параграф 1 от Правителствено постановление 12/2020. (II. 7.).</w:t>
      </w:r>
    </w:p>
    <w:p w14:paraId="3003935B"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Инвестицията се осъществява чрез покана за представяне на проекти за разработване на цифрови учебни програми, която се публикува от Националната служба за професионално образование и обучение и учене за възрастни.</w:t>
      </w:r>
    </w:p>
    <w:p w14:paraId="1438C900" w14:textId="3CDB6A3F"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31 март 2026 г.</w:t>
      </w:r>
    </w:p>
    <w:p w14:paraId="4887D558" w14:textId="77777777" w:rsidR="00CE3BAD" w:rsidRPr="00782BF9" w:rsidRDefault="00CE3BAD">
      <w:pPr>
        <w:spacing w:after="120" w:line="240" w:lineRule="auto"/>
        <w:jc w:val="both"/>
        <w:rPr>
          <w:rFonts w:ascii="Times New Roman" w:hAnsi="Times New Roman" w:cs="Times New Roman"/>
          <w:noProof/>
          <w:sz w:val="24"/>
          <w:lang w:val="bg-BG"/>
        </w:rPr>
      </w:pPr>
    </w:p>
    <w:p w14:paraId="6183CEA7" w14:textId="181A1363" w:rsidR="00CE3BAD" w:rsidRPr="00782BF9" w:rsidRDefault="009F4B1A">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2.</w:t>
      </w:r>
      <w:r w:rsidRPr="00782BF9">
        <w:rPr>
          <w:noProof/>
          <w:lang w:val="bg-BG"/>
        </w:rPr>
        <w:t>I</w:t>
      </w:r>
      <w:r w:rsidR="006B5475" w:rsidRPr="00782BF9">
        <w:rPr>
          <w:noProof/>
          <w:lang w:val="bg-BG"/>
        </w:rPr>
        <w:t>4: Инфраструктура за професионално образование и обучение през</w:t>
      </w:r>
      <w:r w:rsidR="006B5475" w:rsidRPr="00782BF9">
        <w:rPr>
          <w:noProof/>
          <w:vertAlign w:val="superscript"/>
          <w:lang w:val="bg-BG"/>
        </w:rPr>
        <w:t>21-ви</w:t>
      </w:r>
      <w:r w:rsidR="006B5475" w:rsidRPr="00782BF9">
        <w:rPr>
          <w:noProof/>
          <w:lang w:val="bg-BG"/>
        </w:rPr>
        <w:t xml:space="preserve"> век </w:t>
      </w:r>
    </w:p>
    <w:p w14:paraId="189BCBB7" w14:textId="550FBF3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инвестицията е да се насърчи енергийната ефективност, да се извършат общи подобрения на инфраструктурата и да се подобри цифровизацията на центровете за професионално обучение. Подобреното изграждане и цифрова инфраструктура на професионалните училища също така ще създаде по-добра учебна среда за учениците, което се очаква да бъде от полза за техните образователни резултати.  </w:t>
      </w:r>
    </w:p>
    <w:p w14:paraId="2BE2E64D" w14:textId="0F088ACB" w:rsidR="00CE3BAD" w:rsidRPr="00782BF9" w:rsidRDefault="006B5475">
      <w:pPr>
        <w:pStyle w:val="P68B1DB1-Normal4"/>
        <w:spacing w:after="120" w:line="240" w:lineRule="auto"/>
        <w:jc w:val="both"/>
        <w:rPr>
          <w:rFonts w:cs="Times New Roman"/>
          <w:noProof/>
          <w:lang w:val="bg-BG"/>
        </w:rPr>
      </w:pPr>
      <w:r w:rsidRPr="00782BF9">
        <w:rPr>
          <w:noProof/>
          <w:lang w:val="bg-BG"/>
        </w:rPr>
        <w:t>Инвестицията включва саниране с цел повишаване на енергийната ефективност и закупуване на ИКТ оборудване за поне 16 избрани центъра за професионално образование и обучение. Тя включва и други подобрения на инфраструктурата в тези центрове, като например семинари за оборудване, обновяване на зоните за преподаване и закупуване на учебни материали, инструменти и обзавеждане. Подборът на центровете се основава на обективни и прозрачни критерии, включително търсенето на пазара на труда в конкретната икономическа област, състоянието на инфраструктурата и активите на центровете за професионално обучение, дали центровете са разположени в необлагодетелствани региони, дела на студентите в неравностойно положение, както и връзките и съгласуваността с предходни програми. Програмата за саниране за енергийна ефективност води до постигане на икономии на първична енергия от най-малко 30 % или намаляване с поне 30 % на преките и непреките емисии на парникови газове.</w:t>
      </w:r>
    </w:p>
    <w:p w14:paraId="3AA9E201" w14:textId="4A9A92CB"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31 март 2026 г.</w:t>
      </w:r>
    </w:p>
    <w:p w14:paraId="26FE4206" w14:textId="77777777" w:rsidR="00CE3BAD" w:rsidRPr="00782BF9" w:rsidRDefault="00CE3BAD">
      <w:pPr>
        <w:spacing w:after="120" w:line="240" w:lineRule="auto"/>
        <w:jc w:val="both"/>
        <w:rPr>
          <w:rFonts w:ascii="Times New Roman" w:hAnsi="Times New Roman" w:cs="Times New Roman"/>
          <w:noProof/>
          <w:sz w:val="24"/>
          <w:lang w:val="bg-BG"/>
        </w:rPr>
      </w:pPr>
    </w:p>
    <w:p w14:paraId="22500586" w14:textId="70EB949B" w:rsidR="00CE3BAD" w:rsidRPr="00782BF9" w:rsidRDefault="009F4B1A">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2.</w:t>
      </w:r>
      <w:r w:rsidRPr="00782BF9">
        <w:rPr>
          <w:noProof/>
          <w:lang w:val="bg-BG"/>
        </w:rPr>
        <w:t>I</w:t>
      </w:r>
      <w:r w:rsidR="006B5475" w:rsidRPr="00782BF9">
        <w:rPr>
          <w:noProof/>
          <w:lang w:val="bg-BG"/>
        </w:rPr>
        <w:t xml:space="preserve">5: Развитие на Централния изпитен център </w:t>
      </w:r>
    </w:p>
    <w:p w14:paraId="72F0B241" w14:textId="184390D2"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инвестицията е да се създаде централен изпитен център в Будапеща, за да се създадат условия за висококачествени професионални изпити в някои професии, за които мрежата от изпитни центрове не осигурява подходящо териториално покритие на регионално равнище. </w:t>
      </w:r>
    </w:p>
    <w:p w14:paraId="16F359E2" w14:textId="43894973"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Тази инвестиция се състои в завършването на Централния изпитен център, чрез който се организират изпити за най-малко 30 професии и професионални квалификации. Мярката включва ремонт на сградата на Центъра, включително подобряване на енергийната ефективност, други ремонти на сгради, както и препроектиране и оборудване на класните стаи, изпитните зали, семинарите и сервизните зали. </w:t>
      </w:r>
    </w:p>
    <w:p w14:paraId="10CBE6BB"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Санирането с цел повишаване на енергийната ефективност води средно до най-малко 30 % икономии на първична енергия или намаляване на емисиите на парникови газове с най-малко 30 %. Изпитният център се разработва като отделно място за провеждане на изпити от центровете за професионално образование и обучение. </w:t>
      </w:r>
    </w:p>
    <w:p w14:paraId="795F4D2D" w14:textId="1A65AE34"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31 март 2026 г.</w:t>
      </w:r>
    </w:p>
    <w:p w14:paraId="49D8BC62" w14:textId="77777777" w:rsidR="00CE3BAD" w:rsidRPr="00782BF9" w:rsidRDefault="00CE3BAD">
      <w:pPr>
        <w:spacing w:after="120" w:line="240" w:lineRule="auto"/>
        <w:jc w:val="both"/>
        <w:rPr>
          <w:rFonts w:ascii="Times New Roman" w:hAnsi="Times New Roman" w:cs="Times New Roman"/>
          <w:noProof/>
          <w:sz w:val="24"/>
          <w:lang w:val="bg-BG"/>
        </w:rPr>
      </w:pPr>
    </w:p>
    <w:p w14:paraId="5820AEDB" w14:textId="0F029511" w:rsidR="00CE3BAD" w:rsidRPr="00782BF9" w:rsidRDefault="009F4B1A">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2.</w:t>
      </w:r>
      <w:r w:rsidRPr="00782BF9">
        <w:rPr>
          <w:noProof/>
          <w:lang w:val="bg-BG"/>
        </w:rPr>
        <w:t>I</w:t>
      </w:r>
      <w:r w:rsidR="006B5475" w:rsidRPr="00782BF9">
        <w:rPr>
          <w:noProof/>
          <w:lang w:val="bg-BG"/>
        </w:rPr>
        <w:t>6: Създаване на национални лаборатории за научноизследователска и развойна дейност</w:t>
      </w:r>
    </w:p>
    <w:p w14:paraId="78E0FCF8" w14:textId="79C92D80"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инвестицията е да се създадат допълнителни национални лаборатории за научноизследователска и развойна дейност с цел укрепване на иновационната екосистема в страната. Тези национални лаборатории са формализирани научноизследователски консорциуми, включително университети, научноизследователски институти и други публични участници (като Националната служба за безопасност на хранителната верига и Унгарската метеорологична служба), които се създават с цел провеждане на научни изследвания и публикуване на проучвания в съответните научноизследователски области. </w:t>
      </w:r>
    </w:p>
    <w:p w14:paraId="6A55A822" w14:textId="0302A50B" w:rsidR="00CE3BAD" w:rsidRPr="00782BF9" w:rsidRDefault="006B5475">
      <w:pPr>
        <w:spacing w:after="120" w:line="240" w:lineRule="auto"/>
        <w:jc w:val="both"/>
        <w:rPr>
          <w:rFonts w:ascii="Times New Roman" w:hAnsi="Times New Roman" w:cs="Times New Roman"/>
          <w:noProof/>
          <w:sz w:val="24"/>
          <w:lang w:val="bg-BG"/>
        </w:rPr>
      </w:pPr>
      <w:r w:rsidRPr="00782BF9">
        <w:rPr>
          <w:rFonts w:ascii="Times New Roman" w:hAnsi="Times New Roman"/>
          <w:noProof/>
          <w:sz w:val="24"/>
          <w:lang w:val="bg-BG"/>
        </w:rPr>
        <w:t>Мярката се състои в създаването на национални лаборатории, което включва безвъзмездни средства за научни изследвания, закупуване на оборудване и развитие на инфраструктурата.</w:t>
      </w:r>
      <w:r w:rsidRPr="00782BF9">
        <w:rPr>
          <w:noProof/>
          <w:lang w:val="bg-BG"/>
        </w:rPr>
        <w:t xml:space="preserve"> </w:t>
      </w:r>
      <w:r w:rsidRPr="00782BF9">
        <w:rPr>
          <w:rFonts w:ascii="Times New Roman" w:hAnsi="Times New Roman"/>
          <w:noProof/>
          <w:sz w:val="24"/>
          <w:lang w:val="bg-BG"/>
        </w:rPr>
        <w:t>Националните лаборатории обхващат съответните научноизследователски области за екологичния/цифровия преход и социално-икономическите предизвикателства пред Унгария и се организират в тематичните области на безопасното общество и околната среда; здравеопазване; промишленост и цифровизация. Тези тематични области включват теми като енергията от възобновяеми източници, основаното на данни здравеопазване, фармацевтичната научноизследователска и развойна дейност, сигурността на водните ресурси, изкуствения интелект и автономните системи. Изследователските проекти на лабораториите и свързаните с тях договори (включително трудовите договори за изследователи и други участващи служители) са с фиксиран срок, който не може да продължи след 30 юни 2026 г.</w:t>
      </w:r>
    </w:p>
    <w:p w14:paraId="73200BDF" w14:textId="694648E4"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включва публикуването на доклад за работата на тези национални лаборатории, изготвен от Националната агенция за научни изследвания, развитие и иновации. Докладът включва информация за i) дейностите и резултатите на лабораториите в областта на научните изследвания, в които те са извършвали дейност, включително глобалното предизвикателство, с което са се сблъскали на национално равнище, ii) състава на консорциумите (публични и частни партньори) и iii) как тези национални лаборатории са допринесли за укрепването на унгарската иновационна екосистема.</w:t>
      </w:r>
    </w:p>
    <w:p w14:paraId="6A8CA690" w14:textId="6E60C0D0"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30 юни 2026 г.</w:t>
      </w:r>
    </w:p>
    <w:p w14:paraId="10D1ED0B" w14:textId="77777777" w:rsidR="00CE3BAD" w:rsidRPr="00782BF9" w:rsidRDefault="00CE3BAD">
      <w:pPr>
        <w:spacing w:after="120" w:line="240" w:lineRule="auto"/>
        <w:jc w:val="both"/>
        <w:rPr>
          <w:rFonts w:ascii="Times New Roman" w:hAnsi="Times New Roman" w:cs="Times New Roman"/>
          <w:noProof/>
          <w:sz w:val="24"/>
          <w:lang w:val="bg-BG"/>
        </w:rPr>
        <w:sectPr w:rsidR="00CE3BAD" w:rsidRPr="00782BF9" w:rsidSect="00D637EC">
          <w:headerReference w:type="even" r:id="rId39"/>
          <w:headerReference w:type="default" r:id="rId40"/>
          <w:footerReference w:type="even" r:id="rId41"/>
          <w:footerReference w:type="default" r:id="rId42"/>
          <w:headerReference w:type="first" r:id="rId43"/>
          <w:footerReference w:type="first" r:id="rId44"/>
          <w:pgSz w:w="11907" w:h="16839"/>
          <w:pgMar w:top="1134" w:right="1418" w:bottom="1134" w:left="1418" w:header="709" w:footer="709" w:gutter="0"/>
          <w:cols w:space="720"/>
          <w:docGrid w:linePitch="360"/>
        </w:sectPr>
      </w:pPr>
    </w:p>
    <w:p w14:paraId="30DEDEB2" w14:textId="77777777" w:rsidR="00CE3BAD" w:rsidRPr="00782BF9" w:rsidRDefault="006B5475">
      <w:pPr>
        <w:pStyle w:val="Heading2"/>
        <w:spacing w:after="120"/>
        <w:ind w:left="0" w:firstLine="0"/>
        <w:rPr>
          <w:noProof/>
          <w:lang w:val="bg-BG"/>
        </w:rPr>
      </w:pPr>
      <w:r w:rsidRPr="00782BF9">
        <w:rPr>
          <w:noProof/>
          <w:lang w:val="bg-BG"/>
        </w:rPr>
        <w:t xml:space="preserve">Б.2. </w:t>
      </w:r>
      <w:r w:rsidRPr="00782BF9">
        <w:rPr>
          <w:noProof/>
          <w:lang w:val="bg-BG"/>
        </w:rPr>
        <w:tab/>
        <w:t>Ключови етапи, цели, показатели и график за мониторинг и изпълнение на безвъзмездната финансова подкрепа</w:t>
      </w:r>
    </w:p>
    <w:tbl>
      <w:tblPr>
        <w:tblW w:w="16191" w:type="dxa"/>
        <w:tblInd w:w="-743" w:type="dxa"/>
        <w:tblLook w:val="04A0" w:firstRow="1" w:lastRow="0" w:firstColumn="1" w:lastColumn="0" w:noHBand="0" w:noVBand="1"/>
      </w:tblPr>
      <w:tblGrid>
        <w:gridCol w:w="969"/>
        <w:gridCol w:w="2052"/>
        <w:gridCol w:w="1020"/>
        <w:gridCol w:w="1825"/>
        <w:gridCol w:w="1600"/>
        <w:gridCol w:w="1302"/>
        <w:gridCol w:w="965"/>
        <w:gridCol w:w="878"/>
        <w:gridCol w:w="1166"/>
        <w:gridCol w:w="787"/>
        <w:gridCol w:w="3627"/>
      </w:tblGrid>
      <w:tr w:rsidR="00CE3BAD" w:rsidRPr="00782BF9" w14:paraId="357D1331" w14:textId="77777777">
        <w:trPr>
          <w:trHeight w:val="313"/>
          <w:tblHeader/>
        </w:trPr>
        <w:tc>
          <w:tcPr>
            <w:tcW w:w="10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121A38"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Пореден номер</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84C217"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Свързана мярка (реформа или инвестиции)</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16CDFD" w14:textId="63A982EB" w:rsidR="00CE3BAD" w:rsidRPr="00782BF9" w:rsidRDefault="006B5475">
            <w:pPr>
              <w:pStyle w:val="P68B1DB1-Normal9"/>
              <w:spacing w:after="0" w:line="240" w:lineRule="auto"/>
              <w:jc w:val="center"/>
              <w:rPr>
                <w:rFonts w:eastAsia="Times New Roman"/>
                <w:noProof/>
                <w:lang w:val="bg-BG"/>
              </w:rPr>
            </w:pPr>
            <w:r w:rsidRPr="00782BF9">
              <w:rPr>
                <w:noProof/>
                <w:lang w:val="bg-BG"/>
              </w:rPr>
              <w:t>Ключов етап</w:t>
            </w:r>
            <w:r w:rsidRPr="00782BF9">
              <w:rPr>
                <w:noProof/>
                <w:lang w:val="bg-BG"/>
              </w:rPr>
              <w:br/>
              <w:t>/Цел</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E93063"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Име</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3F218C3" w14:textId="77777777" w:rsidR="00CE3BAD" w:rsidRPr="00782BF9" w:rsidRDefault="006B5475">
            <w:pPr>
              <w:pStyle w:val="P68B1DB1-Normal10"/>
              <w:spacing w:after="0" w:line="240" w:lineRule="auto"/>
              <w:jc w:val="center"/>
              <w:rPr>
                <w:rFonts w:eastAsia="Times New Roman"/>
                <w:b/>
                <w:noProof/>
                <w:lang w:val="bg-BG"/>
              </w:rPr>
            </w:pPr>
            <w:r w:rsidRPr="00782BF9">
              <w:rPr>
                <w:b/>
                <w:noProof/>
                <w:lang w:val="bg-BG"/>
              </w:rPr>
              <w:t>Качествени индикатори</w:t>
            </w:r>
            <w:r w:rsidRPr="00782BF9">
              <w:rPr>
                <w:noProof/>
                <w:lang w:val="bg-BG"/>
              </w:rPr>
              <w:t xml:space="preserve"> </w:t>
            </w:r>
            <w:r w:rsidRPr="00782BF9">
              <w:rPr>
                <w:noProof/>
                <w:lang w:val="bg-BG"/>
              </w:rPr>
              <w:br/>
            </w:r>
            <w:r w:rsidRPr="00782BF9">
              <w:rPr>
                <w:b/>
                <w:noProof/>
                <w:lang w:val="bg-BG"/>
              </w:rPr>
              <w:t>(за ключовите етапи)</w:t>
            </w:r>
          </w:p>
        </w:tc>
        <w:tc>
          <w:tcPr>
            <w:tcW w:w="325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9ACBFAA" w14:textId="77777777" w:rsidR="00CE3BAD" w:rsidRPr="00782BF9" w:rsidRDefault="006B5475">
            <w:pPr>
              <w:pStyle w:val="P68B1DB1-Normal10"/>
              <w:spacing w:after="0" w:line="240" w:lineRule="auto"/>
              <w:jc w:val="center"/>
              <w:rPr>
                <w:rFonts w:eastAsia="Times New Roman"/>
                <w:b/>
                <w:noProof/>
                <w:lang w:val="bg-BG"/>
              </w:rPr>
            </w:pPr>
            <w:r w:rsidRPr="00782BF9">
              <w:rPr>
                <w:b/>
                <w:noProof/>
                <w:lang w:val="bg-BG"/>
              </w:rPr>
              <w:t>Количествени индикатори</w:t>
            </w:r>
            <w:r w:rsidRPr="00782BF9">
              <w:rPr>
                <w:noProof/>
                <w:lang w:val="bg-BG"/>
              </w:rPr>
              <w:t xml:space="preserve"> </w:t>
            </w:r>
            <w:r w:rsidRPr="00782BF9">
              <w:rPr>
                <w:noProof/>
                <w:lang w:val="bg-BG"/>
              </w:rPr>
              <w:br/>
            </w:r>
            <w:r w:rsidRPr="00782BF9">
              <w:rPr>
                <w:b/>
                <w:noProof/>
                <w:lang w:val="bg-BG"/>
              </w:rPr>
              <w:t>(за целите)</w:t>
            </w:r>
          </w:p>
        </w:tc>
        <w:tc>
          <w:tcPr>
            <w:tcW w:w="1595" w:type="dxa"/>
            <w:gridSpan w:val="2"/>
            <w:tcBorders>
              <w:top w:val="single" w:sz="4" w:space="0" w:color="auto"/>
              <w:left w:val="nil"/>
              <w:bottom w:val="single" w:sz="4" w:space="0" w:color="auto"/>
              <w:right w:val="single" w:sz="4" w:space="0" w:color="auto"/>
            </w:tcBorders>
            <w:shd w:val="clear" w:color="auto" w:fill="BDD7EE"/>
            <w:vAlign w:val="center"/>
            <w:hideMark/>
          </w:tcPr>
          <w:p w14:paraId="2341B9E5" w14:textId="77777777" w:rsidR="00CE3BAD" w:rsidRPr="00782BF9" w:rsidRDefault="006B5475">
            <w:pPr>
              <w:pStyle w:val="P68B1DB1-Normal10"/>
              <w:spacing w:after="0" w:line="240" w:lineRule="auto"/>
              <w:jc w:val="center"/>
              <w:rPr>
                <w:rFonts w:eastAsia="Times New Roman"/>
                <w:b/>
                <w:noProof/>
                <w:lang w:val="bg-BG"/>
              </w:rPr>
            </w:pPr>
            <w:r w:rsidRPr="00782BF9">
              <w:rPr>
                <w:b/>
                <w:noProof/>
                <w:lang w:val="bg-BG"/>
              </w:rPr>
              <w:t>Примерен график за приключване</w:t>
            </w:r>
            <w:r w:rsidRPr="00782BF9">
              <w:rPr>
                <w:noProof/>
                <w:lang w:val="bg-BG"/>
              </w:rPr>
              <w:t xml:space="preserve"> </w:t>
            </w:r>
            <w:r w:rsidRPr="00782BF9">
              <w:rPr>
                <w:noProof/>
                <w:lang w:val="bg-BG"/>
              </w:rPr>
              <w:br/>
            </w:r>
          </w:p>
        </w:tc>
        <w:tc>
          <w:tcPr>
            <w:tcW w:w="442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B855791"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Описание на всеки ключов етап и цел</w:t>
            </w:r>
          </w:p>
        </w:tc>
      </w:tr>
      <w:tr w:rsidR="00CE3BAD" w:rsidRPr="00782BF9" w14:paraId="08AFD0CA" w14:textId="77777777">
        <w:trPr>
          <w:trHeight w:val="533"/>
          <w:tblHeader/>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1A561D83" w14:textId="77777777" w:rsidR="00CE3BAD" w:rsidRPr="00782BF9" w:rsidRDefault="00CE3BAD">
            <w:pPr>
              <w:spacing w:after="0" w:line="240" w:lineRule="auto"/>
              <w:rPr>
                <w:rFonts w:eastAsia="Times New Roman" w:cstheme="minorHAnsi"/>
                <w:b/>
                <w:noProof/>
                <w:sz w:val="18"/>
                <w:lang w:val="bg-BG"/>
              </w:rPr>
            </w:pPr>
          </w:p>
        </w:tc>
        <w:tc>
          <w:tcPr>
            <w:tcW w:w="1773" w:type="dxa"/>
            <w:vMerge/>
            <w:tcBorders>
              <w:left w:val="single" w:sz="4" w:space="0" w:color="auto"/>
              <w:right w:val="single" w:sz="4" w:space="0" w:color="auto"/>
            </w:tcBorders>
            <w:vAlign w:val="center"/>
            <w:hideMark/>
          </w:tcPr>
          <w:p w14:paraId="74B6F4D7" w14:textId="77777777" w:rsidR="00CE3BAD" w:rsidRPr="00782BF9" w:rsidRDefault="00CE3BAD">
            <w:pPr>
              <w:spacing w:after="0" w:line="240" w:lineRule="auto"/>
              <w:rPr>
                <w:rFonts w:eastAsia="Times New Roman" w:cstheme="minorHAnsi"/>
                <w:b/>
                <w:noProof/>
                <w:sz w:val="18"/>
                <w:lang w:val="bg-BG"/>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9DBDC89" w14:textId="77777777" w:rsidR="00CE3BAD" w:rsidRPr="00782BF9" w:rsidRDefault="00CE3BAD">
            <w:pPr>
              <w:spacing w:after="0" w:line="240" w:lineRule="auto"/>
              <w:rPr>
                <w:rFonts w:eastAsia="Times New Roman" w:cstheme="minorHAnsi"/>
                <w:b/>
                <w:noProof/>
                <w:sz w:val="18"/>
                <w:lang w:val="bg-BG"/>
              </w:rPr>
            </w:pPr>
          </w:p>
        </w:tc>
        <w:tc>
          <w:tcPr>
            <w:tcW w:w="1498" w:type="dxa"/>
            <w:vMerge/>
            <w:tcBorders>
              <w:left w:val="single" w:sz="4" w:space="0" w:color="auto"/>
              <w:right w:val="single" w:sz="4" w:space="0" w:color="auto"/>
            </w:tcBorders>
            <w:vAlign w:val="center"/>
            <w:hideMark/>
          </w:tcPr>
          <w:p w14:paraId="72A83421" w14:textId="77777777" w:rsidR="00CE3BAD" w:rsidRPr="00782BF9" w:rsidRDefault="00CE3BAD">
            <w:pPr>
              <w:spacing w:after="0" w:line="240" w:lineRule="auto"/>
              <w:rPr>
                <w:rFonts w:eastAsia="Times New Roman" w:cstheme="minorHAnsi"/>
                <w:b/>
                <w:noProof/>
                <w:sz w:val="18"/>
                <w:lang w:val="bg-BG"/>
              </w:rPr>
            </w:pPr>
          </w:p>
        </w:tc>
        <w:tc>
          <w:tcPr>
            <w:tcW w:w="1482" w:type="dxa"/>
            <w:vMerge/>
            <w:tcBorders>
              <w:top w:val="single" w:sz="4" w:space="0" w:color="auto"/>
              <w:left w:val="single" w:sz="4" w:space="0" w:color="auto"/>
              <w:bottom w:val="single" w:sz="4" w:space="0" w:color="auto"/>
            </w:tcBorders>
            <w:vAlign w:val="center"/>
            <w:hideMark/>
          </w:tcPr>
          <w:p w14:paraId="39E4D751" w14:textId="77777777" w:rsidR="00CE3BAD" w:rsidRPr="00782BF9" w:rsidRDefault="00CE3BAD">
            <w:pPr>
              <w:spacing w:after="0" w:line="240" w:lineRule="auto"/>
              <w:rPr>
                <w:rFonts w:eastAsia="Times New Roman" w:cstheme="minorHAnsi"/>
                <w:b/>
                <w:noProof/>
                <w:sz w:val="18"/>
                <w:lang w:val="bg-BG"/>
              </w:rPr>
            </w:pPr>
          </w:p>
        </w:tc>
        <w:tc>
          <w:tcPr>
            <w:tcW w:w="1019" w:type="dxa"/>
            <w:tcBorders>
              <w:top w:val="nil"/>
              <w:left w:val="single" w:sz="4" w:space="0" w:color="auto"/>
              <w:bottom w:val="single" w:sz="4" w:space="0" w:color="auto"/>
              <w:right w:val="single" w:sz="4" w:space="0" w:color="auto"/>
            </w:tcBorders>
            <w:shd w:val="clear" w:color="auto" w:fill="BDD7EE"/>
            <w:vAlign w:val="center"/>
            <w:hideMark/>
          </w:tcPr>
          <w:p w14:paraId="1B2505AF"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Единица мярка</w:t>
            </w:r>
          </w:p>
        </w:tc>
        <w:tc>
          <w:tcPr>
            <w:tcW w:w="1108" w:type="dxa"/>
            <w:tcBorders>
              <w:top w:val="nil"/>
              <w:left w:val="nil"/>
              <w:bottom w:val="single" w:sz="4" w:space="0" w:color="auto"/>
              <w:right w:val="single" w:sz="4" w:space="0" w:color="auto"/>
            </w:tcBorders>
            <w:shd w:val="clear" w:color="auto" w:fill="BDD7EE"/>
            <w:vAlign w:val="center"/>
            <w:hideMark/>
          </w:tcPr>
          <w:p w14:paraId="7657DA72"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 xml:space="preserve">Базова линия </w:t>
            </w:r>
          </w:p>
        </w:tc>
        <w:tc>
          <w:tcPr>
            <w:tcW w:w="1123" w:type="dxa"/>
            <w:tcBorders>
              <w:top w:val="nil"/>
              <w:left w:val="nil"/>
              <w:bottom w:val="single" w:sz="4" w:space="0" w:color="auto"/>
              <w:right w:val="single" w:sz="4" w:space="0" w:color="auto"/>
            </w:tcBorders>
            <w:shd w:val="clear" w:color="auto" w:fill="BDD7EE"/>
            <w:vAlign w:val="center"/>
            <w:hideMark/>
          </w:tcPr>
          <w:p w14:paraId="23643962"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 xml:space="preserve">Цел </w:t>
            </w:r>
          </w:p>
        </w:tc>
        <w:tc>
          <w:tcPr>
            <w:tcW w:w="806" w:type="dxa"/>
            <w:tcBorders>
              <w:top w:val="nil"/>
              <w:left w:val="nil"/>
              <w:bottom w:val="single" w:sz="4" w:space="0" w:color="auto"/>
              <w:right w:val="single" w:sz="4" w:space="0" w:color="auto"/>
            </w:tcBorders>
            <w:shd w:val="clear" w:color="auto" w:fill="BDD7EE"/>
            <w:vAlign w:val="center"/>
            <w:hideMark/>
          </w:tcPr>
          <w:p w14:paraId="56FA22B7"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Тримесечие</w:t>
            </w:r>
          </w:p>
        </w:tc>
        <w:tc>
          <w:tcPr>
            <w:tcW w:w="789" w:type="dxa"/>
            <w:tcBorders>
              <w:top w:val="nil"/>
              <w:left w:val="nil"/>
              <w:bottom w:val="single" w:sz="4" w:space="0" w:color="auto"/>
              <w:right w:val="single" w:sz="4" w:space="0" w:color="auto"/>
            </w:tcBorders>
            <w:shd w:val="clear" w:color="auto" w:fill="BDD7EE"/>
            <w:vAlign w:val="center"/>
            <w:hideMark/>
          </w:tcPr>
          <w:p w14:paraId="5512B692"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Година</w:t>
            </w:r>
          </w:p>
        </w:tc>
        <w:tc>
          <w:tcPr>
            <w:tcW w:w="4425" w:type="dxa"/>
            <w:vMerge/>
            <w:tcBorders>
              <w:top w:val="single" w:sz="4" w:space="0" w:color="auto"/>
              <w:bottom w:val="single" w:sz="4" w:space="0" w:color="auto"/>
              <w:right w:val="single" w:sz="4" w:space="0" w:color="auto"/>
            </w:tcBorders>
            <w:vAlign w:val="center"/>
            <w:hideMark/>
          </w:tcPr>
          <w:p w14:paraId="49F2F50D" w14:textId="77777777" w:rsidR="00CE3BAD" w:rsidRPr="00782BF9" w:rsidRDefault="00CE3BAD">
            <w:pPr>
              <w:spacing w:after="0" w:line="240" w:lineRule="auto"/>
              <w:rPr>
                <w:rFonts w:eastAsia="Times New Roman" w:cstheme="minorHAnsi"/>
                <w:b/>
                <w:noProof/>
                <w:sz w:val="18"/>
                <w:lang w:val="bg-BG"/>
              </w:rPr>
            </w:pPr>
          </w:p>
        </w:tc>
      </w:tr>
      <w:tr w:rsidR="00CE3BAD" w:rsidRPr="00782BF9" w14:paraId="1B833FCB" w14:textId="77777777">
        <w:trPr>
          <w:trHeight w:val="2315"/>
        </w:trPr>
        <w:tc>
          <w:tcPr>
            <w:tcW w:w="1013" w:type="dxa"/>
            <w:tcBorders>
              <w:top w:val="single" w:sz="4" w:space="0" w:color="auto"/>
              <w:left w:val="single" w:sz="4" w:space="0" w:color="auto"/>
              <w:bottom w:val="single" w:sz="4" w:space="0" w:color="auto"/>
              <w:right w:val="single" w:sz="4" w:space="0" w:color="auto"/>
            </w:tcBorders>
            <w:shd w:val="clear" w:color="auto" w:fill="C6EFCE"/>
            <w:vAlign w:val="center"/>
          </w:tcPr>
          <w:p w14:paraId="5BE9796C" w14:textId="40AD5AF5" w:rsidR="00CE3BAD" w:rsidRPr="00782BF9" w:rsidRDefault="006B5475">
            <w:pPr>
              <w:pStyle w:val="P68B1DB1-Normal10"/>
              <w:spacing w:after="0" w:line="240" w:lineRule="auto"/>
              <w:rPr>
                <w:rFonts w:eastAsia="Times New Roman"/>
                <w:noProof/>
                <w:lang w:val="bg-BG"/>
              </w:rPr>
            </w:pPr>
            <w:r w:rsidRPr="00782BF9">
              <w:rPr>
                <w:noProof/>
                <w:lang w:val="bg-BG"/>
              </w:rPr>
              <w:t>29</w:t>
            </w:r>
          </w:p>
        </w:tc>
        <w:tc>
          <w:tcPr>
            <w:tcW w:w="1773" w:type="dxa"/>
            <w:tcBorders>
              <w:top w:val="single" w:sz="4" w:space="0" w:color="auto"/>
              <w:left w:val="nil"/>
              <w:bottom w:val="single" w:sz="4" w:space="0" w:color="auto"/>
              <w:right w:val="single" w:sz="4" w:space="0" w:color="auto"/>
            </w:tcBorders>
            <w:shd w:val="clear" w:color="auto" w:fill="C6EFCE"/>
            <w:vAlign w:val="center"/>
          </w:tcPr>
          <w:p w14:paraId="26E40C3D" w14:textId="0615BB0E" w:rsidR="00CE3BAD" w:rsidRPr="00782BF9" w:rsidRDefault="006B5475">
            <w:pPr>
              <w:pStyle w:val="P68B1DB1-Normal10"/>
              <w:spacing w:after="0" w:line="240" w:lineRule="auto"/>
              <w:rPr>
                <w:rFonts w:eastAsia="Times New Roman"/>
                <w:noProof/>
                <w:lang w:val="bg-BG"/>
              </w:rPr>
            </w:pPr>
            <w:r w:rsidRPr="00782BF9">
              <w:rPr>
                <w:noProof/>
                <w:lang w:val="bg-BG"/>
              </w:rPr>
              <w:t>C2.R1 Модернизиране на курсовете за висше образование</w:t>
            </w:r>
          </w:p>
        </w:tc>
        <w:tc>
          <w:tcPr>
            <w:tcW w:w="1155" w:type="dxa"/>
            <w:tcBorders>
              <w:top w:val="single" w:sz="4" w:space="0" w:color="auto"/>
              <w:left w:val="nil"/>
              <w:bottom w:val="single" w:sz="4" w:space="0" w:color="auto"/>
              <w:right w:val="single" w:sz="4" w:space="0" w:color="auto"/>
            </w:tcBorders>
            <w:shd w:val="clear" w:color="auto" w:fill="C6EFCE"/>
            <w:vAlign w:val="center"/>
          </w:tcPr>
          <w:p w14:paraId="15B63822"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single" w:sz="4" w:space="0" w:color="auto"/>
              <w:left w:val="nil"/>
              <w:bottom w:val="single" w:sz="4" w:space="0" w:color="auto"/>
              <w:right w:val="single" w:sz="4" w:space="0" w:color="auto"/>
            </w:tcBorders>
            <w:shd w:val="clear" w:color="auto" w:fill="C6EFCE"/>
            <w:vAlign w:val="center"/>
          </w:tcPr>
          <w:p w14:paraId="0A943E21"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 модернизирани области на висшето образование</w:t>
            </w:r>
          </w:p>
        </w:tc>
        <w:tc>
          <w:tcPr>
            <w:tcW w:w="1482" w:type="dxa"/>
            <w:tcBorders>
              <w:top w:val="single" w:sz="4" w:space="0" w:color="auto"/>
              <w:left w:val="nil"/>
              <w:bottom w:val="single" w:sz="4" w:space="0" w:color="auto"/>
              <w:right w:val="single" w:sz="4" w:space="0" w:color="auto"/>
            </w:tcBorders>
            <w:shd w:val="clear" w:color="auto" w:fill="C6EFCE"/>
            <w:vAlign w:val="center"/>
          </w:tcPr>
          <w:p w14:paraId="7420404B" w14:textId="77777777" w:rsidR="00CE3BAD" w:rsidRPr="00782BF9" w:rsidRDefault="00CE3BAD">
            <w:pPr>
              <w:spacing w:after="0" w:line="240" w:lineRule="auto"/>
              <w:rPr>
                <w:rFonts w:eastAsia="Times New Roman"/>
                <w:noProof/>
                <w:sz w:val="18"/>
                <w:lang w:val="bg-BG"/>
              </w:rPr>
            </w:pPr>
          </w:p>
        </w:tc>
        <w:tc>
          <w:tcPr>
            <w:tcW w:w="1019" w:type="dxa"/>
            <w:tcBorders>
              <w:top w:val="single" w:sz="4" w:space="0" w:color="auto"/>
              <w:left w:val="nil"/>
              <w:bottom w:val="single" w:sz="4" w:space="0" w:color="auto"/>
              <w:right w:val="single" w:sz="4" w:space="0" w:color="auto"/>
            </w:tcBorders>
            <w:shd w:val="clear" w:color="auto" w:fill="C6EFCE"/>
            <w:vAlign w:val="center"/>
          </w:tcPr>
          <w:p w14:paraId="144F61F4"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108" w:type="dxa"/>
            <w:tcBorders>
              <w:top w:val="single" w:sz="4" w:space="0" w:color="auto"/>
              <w:left w:val="nil"/>
              <w:bottom w:val="single" w:sz="4" w:space="0" w:color="auto"/>
              <w:right w:val="single" w:sz="4" w:space="0" w:color="auto"/>
            </w:tcBorders>
            <w:shd w:val="clear" w:color="auto" w:fill="C6EFCE"/>
            <w:vAlign w:val="center"/>
          </w:tcPr>
          <w:p w14:paraId="446D85E9"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single" w:sz="4" w:space="0" w:color="auto"/>
              <w:left w:val="nil"/>
              <w:bottom w:val="single" w:sz="4" w:space="0" w:color="auto"/>
              <w:right w:val="single" w:sz="4" w:space="0" w:color="auto"/>
            </w:tcBorders>
            <w:shd w:val="clear" w:color="auto" w:fill="C6EFCE"/>
            <w:vAlign w:val="center"/>
          </w:tcPr>
          <w:p w14:paraId="38B7254B" w14:textId="77777777" w:rsidR="00CE3BAD" w:rsidRPr="00782BF9" w:rsidRDefault="006B5475">
            <w:pPr>
              <w:pStyle w:val="P68B1DB1-Normal10"/>
              <w:spacing w:after="0" w:line="240" w:lineRule="auto"/>
              <w:rPr>
                <w:rFonts w:eastAsia="Times New Roman"/>
                <w:noProof/>
                <w:lang w:val="bg-BG"/>
              </w:rPr>
            </w:pPr>
            <w:r w:rsidRPr="00782BF9">
              <w:rPr>
                <w:noProof/>
                <w:lang w:val="bg-BG"/>
              </w:rPr>
              <w:t>15</w:t>
            </w:r>
          </w:p>
        </w:tc>
        <w:tc>
          <w:tcPr>
            <w:tcW w:w="806" w:type="dxa"/>
            <w:tcBorders>
              <w:top w:val="single" w:sz="4" w:space="0" w:color="auto"/>
              <w:left w:val="nil"/>
              <w:bottom w:val="single" w:sz="4" w:space="0" w:color="auto"/>
              <w:right w:val="single" w:sz="4" w:space="0" w:color="auto"/>
            </w:tcBorders>
            <w:shd w:val="clear" w:color="auto" w:fill="C6EFCE"/>
            <w:vAlign w:val="center"/>
          </w:tcPr>
          <w:p w14:paraId="651E8C6E" w14:textId="77777777" w:rsidR="00CE3BAD" w:rsidRPr="00782BF9" w:rsidRDefault="006B5475">
            <w:pPr>
              <w:pStyle w:val="P68B1DB1-Normal10"/>
              <w:spacing w:after="0" w:line="240" w:lineRule="auto"/>
              <w:rPr>
                <w:rFonts w:eastAsia="Times New Roman"/>
                <w:noProof/>
                <w:lang w:val="bg-BG"/>
              </w:rPr>
            </w:pPr>
            <w:r w:rsidRPr="00782BF9">
              <w:rPr>
                <w:noProof/>
                <w:lang w:val="bg-BG"/>
              </w:rPr>
              <w:t>Т4 Г.</w:t>
            </w:r>
          </w:p>
        </w:tc>
        <w:tc>
          <w:tcPr>
            <w:tcW w:w="789" w:type="dxa"/>
            <w:tcBorders>
              <w:top w:val="single" w:sz="4" w:space="0" w:color="auto"/>
              <w:left w:val="nil"/>
              <w:bottom w:val="single" w:sz="4" w:space="0" w:color="auto"/>
              <w:right w:val="single" w:sz="4" w:space="0" w:color="auto"/>
            </w:tcBorders>
            <w:shd w:val="clear" w:color="auto" w:fill="C6EFCE"/>
            <w:vAlign w:val="center"/>
          </w:tcPr>
          <w:p w14:paraId="5FFE3E29"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425" w:type="dxa"/>
            <w:tcBorders>
              <w:top w:val="single" w:sz="4" w:space="0" w:color="auto"/>
              <w:left w:val="nil"/>
              <w:bottom w:val="single" w:sz="4" w:space="0" w:color="auto"/>
              <w:right w:val="single" w:sz="4" w:space="0" w:color="auto"/>
            </w:tcBorders>
            <w:shd w:val="clear" w:color="auto" w:fill="C6EFCE"/>
            <w:vAlign w:val="center"/>
          </w:tcPr>
          <w:p w14:paraId="37A3A1CE" w14:textId="6F509AA6" w:rsidR="00CE3BAD" w:rsidRPr="00782BF9" w:rsidRDefault="006B5475">
            <w:pPr>
              <w:pStyle w:val="P68B1DB1-Normal10"/>
              <w:spacing w:after="0" w:line="240" w:lineRule="auto"/>
              <w:rPr>
                <w:rFonts w:eastAsia="Times New Roman"/>
                <w:noProof/>
                <w:lang w:val="bg-BG"/>
              </w:rPr>
            </w:pPr>
            <w:r w:rsidRPr="00782BF9">
              <w:rPr>
                <w:noProof/>
                <w:lang w:val="bg-BG"/>
              </w:rPr>
              <w:t>Унгарският комитет по акредитация, Унгарската конференция на ректорите, Образователният орган и висшите учебни заведения модернизират 15-те области на висшето образование, като включват в учебната програма елементи, ориентирани в по-голяма степен към практиката, и преразглеждат съответните разпоредби, включително относно управлението на интелектуалната собственост, както и относно оперативните правила на изпитните центрове в Закона за професионалното обучение, относно определянето на изпълнението на изпитните задачи на изпитните центрове, относно обучението на учителите на работното място, относно цифровите обучения (електронно обучение, дистанционно и смесено обучение), обхващащи обучението за възрастни и образованието за възрастни.</w:t>
            </w:r>
          </w:p>
        </w:tc>
      </w:tr>
      <w:tr w:rsidR="00CE3BAD" w:rsidRPr="00782BF9" w14:paraId="3FA8449B" w14:textId="77777777">
        <w:trPr>
          <w:trHeight w:val="2315"/>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15330E10" w14:textId="5AC1124D" w:rsidR="00CE3BAD" w:rsidRPr="00782BF9" w:rsidRDefault="006B5475">
            <w:pPr>
              <w:pStyle w:val="P68B1DB1-Normal10"/>
              <w:spacing w:after="0" w:line="240" w:lineRule="auto"/>
              <w:rPr>
                <w:rFonts w:eastAsia="Times New Roman"/>
                <w:noProof/>
                <w:lang w:val="bg-BG"/>
              </w:rPr>
            </w:pPr>
            <w:r w:rsidRPr="00782BF9">
              <w:rPr>
                <w:noProof/>
                <w:lang w:val="bg-BG"/>
              </w:rPr>
              <w:t>30</w:t>
            </w:r>
          </w:p>
        </w:tc>
        <w:tc>
          <w:tcPr>
            <w:tcW w:w="1773" w:type="dxa"/>
            <w:tcBorders>
              <w:top w:val="nil"/>
              <w:left w:val="nil"/>
              <w:bottom w:val="single" w:sz="4" w:space="0" w:color="auto"/>
              <w:right w:val="single" w:sz="4" w:space="0" w:color="auto"/>
            </w:tcBorders>
            <w:shd w:val="clear" w:color="auto" w:fill="C6EFCE"/>
            <w:vAlign w:val="center"/>
            <w:hideMark/>
          </w:tcPr>
          <w:p w14:paraId="62AF41F2" w14:textId="4BD50EF8" w:rsidR="00CE3BAD" w:rsidRPr="00782BF9" w:rsidRDefault="006B5475">
            <w:pPr>
              <w:pStyle w:val="P68B1DB1-Normal10"/>
              <w:spacing w:after="0" w:line="240" w:lineRule="auto"/>
              <w:rPr>
                <w:rFonts w:eastAsia="Times New Roman"/>
                <w:noProof/>
                <w:lang w:val="bg-BG"/>
              </w:rPr>
            </w:pPr>
            <w:r w:rsidRPr="00782BF9">
              <w:rPr>
                <w:noProof/>
                <w:lang w:val="bg-BG"/>
              </w:rPr>
              <w:t xml:space="preserve">C2.I1 Институционални иновации и засилени дейности във висшето образование </w:t>
            </w:r>
          </w:p>
        </w:tc>
        <w:tc>
          <w:tcPr>
            <w:tcW w:w="1155" w:type="dxa"/>
            <w:tcBorders>
              <w:top w:val="nil"/>
              <w:left w:val="nil"/>
              <w:bottom w:val="single" w:sz="4" w:space="0" w:color="auto"/>
              <w:right w:val="single" w:sz="4" w:space="0" w:color="auto"/>
            </w:tcBorders>
            <w:shd w:val="clear" w:color="auto" w:fill="C6EFCE"/>
            <w:vAlign w:val="center"/>
            <w:hideMark/>
          </w:tcPr>
          <w:p w14:paraId="7881BB59"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498" w:type="dxa"/>
            <w:tcBorders>
              <w:top w:val="nil"/>
              <w:left w:val="nil"/>
              <w:bottom w:val="single" w:sz="4" w:space="0" w:color="auto"/>
              <w:right w:val="single" w:sz="4" w:space="0" w:color="auto"/>
            </w:tcBorders>
            <w:shd w:val="clear" w:color="auto" w:fill="C6EFCE"/>
            <w:vAlign w:val="center"/>
            <w:hideMark/>
          </w:tcPr>
          <w:p w14:paraId="23FD4EC1"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Отправяне на покана за подбор на университети, извършващи разработване на електронни учебни програми </w:t>
            </w:r>
          </w:p>
        </w:tc>
        <w:tc>
          <w:tcPr>
            <w:tcW w:w="1482" w:type="dxa"/>
            <w:tcBorders>
              <w:top w:val="nil"/>
              <w:left w:val="nil"/>
              <w:bottom w:val="single" w:sz="4" w:space="0" w:color="auto"/>
              <w:right w:val="single" w:sz="4" w:space="0" w:color="auto"/>
            </w:tcBorders>
            <w:shd w:val="clear" w:color="auto" w:fill="C6EFCE"/>
            <w:vAlign w:val="center"/>
            <w:hideMark/>
          </w:tcPr>
          <w:p w14:paraId="47C2FAAF" w14:textId="77777777" w:rsidR="00CE3BAD" w:rsidRPr="00782BF9" w:rsidRDefault="006B5475">
            <w:pPr>
              <w:pStyle w:val="P68B1DB1-Normal10"/>
              <w:spacing w:after="0" w:line="240" w:lineRule="auto"/>
              <w:rPr>
                <w:rFonts w:eastAsia="Times New Roman"/>
                <w:noProof/>
                <w:lang w:val="bg-BG"/>
              </w:rPr>
            </w:pPr>
            <w:r w:rsidRPr="00782BF9">
              <w:rPr>
                <w:noProof/>
                <w:lang w:val="bg-BG"/>
              </w:rPr>
              <w:t>Публикуване на поканата от националния орган за плана за възстановяване и устойчивост</w:t>
            </w:r>
          </w:p>
        </w:tc>
        <w:tc>
          <w:tcPr>
            <w:tcW w:w="1019" w:type="dxa"/>
            <w:tcBorders>
              <w:top w:val="nil"/>
              <w:left w:val="nil"/>
              <w:bottom w:val="single" w:sz="4" w:space="0" w:color="auto"/>
              <w:right w:val="single" w:sz="4" w:space="0" w:color="auto"/>
            </w:tcBorders>
            <w:shd w:val="clear" w:color="auto" w:fill="C6EFCE"/>
            <w:vAlign w:val="center"/>
            <w:hideMark/>
          </w:tcPr>
          <w:p w14:paraId="1E17EABC"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108" w:type="dxa"/>
            <w:tcBorders>
              <w:top w:val="nil"/>
              <w:left w:val="nil"/>
              <w:bottom w:val="single" w:sz="4" w:space="0" w:color="auto"/>
              <w:right w:val="single" w:sz="4" w:space="0" w:color="auto"/>
            </w:tcBorders>
            <w:shd w:val="clear" w:color="auto" w:fill="C6EFCE"/>
            <w:vAlign w:val="center"/>
            <w:hideMark/>
          </w:tcPr>
          <w:p w14:paraId="1694FC00"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123" w:type="dxa"/>
            <w:tcBorders>
              <w:top w:val="nil"/>
              <w:left w:val="nil"/>
              <w:bottom w:val="single" w:sz="4" w:space="0" w:color="auto"/>
              <w:right w:val="single" w:sz="4" w:space="0" w:color="auto"/>
            </w:tcBorders>
            <w:shd w:val="clear" w:color="auto" w:fill="C6EFCE"/>
            <w:vAlign w:val="center"/>
            <w:hideMark/>
          </w:tcPr>
          <w:p w14:paraId="6C944D56"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806" w:type="dxa"/>
            <w:tcBorders>
              <w:top w:val="nil"/>
              <w:left w:val="nil"/>
              <w:bottom w:val="single" w:sz="4" w:space="0" w:color="auto"/>
              <w:right w:val="single" w:sz="4" w:space="0" w:color="auto"/>
            </w:tcBorders>
            <w:shd w:val="clear" w:color="auto" w:fill="C6EFCE"/>
            <w:vAlign w:val="center"/>
            <w:hideMark/>
          </w:tcPr>
          <w:p w14:paraId="1067C512"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hideMark/>
          </w:tcPr>
          <w:p w14:paraId="77FFFB82"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425" w:type="dxa"/>
            <w:tcBorders>
              <w:top w:val="nil"/>
              <w:left w:val="nil"/>
              <w:bottom w:val="single" w:sz="4" w:space="0" w:color="auto"/>
              <w:right w:val="single" w:sz="4" w:space="0" w:color="auto"/>
            </w:tcBorders>
            <w:shd w:val="clear" w:color="auto" w:fill="C6EFCE"/>
            <w:vAlign w:val="center"/>
            <w:hideMark/>
          </w:tcPr>
          <w:p w14:paraId="32609E5E" w14:textId="76F5D2B0" w:rsidR="00CE3BAD" w:rsidRPr="00782BF9" w:rsidRDefault="006B5475">
            <w:pPr>
              <w:pStyle w:val="P68B1DB1-Normal10"/>
              <w:spacing w:after="0" w:line="240" w:lineRule="auto"/>
              <w:rPr>
                <w:rFonts w:eastAsia="Times New Roman"/>
                <w:noProof/>
                <w:lang w:val="bg-BG"/>
              </w:rPr>
            </w:pPr>
            <w:r w:rsidRPr="00782BF9">
              <w:rPr>
                <w:noProof/>
                <w:lang w:val="bg-BG"/>
              </w:rPr>
              <w:t>Отправя се покана за представяне на предложения за разработване на затворена система за дистанционно обучение и система за управление на обучението и обучение за възрастни във висшето образование (микроквалификации, предоставящи кредити по Европейската система за трансфер и натрупване на кредити (ECTS)). Изискванията в документацията на поканата гарантират недискриминация между унгарските висши учебни заведения, включително въз основа на тяхната структура на собственост. В списъка на потенциалните микроквалификации се вземат предвид нуждите на икономиката. Микроквалификациите се разработват в съответствие с определението и европейските стандартни елементи за описание на микроквалификациите, както е посочено в Препоръката на Съвета от 25 май 2022 г. относно европейски подход към микроудостоверенията с цел осигуряване на възможности за учене през целия живот и пригодност за заетост.</w:t>
            </w:r>
          </w:p>
        </w:tc>
      </w:tr>
      <w:tr w:rsidR="00CE3BAD" w:rsidRPr="00782BF9" w14:paraId="78D7B3C1" w14:textId="77777777">
        <w:trPr>
          <w:trHeight w:val="850"/>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355CBA96" w14:textId="507D10CC" w:rsidR="00CE3BAD" w:rsidRPr="00782BF9" w:rsidRDefault="006B5475">
            <w:pPr>
              <w:pStyle w:val="P68B1DB1-Normal10"/>
              <w:spacing w:after="0" w:line="240" w:lineRule="auto"/>
              <w:rPr>
                <w:rFonts w:eastAsia="Times New Roman"/>
                <w:noProof/>
                <w:lang w:val="bg-BG"/>
              </w:rPr>
            </w:pPr>
            <w:r w:rsidRPr="00782BF9">
              <w:rPr>
                <w:noProof/>
                <w:lang w:val="bg-BG"/>
              </w:rPr>
              <w:t>31</w:t>
            </w:r>
          </w:p>
        </w:tc>
        <w:tc>
          <w:tcPr>
            <w:tcW w:w="1773" w:type="dxa"/>
            <w:tcBorders>
              <w:top w:val="single" w:sz="4" w:space="0" w:color="auto"/>
              <w:left w:val="nil"/>
              <w:bottom w:val="single" w:sz="4" w:space="0" w:color="auto"/>
              <w:right w:val="single" w:sz="4" w:space="0" w:color="auto"/>
            </w:tcBorders>
            <w:shd w:val="clear" w:color="auto" w:fill="C6EFCE"/>
            <w:vAlign w:val="center"/>
            <w:hideMark/>
          </w:tcPr>
          <w:p w14:paraId="416EE2E2" w14:textId="741D1C18" w:rsidR="00CE3BAD" w:rsidRPr="00782BF9" w:rsidRDefault="006B5475">
            <w:pPr>
              <w:pStyle w:val="P68B1DB1-Normal10"/>
              <w:spacing w:after="0" w:line="240" w:lineRule="auto"/>
              <w:rPr>
                <w:rFonts w:eastAsia="Times New Roman"/>
                <w:noProof/>
                <w:lang w:val="bg-BG"/>
              </w:rPr>
            </w:pPr>
            <w:r w:rsidRPr="00782BF9">
              <w:rPr>
                <w:noProof/>
                <w:lang w:val="bg-BG"/>
              </w:rPr>
              <w:t xml:space="preserve">C2.I1 Институционални иновации и засилени дейности във висшето образование </w:t>
            </w:r>
          </w:p>
        </w:tc>
        <w:tc>
          <w:tcPr>
            <w:tcW w:w="1155" w:type="dxa"/>
            <w:tcBorders>
              <w:top w:val="nil"/>
              <w:left w:val="nil"/>
              <w:bottom w:val="single" w:sz="4" w:space="0" w:color="auto"/>
              <w:right w:val="single" w:sz="4" w:space="0" w:color="auto"/>
            </w:tcBorders>
            <w:shd w:val="clear" w:color="auto" w:fill="C6EFCE"/>
            <w:vAlign w:val="center"/>
            <w:hideMark/>
          </w:tcPr>
          <w:p w14:paraId="5602E280"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single" w:sz="4" w:space="0" w:color="auto"/>
              <w:left w:val="nil"/>
              <w:bottom w:val="single" w:sz="4" w:space="0" w:color="auto"/>
              <w:right w:val="single" w:sz="4" w:space="0" w:color="auto"/>
            </w:tcBorders>
            <w:shd w:val="clear" w:color="auto" w:fill="C6EFCE"/>
            <w:vAlign w:val="center"/>
            <w:hideMark/>
          </w:tcPr>
          <w:p w14:paraId="47B81FA4"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Брой курсове, предлагащи микроквалификации с цифрово съдържание </w:t>
            </w:r>
          </w:p>
        </w:tc>
        <w:tc>
          <w:tcPr>
            <w:tcW w:w="1482" w:type="dxa"/>
            <w:tcBorders>
              <w:top w:val="nil"/>
              <w:left w:val="nil"/>
              <w:bottom w:val="single" w:sz="4" w:space="0" w:color="auto"/>
              <w:right w:val="single" w:sz="4" w:space="0" w:color="auto"/>
            </w:tcBorders>
            <w:shd w:val="clear" w:color="auto" w:fill="C6EFCE"/>
            <w:vAlign w:val="center"/>
            <w:hideMark/>
          </w:tcPr>
          <w:p w14:paraId="7DA2B9EE"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019" w:type="dxa"/>
            <w:tcBorders>
              <w:top w:val="nil"/>
              <w:left w:val="nil"/>
              <w:bottom w:val="single" w:sz="4" w:space="0" w:color="auto"/>
              <w:right w:val="single" w:sz="4" w:space="0" w:color="auto"/>
            </w:tcBorders>
            <w:shd w:val="clear" w:color="auto" w:fill="C6EFCE"/>
            <w:vAlign w:val="center"/>
            <w:hideMark/>
          </w:tcPr>
          <w:p w14:paraId="66C3DA1E"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108" w:type="dxa"/>
            <w:tcBorders>
              <w:top w:val="nil"/>
              <w:left w:val="nil"/>
              <w:bottom w:val="single" w:sz="4" w:space="0" w:color="auto"/>
              <w:right w:val="single" w:sz="4" w:space="0" w:color="auto"/>
            </w:tcBorders>
            <w:shd w:val="clear" w:color="auto" w:fill="C6EFCE"/>
            <w:vAlign w:val="center"/>
            <w:hideMark/>
          </w:tcPr>
          <w:p w14:paraId="02939814"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nil"/>
              <w:left w:val="nil"/>
              <w:bottom w:val="single" w:sz="4" w:space="0" w:color="auto"/>
              <w:right w:val="single" w:sz="4" w:space="0" w:color="auto"/>
            </w:tcBorders>
            <w:shd w:val="clear" w:color="auto" w:fill="C6EFCE"/>
            <w:vAlign w:val="center"/>
            <w:hideMark/>
          </w:tcPr>
          <w:p w14:paraId="733DEF4F" w14:textId="77777777" w:rsidR="00CE3BAD" w:rsidRPr="00782BF9" w:rsidRDefault="006B5475">
            <w:pPr>
              <w:pStyle w:val="P68B1DB1-Normal10"/>
              <w:spacing w:after="0" w:line="240" w:lineRule="auto"/>
              <w:rPr>
                <w:rFonts w:eastAsia="Times New Roman"/>
                <w:noProof/>
                <w:lang w:val="bg-BG"/>
              </w:rPr>
            </w:pPr>
            <w:r w:rsidRPr="00782BF9">
              <w:rPr>
                <w:noProof/>
                <w:lang w:val="bg-BG"/>
              </w:rPr>
              <w:t>19</w:t>
            </w:r>
          </w:p>
        </w:tc>
        <w:tc>
          <w:tcPr>
            <w:tcW w:w="806" w:type="dxa"/>
            <w:tcBorders>
              <w:top w:val="nil"/>
              <w:left w:val="nil"/>
              <w:bottom w:val="single" w:sz="4" w:space="0" w:color="auto"/>
              <w:right w:val="single" w:sz="4" w:space="0" w:color="auto"/>
            </w:tcBorders>
            <w:shd w:val="clear" w:color="auto" w:fill="C6EFCE"/>
            <w:vAlign w:val="center"/>
            <w:hideMark/>
          </w:tcPr>
          <w:p w14:paraId="2A12A4CF" w14:textId="77777777" w:rsidR="00CE3BAD" w:rsidRPr="00782BF9" w:rsidRDefault="006B5475">
            <w:pPr>
              <w:pStyle w:val="P68B1DB1-Normal10"/>
              <w:spacing w:after="0" w:line="240" w:lineRule="auto"/>
              <w:rPr>
                <w:rFonts w:eastAsia="Times New Roman"/>
                <w:noProof/>
                <w:lang w:val="bg-BG"/>
              </w:rPr>
            </w:pPr>
            <w:r w:rsidRPr="00782BF9">
              <w:rPr>
                <w:noProof/>
                <w:lang w:val="bg-BG"/>
              </w:rPr>
              <w:t>Т4 Г.</w:t>
            </w:r>
          </w:p>
        </w:tc>
        <w:tc>
          <w:tcPr>
            <w:tcW w:w="789" w:type="dxa"/>
            <w:tcBorders>
              <w:top w:val="nil"/>
              <w:left w:val="nil"/>
              <w:bottom w:val="single" w:sz="4" w:space="0" w:color="auto"/>
              <w:right w:val="single" w:sz="4" w:space="0" w:color="auto"/>
            </w:tcBorders>
            <w:shd w:val="clear" w:color="auto" w:fill="C6EFCE"/>
            <w:vAlign w:val="center"/>
            <w:hideMark/>
          </w:tcPr>
          <w:p w14:paraId="28497464" w14:textId="77777777" w:rsidR="00CE3BAD" w:rsidRPr="00782BF9" w:rsidRDefault="006B5475">
            <w:pPr>
              <w:pStyle w:val="P68B1DB1-Normal10"/>
              <w:spacing w:after="0" w:line="240" w:lineRule="auto"/>
              <w:rPr>
                <w:rFonts w:eastAsia="Times New Roman"/>
                <w:noProof/>
                <w:lang w:val="bg-BG"/>
              </w:rPr>
            </w:pPr>
            <w:r w:rsidRPr="00782BF9">
              <w:rPr>
                <w:noProof/>
                <w:lang w:val="bg-BG"/>
              </w:rPr>
              <w:t>2024</w:t>
            </w:r>
          </w:p>
        </w:tc>
        <w:tc>
          <w:tcPr>
            <w:tcW w:w="4425" w:type="dxa"/>
            <w:tcBorders>
              <w:top w:val="nil"/>
              <w:left w:val="nil"/>
              <w:bottom w:val="single" w:sz="4" w:space="0" w:color="auto"/>
              <w:right w:val="single" w:sz="4" w:space="0" w:color="auto"/>
            </w:tcBorders>
            <w:shd w:val="clear" w:color="auto" w:fill="C6EFCE"/>
            <w:vAlign w:val="center"/>
            <w:hideMark/>
          </w:tcPr>
          <w:p w14:paraId="2502D5FB" w14:textId="7B69518F" w:rsidR="00CE3BAD" w:rsidRPr="00782BF9" w:rsidRDefault="006B5475">
            <w:pPr>
              <w:pStyle w:val="P68B1DB1-Normal10"/>
              <w:spacing w:after="0" w:line="240" w:lineRule="auto"/>
              <w:rPr>
                <w:rFonts w:eastAsia="Times New Roman"/>
                <w:noProof/>
                <w:lang w:val="bg-BG"/>
              </w:rPr>
            </w:pPr>
            <w:r w:rsidRPr="00782BF9">
              <w:rPr>
                <w:noProof/>
                <w:lang w:val="bg-BG"/>
              </w:rPr>
              <w:t>След поканата, посочена в етап 30, институциите за висше образование разработват цифрови учебни материали за поне 19 кредитни курса, предлагащи микроквалификации с кредити по ECTS. Микроквалификациите се разработват в съответствие с определението и европейските стандартни елементи за описание на микроквалификациите, както е посочено в Препоръката на Съвета от 25 май 2022 г. относно европейски подход към микроудостоверенията с цел осигуряване на възможности за учене през целия живот и пригодност за заетост.</w:t>
            </w:r>
          </w:p>
        </w:tc>
      </w:tr>
      <w:tr w:rsidR="00CE3BAD" w:rsidRPr="00782BF9" w14:paraId="35AC42BE"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0617EE73" w14:textId="74C9CACB" w:rsidR="00CE3BAD" w:rsidRPr="00782BF9" w:rsidRDefault="006B5475">
            <w:pPr>
              <w:pStyle w:val="P68B1DB1-Normal10"/>
              <w:spacing w:after="0" w:line="240" w:lineRule="auto"/>
              <w:rPr>
                <w:rFonts w:eastAsia="Times New Roman"/>
                <w:noProof/>
                <w:lang w:val="bg-BG"/>
              </w:rPr>
            </w:pPr>
            <w:r w:rsidRPr="00782BF9">
              <w:rPr>
                <w:noProof/>
                <w:lang w:val="bg-BG"/>
              </w:rPr>
              <w:t>32</w:t>
            </w:r>
          </w:p>
        </w:tc>
        <w:tc>
          <w:tcPr>
            <w:tcW w:w="1773" w:type="dxa"/>
            <w:tcBorders>
              <w:top w:val="single" w:sz="4" w:space="0" w:color="auto"/>
              <w:left w:val="nil"/>
              <w:bottom w:val="single" w:sz="4" w:space="0" w:color="auto"/>
              <w:right w:val="single" w:sz="4" w:space="0" w:color="auto"/>
            </w:tcBorders>
            <w:shd w:val="clear" w:color="auto" w:fill="C6EFCE"/>
            <w:vAlign w:val="center"/>
            <w:hideMark/>
          </w:tcPr>
          <w:p w14:paraId="5F2364A7" w14:textId="46F53036" w:rsidR="00CE3BAD" w:rsidRPr="00782BF9" w:rsidRDefault="006B5475">
            <w:pPr>
              <w:pStyle w:val="P68B1DB1-Normal10"/>
              <w:spacing w:after="0" w:line="240" w:lineRule="auto"/>
              <w:rPr>
                <w:rFonts w:eastAsia="Times New Roman"/>
                <w:noProof/>
                <w:lang w:val="bg-BG"/>
              </w:rPr>
            </w:pPr>
            <w:r w:rsidRPr="00782BF9">
              <w:rPr>
                <w:noProof/>
                <w:lang w:val="bg-BG"/>
              </w:rPr>
              <w:t xml:space="preserve">C2.I1 Институционални иновации и засилени дейности във висшето образование </w:t>
            </w:r>
          </w:p>
        </w:tc>
        <w:tc>
          <w:tcPr>
            <w:tcW w:w="1155" w:type="dxa"/>
            <w:tcBorders>
              <w:top w:val="nil"/>
              <w:left w:val="nil"/>
              <w:bottom w:val="single" w:sz="4" w:space="0" w:color="auto"/>
              <w:right w:val="single" w:sz="4" w:space="0" w:color="auto"/>
            </w:tcBorders>
            <w:shd w:val="clear" w:color="auto" w:fill="C6EFCE"/>
            <w:vAlign w:val="center"/>
            <w:hideMark/>
          </w:tcPr>
          <w:p w14:paraId="6BD94151"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498" w:type="dxa"/>
            <w:tcBorders>
              <w:top w:val="single" w:sz="4" w:space="0" w:color="auto"/>
              <w:left w:val="nil"/>
              <w:bottom w:val="single" w:sz="4" w:space="0" w:color="auto"/>
              <w:right w:val="single" w:sz="4" w:space="0" w:color="auto"/>
            </w:tcBorders>
            <w:shd w:val="clear" w:color="auto" w:fill="C6EFCE"/>
            <w:vAlign w:val="center"/>
            <w:hideMark/>
          </w:tcPr>
          <w:p w14:paraId="08ABBACA"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 студенти/лица, получили удостоверение за микроквалификации във висши учебни заведения</w:t>
            </w:r>
          </w:p>
        </w:tc>
        <w:tc>
          <w:tcPr>
            <w:tcW w:w="1482" w:type="dxa"/>
            <w:tcBorders>
              <w:top w:val="nil"/>
              <w:left w:val="nil"/>
              <w:bottom w:val="single" w:sz="4" w:space="0" w:color="auto"/>
              <w:right w:val="single" w:sz="4" w:space="0" w:color="auto"/>
            </w:tcBorders>
            <w:shd w:val="clear" w:color="auto" w:fill="C6EFCE"/>
            <w:vAlign w:val="center"/>
            <w:hideMark/>
          </w:tcPr>
          <w:p w14:paraId="3F297C53"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019" w:type="dxa"/>
            <w:tcBorders>
              <w:top w:val="nil"/>
              <w:left w:val="nil"/>
              <w:bottom w:val="single" w:sz="4" w:space="0" w:color="auto"/>
              <w:right w:val="single" w:sz="4" w:space="0" w:color="auto"/>
            </w:tcBorders>
            <w:shd w:val="clear" w:color="auto" w:fill="C6EFCE"/>
            <w:vAlign w:val="center"/>
            <w:hideMark/>
          </w:tcPr>
          <w:p w14:paraId="359344AF"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108" w:type="dxa"/>
            <w:tcBorders>
              <w:top w:val="nil"/>
              <w:left w:val="nil"/>
              <w:bottom w:val="single" w:sz="4" w:space="0" w:color="auto"/>
              <w:right w:val="single" w:sz="4" w:space="0" w:color="auto"/>
            </w:tcBorders>
            <w:shd w:val="clear" w:color="auto" w:fill="C6EFCE"/>
            <w:vAlign w:val="center"/>
            <w:hideMark/>
          </w:tcPr>
          <w:p w14:paraId="6DBEC0D1" w14:textId="5869E499"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nil"/>
              <w:left w:val="nil"/>
              <w:bottom w:val="single" w:sz="4" w:space="0" w:color="auto"/>
              <w:right w:val="single" w:sz="4" w:space="0" w:color="auto"/>
            </w:tcBorders>
            <w:shd w:val="clear" w:color="auto" w:fill="C6EFCE"/>
            <w:vAlign w:val="center"/>
            <w:hideMark/>
          </w:tcPr>
          <w:p w14:paraId="49F80A8F" w14:textId="77777777" w:rsidR="00CE3BAD" w:rsidRPr="00782BF9" w:rsidRDefault="006B5475">
            <w:pPr>
              <w:pStyle w:val="P68B1DB1-Normal10"/>
              <w:spacing w:after="0" w:line="240" w:lineRule="auto"/>
              <w:rPr>
                <w:rFonts w:eastAsia="Times New Roman"/>
                <w:noProof/>
                <w:lang w:val="bg-BG"/>
              </w:rPr>
            </w:pPr>
            <w:r w:rsidRPr="00782BF9">
              <w:rPr>
                <w:noProof/>
                <w:lang w:val="bg-BG"/>
              </w:rPr>
              <w:t>600</w:t>
            </w:r>
          </w:p>
        </w:tc>
        <w:tc>
          <w:tcPr>
            <w:tcW w:w="806" w:type="dxa"/>
            <w:tcBorders>
              <w:top w:val="nil"/>
              <w:left w:val="nil"/>
              <w:bottom w:val="single" w:sz="4" w:space="0" w:color="auto"/>
              <w:right w:val="single" w:sz="4" w:space="0" w:color="auto"/>
            </w:tcBorders>
            <w:shd w:val="clear" w:color="auto" w:fill="C6EFCE"/>
            <w:vAlign w:val="center"/>
            <w:hideMark/>
          </w:tcPr>
          <w:p w14:paraId="4BB9FADF"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hideMark/>
          </w:tcPr>
          <w:p w14:paraId="38DA1E92"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hideMark/>
          </w:tcPr>
          <w:p w14:paraId="28EA0AC7" w14:textId="74B7D8A8" w:rsidR="00CE3BAD" w:rsidRPr="00782BF9" w:rsidRDefault="006B5475">
            <w:pPr>
              <w:pStyle w:val="P68B1DB1-CommentText13"/>
              <w:spacing w:before="0" w:after="0"/>
              <w:rPr>
                <w:rFonts w:eastAsia="Calibri"/>
                <w:noProof/>
                <w:lang w:val="bg-BG"/>
              </w:rPr>
            </w:pPr>
            <w:r w:rsidRPr="00782BF9">
              <w:rPr>
                <w:noProof/>
                <w:lang w:val="bg-BG"/>
              </w:rPr>
              <w:t>Най-малко 600 студенти/лица, участващи в дейности по обучение за възрастни в участващите висши учебни заведения, придобиват микроквалификации с кредити по Европейската система за трансфер и натрупване на кредити (ECTS).</w:t>
            </w:r>
          </w:p>
        </w:tc>
      </w:tr>
      <w:tr w:rsidR="00CE3BAD" w:rsidRPr="00782BF9" w14:paraId="046DB068" w14:textId="77777777">
        <w:trPr>
          <w:trHeight w:val="992"/>
        </w:trPr>
        <w:tc>
          <w:tcPr>
            <w:tcW w:w="1013" w:type="dxa"/>
            <w:tcBorders>
              <w:top w:val="nil"/>
              <w:left w:val="single" w:sz="4" w:space="0" w:color="auto"/>
              <w:bottom w:val="single" w:sz="4" w:space="0" w:color="auto"/>
              <w:right w:val="single" w:sz="4" w:space="0" w:color="auto"/>
            </w:tcBorders>
            <w:shd w:val="clear" w:color="auto" w:fill="C6EFCE"/>
            <w:vAlign w:val="center"/>
          </w:tcPr>
          <w:p w14:paraId="2C8953AF" w14:textId="6633D48E" w:rsidR="00CE3BAD" w:rsidRPr="00782BF9" w:rsidRDefault="006B5475">
            <w:pPr>
              <w:pStyle w:val="P68B1DB1-Normal10"/>
              <w:spacing w:after="0" w:line="240" w:lineRule="auto"/>
              <w:rPr>
                <w:rFonts w:eastAsia="Times New Roman"/>
                <w:noProof/>
                <w:lang w:val="bg-BG"/>
              </w:rPr>
            </w:pPr>
            <w:r w:rsidRPr="00782BF9">
              <w:rPr>
                <w:noProof/>
                <w:lang w:val="bg-BG"/>
              </w:rPr>
              <w:t>33</w:t>
            </w:r>
          </w:p>
        </w:tc>
        <w:tc>
          <w:tcPr>
            <w:tcW w:w="1773" w:type="dxa"/>
            <w:tcBorders>
              <w:top w:val="nil"/>
              <w:left w:val="nil"/>
              <w:bottom w:val="single" w:sz="4" w:space="0" w:color="auto"/>
              <w:right w:val="single" w:sz="4" w:space="0" w:color="auto"/>
            </w:tcBorders>
            <w:shd w:val="clear" w:color="auto" w:fill="C6EFCE"/>
            <w:vAlign w:val="center"/>
          </w:tcPr>
          <w:p w14:paraId="2B5C2031" w14:textId="1A9A707C" w:rsidR="00CE3BAD" w:rsidRPr="00782BF9" w:rsidRDefault="006B5475">
            <w:pPr>
              <w:pStyle w:val="P68B1DB1-Normal10"/>
              <w:spacing w:after="0" w:line="240" w:lineRule="auto"/>
              <w:rPr>
                <w:rFonts w:eastAsia="Times New Roman"/>
                <w:noProof/>
                <w:lang w:val="bg-BG"/>
              </w:rPr>
            </w:pPr>
            <w:r w:rsidRPr="00782BF9">
              <w:rPr>
                <w:noProof/>
                <w:lang w:val="bg-BG"/>
              </w:rPr>
              <w:t xml:space="preserve">C2.I1 Институционални иновации и засилени дейности във висшето образование </w:t>
            </w:r>
          </w:p>
        </w:tc>
        <w:tc>
          <w:tcPr>
            <w:tcW w:w="1155" w:type="dxa"/>
            <w:tcBorders>
              <w:top w:val="nil"/>
              <w:left w:val="nil"/>
              <w:bottom w:val="single" w:sz="4" w:space="0" w:color="auto"/>
              <w:right w:val="single" w:sz="4" w:space="0" w:color="auto"/>
            </w:tcBorders>
            <w:shd w:val="clear" w:color="auto" w:fill="C6EFCE"/>
            <w:vAlign w:val="center"/>
          </w:tcPr>
          <w:p w14:paraId="084BB373"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nil"/>
              <w:left w:val="nil"/>
              <w:bottom w:val="single" w:sz="4" w:space="0" w:color="auto"/>
              <w:right w:val="single" w:sz="4" w:space="0" w:color="auto"/>
            </w:tcBorders>
            <w:shd w:val="clear" w:color="auto" w:fill="C6EFCE"/>
            <w:vAlign w:val="center"/>
          </w:tcPr>
          <w:p w14:paraId="5B2FE65E" w14:textId="77777777" w:rsidR="00CE3BAD" w:rsidRPr="00782BF9" w:rsidRDefault="006B5475">
            <w:pPr>
              <w:pStyle w:val="P68B1DB1-CommentText13"/>
              <w:spacing w:before="0" w:after="0"/>
              <w:jc w:val="left"/>
              <w:rPr>
                <w:rFonts w:eastAsia="Times New Roman" w:cstheme="minorBidi"/>
                <w:noProof/>
                <w:lang w:val="bg-BG"/>
              </w:rPr>
            </w:pPr>
            <w:r w:rsidRPr="00782BF9">
              <w:rPr>
                <w:noProof/>
                <w:lang w:val="bg-BG"/>
              </w:rPr>
              <w:t>Брой на разработеното цифрово учебно съдържание за висшето образование</w:t>
            </w:r>
          </w:p>
          <w:p w14:paraId="57A588B3" w14:textId="77777777" w:rsidR="00CE3BAD" w:rsidRPr="00782BF9" w:rsidRDefault="00CE3BAD">
            <w:pPr>
              <w:spacing w:after="0" w:line="240" w:lineRule="auto"/>
              <w:rPr>
                <w:rFonts w:eastAsia="Times New Roman" w:cstheme="minorHAnsi"/>
                <w:noProof/>
                <w:sz w:val="18"/>
                <w:lang w:val="bg-BG"/>
              </w:rPr>
            </w:pPr>
          </w:p>
        </w:tc>
        <w:tc>
          <w:tcPr>
            <w:tcW w:w="1482" w:type="dxa"/>
            <w:tcBorders>
              <w:top w:val="nil"/>
              <w:left w:val="nil"/>
              <w:bottom w:val="single" w:sz="4" w:space="0" w:color="auto"/>
              <w:right w:val="single" w:sz="4" w:space="0" w:color="auto"/>
            </w:tcBorders>
            <w:shd w:val="clear" w:color="auto" w:fill="C6EFCE"/>
            <w:vAlign w:val="center"/>
          </w:tcPr>
          <w:p w14:paraId="047A3218" w14:textId="77777777" w:rsidR="00CE3BAD" w:rsidRPr="00782BF9" w:rsidRDefault="00CE3BAD">
            <w:pPr>
              <w:spacing w:after="0" w:line="240" w:lineRule="auto"/>
              <w:rPr>
                <w:rFonts w:eastAsia="Times New Roman" w:cstheme="minorHAnsi"/>
                <w:noProof/>
                <w:sz w:val="18"/>
                <w:lang w:val="bg-BG"/>
              </w:rPr>
            </w:pPr>
          </w:p>
        </w:tc>
        <w:tc>
          <w:tcPr>
            <w:tcW w:w="1019" w:type="dxa"/>
            <w:tcBorders>
              <w:top w:val="nil"/>
              <w:left w:val="nil"/>
              <w:bottom w:val="single" w:sz="4" w:space="0" w:color="auto"/>
              <w:right w:val="single" w:sz="4" w:space="0" w:color="auto"/>
            </w:tcBorders>
            <w:shd w:val="clear" w:color="auto" w:fill="C6EFCE"/>
            <w:vAlign w:val="center"/>
          </w:tcPr>
          <w:p w14:paraId="5EE067E2"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108" w:type="dxa"/>
            <w:tcBorders>
              <w:top w:val="nil"/>
              <w:left w:val="nil"/>
              <w:bottom w:val="single" w:sz="4" w:space="0" w:color="auto"/>
              <w:right w:val="single" w:sz="4" w:space="0" w:color="auto"/>
            </w:tcBorders>
            <w:shd w:val="clear" w:color="auto" w:fill="C6EFCE"/>
            <w:vAlign w:val="center"/>
          </w:tcPr>
          <w:p w14:paraId="61FE2689"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nil"/>
              <w:left w:val="nil"/>
              <w:bottom w:val="single" w:sz="4" w:space="0" w:color="auto"/>
              <w:right w:val="single" w:sz="4" w:space="0" w:color="auto"/>
            </w:tcBorders>
            <w:shd w:val="clear" w:color="auto" w:fill="C6EFCE"/>
            <w:vAlign w:val="center"/>
          </w:tcPr>
          <w:p w14:paraId="6E194303" w14:textId="7F27B173" w:rsidR="00CE3BAD" w:rsidRPr="00782BF9" w:rsidRDefault="006B5475">
            <w:pPr>
              <w:pStyle w:val="P68B1DB1-Normal10"/>
              <w:spacing w:after="0" w:line="240" w:lineRule="auto"/>
              <w:rPr>
                <w:rFonts w:eastAsia="Times New Roman"/>
                <w:noProof/>
                <w:lang w:val="bg-BG"/>
              </w:rPr>
            </w:pPr>
            <w:r w:rsidRPr="00782BF9">
              <w:rPr>
                <w:noProof/>
                <w:lang w:val="bg-BG"/>
              </w:rPr>
              <w:t>1</w:t>
            </w:r>
            <w:r w:rsidRPr="00782BF9">
              <w:rPr>
                <w:noProof/>
                <w:color w:val="006100"/>
                <w:lang w:val="bg-BG"/>
              </w:rPr>
              <w:t xml:space="preserve"> </w:t>
            </w:r>
            <w:r w:rsidRPr="00782BF9">
              <w:rPr>
                <w:noProof/>
                <w:lang w:val="bg-BG"/>
              </w:rPr>
              <w:t>800</w:t>
            </w:r>
          </w:p>
        </w:tc>
        <w:tc>
          <w:tcPr>
            <w:tcW w:w="806" w:type="dxa"/>
            <w:tcBorders>
              <w:top w:val="nil"/>
              <w:left w:val="nil"/>
              <w:bottom w:val="single" w:sz="4" w:space="0" w:color="auto"/>
              <w:right w:val="single" w:sz="4" w:space="0" w:color="auto"/>
            </w:tcBorders>
            <w:shd w:val="clear" w:color="auto" w:fill="C6EFCE"/>
            <w:vAlign w:val="center"/>
          </w:tcPr>
          <w:p w14:paraId="5A2CC3D9"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tcPr>
          <w:p w14:paraId="02623C1E"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tcPr>
          <w:p w14:paraId="0DA90E0A" w14:textId="21AD7AA0" w:rsidR="00CE3BAD" w:rsidRPr="00782BF9" w:rsidRDefault="006B5475">
            <w:pPr>
              <w:pStyle w:val="P68B1DB1-CommentText14"/>
              <w:rPr>
                <w:rFonts w:asciiTheme="minorHAnsi" w:eastAsia="Times New Roman" w:hAnsiTheme="minorHAnsi" w:cstheme="minorBidi"/>
                <w:noProof/>
                <w:lang w:val="bg-BG"/>
              </w:rPr>
            </w:pPr>
            <w:r w:rsidRPr="00782BF9">
              <w:rPr>
                <w:rFonts w:asciiTheme="minorHAnsi" w:hAnsiTheme="minorHAnsi"/>
                <w:noProof/>
                <w:lang w:val="bg-BG"/>
              </w:rPr>
              <w:t>Разработва се най-малко 1</w:t>
            </w:r>
            <w:r w:rsidRPr="00782BF9">
              <w:rPr>
                <w:noProof/>
                <w:color w:val="006100"/>
                <w:lang w:val="bg-BG"/>
              </w:rPr>
              <w:t xml:space="preserve"> </w:t>
            </w:r>
            <w:r w:rsidRPr="00782BF9">
              <w:rPr>
                <w:rFonts w:asciiTheme="minorHAnsi" w:hAnsiTheme="minorHAnsi"/>
                <w:noProof/>
                <w:lang w:val="bg-BG"/>
              </w:rPr>
              <w:t>800 цифрово учебно съдържание за участващите висши учебни заведения. Цифровото учебно съдържание включва учебни материали, сценарии, подкастове, екранни записи, видеоклипове, викторини, справочни материали, компютърно съдържание, съдържание в интернет, цифрови игри и др.</w:t>
            </w:r>
          </w:p>
          <w:p w14:paraId="298C3F86" w14:textId="77777777" w:rsidR="00CE3BAD" w:rsidRPr="00782BF9" w:rsidRDefault="00CE3BAD">
            <w:pPr>
              <w:pStyle w:val="CommentText"/>
              <w:spacing w:before="0" w:after="0" w:line="256" w:lineRule="auto"/>
              <w:rPr>
                <w:rFonts w:asciiTheme="minorHAnsi" w:hAnsiTheme="minorHAnsi"/>
                <w:noProof/>
                <w:sz w:val="18"/>
                <w:lang w:val="bg-BG"/>
              </w:rPr>
            </w:pPr>
          </w:p>
        </w:tc>
      </w:tr>
      <w:tr w:rsidR="00CE3BAD" w:rsidRPr="00782BF9" w14:paraId="4219EBBA" w14:textId="77777777">
        <w:trPr>
          <w:trHeight w:val="413"/>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7F152626" w14:textId="632E4BE8" w:rsidR="00CE3BAD" w:rsidRPr="00782BF9" w:rsidRDefault="006B5475">
            <w:pPr>
              <w:pStyle w:val="P68B1DB1-Normal10"/>
              <w:spacing w:after="0" w:line="240" w:lineRule="auto"/>
              <w:rPr>
                <w:rFonts w:eastAsia="Times New Roman"/>
                <w:noProof/>
                <w:lang w:val="bg-BG"/>
              </w:rPr>
            </w:pPr>
            <w:r w:rsidRPr="00782BF9">
              <w:rPr>
                <w:noProof/>
                <w:lang w:val="bg-BG"/>
              </w:rPr>
              <w:t xml:space="preserve"> 34</w:t>
            </w:r>
          </w:p>
        </w:tc>
        <w:tc>
          <w:tcPr>
            <w:tcW w:w="1773" w:type="dxa"/>
            <w:tcBorders>
              <w:top w:val="nil"/>
              <w:left w:val="nil"/>
              <w:bottom w:val="single" w:sz="4" w:space="0" w:color="auto"/>
              <w:right w:val="single" w:sz="4" w:space="0" w:color="auto"/>
            </w:tcBorders>
            <w:shd w:val="clear" w:color="auto" w:fill="C6EFCE"/>
            <w:vAlign w:val="center"/>
            <w:hideMark/>
          </w:tcPr>
          <w:p w14:paraId="69656BA0" w14:textId="7DCE5EAB" w:rsidR="00CE3BAD" w:rsidRPr="00782BF9" w:rsidRDefault="006B5475">
            <w:pPr>
              <w:pStyle w:val="P68B1DB1-Normal10"/>
              <w:spacing w:after="0" w:line="240" w:lineRule="auto"/>
              <w:rPr>
                <w:rFonts w:eastAsia="Times New Roman"/>
                <w:noProof/>
                <w:lang w:val="bg-BG"/>
              </w:rPr>
            </w:pPr>
            <w:r w:rsidRPr="00782BF9">
              <w:rPr>
                <w:noProof/>
                <w:lang w:val="bg-BG"/>
              </w:rPr>
              <w:t xml:space="preserve">C2.I1 Институционални иновации и засилени дейности във висшето образование </w:t>
            </w:r>
          </w:p>
        </w:tc>
        <w:tc>
          <w:tcPr>
            <w:tcW w:w="1155" w:type="dxa"/>
            <w:tcBorders>
              <w:top w:val="nil"/>
              <w:left w:val="nil"/>
              <w:bottom w:val="single" w:sz="4" w:space="0" w:color="auto"/>
              <w:right w:val="single" w:sz="4" w:space="0" w:color="auto"/>
            </w:tcBorders>
            <w:shd w:val="clear" w:color="auto" w:fill="C6EFCE"/>
            <w:vAlign w:val="center"/>
            <w:hideMark/>
          </w:tcPr>
          <w:p w14:paraId="72DEC1A6"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498" w:type="dxa"/>
            <w:tcBorders>
              <w:top w:val="nil"/>
              <w:left w:val="nil"/>
              <w:bottom w:val="single" w:sz="4" w:space="0" w:color="auto"/>
              <w:right w:val="single" w:sz="4" w:space="0" w:color="auto"/>
            </w:tcBorders>
            <w:shd w:val="clear" w:color="auto" w:fill="C6EFCE"/>
            <w:vAlign w:val="center"/>
            <w:hideMark/>
          </w:tcPr>
          <w:p w14:paraId="66B7E60D"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 на студентите и персонала във висши учебни заведения, участвали в програми за развитие на цифровите умения</w:t>
            </w:r>
          </w:p>
        </w:tc>
        <w:tc>
          <w:tcPr>
            <w:tcW w:w="1482" w:type="dxa"/>
            <w:tcBorders>
              <w:top w:val="nil"/>
              <w:left w:val="nil"/>
              <w:bottom w:val="single" w:sz="4" w:space="0" w:color="auto"/>
              <w:right w:val="single" w:sz="4" w:space="0" w:color="auto"/>
            </w:tcBorders>
            <w:shd w:val="clear" w:color="auto" w:fill="C6EFCE"/>
            <w:vAlign w:val="center"/>
            <w:hideMark/>
          </w:tcPr>
          <w:p w14:paraId="38017E87"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019" w:type="dxa"/>
            <w:tcBorders>
              <w:top w:val="nil"/>
              <w:left w:val="nil"/>
              <w:bottom w:val="single" w:sz="4" w:space="0" w:color="auto"/>
              <w:right w:val="single" w:sz="4" w:space="0" w:color="auto"/>
            </w:tcBorders>
            <w:shd w:val="clear" w:color="auto" w:fill="C6EFCE"/>
            <w:vAlign w:val="center"/>
            <w:hideMark/>
          </w:tcPr>
          <w:p w14:paraId="2C5FD9E9"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108" w:type="dxa"/>
            <w:tcBorders>
              <w:top w:val="nil"/>
              <w:left w:val="nil"/>
              <w:bottom w:val="single" w:sz="4" w:space="0" w:color="auto"/>
              <w:right w:val="single" w:sz="4" w:space="0" w:color="auto"/>
            </w:tcBorders>
            <w:shd w:val="clear" w:color="auto" w:fill="C6EFCE"/>
            <w:vAlign w:val="center"/>
            <w:hideMark/>
          </w:tcPr>
          <w:p w14:paraId="74378374"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nil"/>
              <w:left w:val="nil"/>
              <w:bottom w:val="single" w:sz="4" w:space="0" w:color="auto"/>
              <w:right w:val="single" w:sz="4" w:space="0" w:color="auto"/>
            </w:tcBorders>
            <w:shd w:val="clear" w:color="auto" w:fill="C6EFCE"/>
            <w:vAlign w:val="center"/>
            <w:hideMark/>
          </w:tcPr>
          <w:p w14:paraId="10BAE1BE" w14:textId="4410CE91" w:rsidR="00CE3BAD" w:rsidRPr="00782BF9" w:rsidRDefault="006B5475">
            <w:pPr>
              <w:pStyle w:val="P68B1DB1-Normal10"/>
              <w:spacing w:after="0" w:line="240" w:lineRule="auto"/>
              <w:rPr>
                <w:rFonts w:eastAsia="Times New Roman"/>
                <w:noProof/>
                <w:lang w:val="bg-BG"/>
              </w:rPr>
            </w:pPr>
            <w:r w:rsidRPr="00782BF9">
              <w:rPr>
                <w:noProof/>
                <w:lang w:val="bg-BG"/>
              </w:rPr>
              <w:t>34</w:t>
            </w:r>
            <w:r w:rsidRPr="00782BF9">
              <w:rPr>
                <w:noProof/>
                <w:color w:val="006100"/>
                <w:lang w:val="bg-BG"/>
              </w:rPr>
              <w:t xml:space="preserve"> </w:t>
            </w:r>
            <w:r w:rsidRPr="00782BF9">
              <w:rPr>
                <w:noProof/>
                <w:lang w:val="bg-BG"/>
              </w:rPr>
              <w:t>000</w:t>
            </w:r>
          </w:p>
        </w:tc>
        <w:tc>
          <w:tcPr>
            <w:tcW w:w="806" w:type="dxa"/>
            <w:tcBorders>
              <w:top w:val="nil"/>
              <w:left w:val="nil"/>
              <w:bottom w:val="single" w:sz="4" w:space="0" w:color="auto"/>
              <w:right w:val="single" w:sz="4" w:space="0" w:color="auto"/>
            </w:tcBorders>
            <w:shd w:val="clear" w:color="auto" w:fill="C6EFCE"/>
            <w:vAlign w:val="center"/>
            <w:hideMark/>
          </w:tcPr>
          <w:p w14:paraId="6C72FF60"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hideMark/>
          </w:tcPr>
          <w:p w14:paraId="12BBFF69"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vAlign w:val="center"/>
            <w:hideMark/>
          </w:tcPr>
          <w:p w14:paraId="51422A99" w14:textId="781FF26D" w:rsidR="00CE3BAD" w:rsidRPr="00782BF9" w:rsidRDefault="006B5475">
            <w:pPr>
              <w:pStyle w:val="P68B1DB1-CommentText14"/>
              <w:spacing w:before="0" w:after="0"/>
              <w:rPr>
                <w:rFonts w:asciiTheme="minorHAnsi" w:eastAsia="Times New Roman" w:hAnsiTheme="minorHAnsi" w:cstheme="minorBidi"/>
                <w:noProof/>
                <w:lang w:val="bg-BG"/>
              </w:rPr>
            </w:pPr>
            <w:r w:rsidRPr="00782BF9">
              <w:rPr>
                <w:rFonts w:asciiTheme="minorHAnsi" w:hAnsiTheme="minorHAnsi"/>
                <w:noProof/>
                <w:lang w:val="bg-BG"/>
              </w:rPr>
              <w:t>Най-малко 34</w:t>
            </w:r>
            <w:r w:rsidRPr="00782BF9">
              <w:rPr>
                <w:noProof/>
                <w:color w:val="006100"/>
                <w:lang w:val="bg-BG"/>
              </w:rPr>
              <w:t xml:space="preserve"> </w:t>
            </w:r>
            <w:r w:rsidRPr="00782BF9">
              <w:rPr>
                <w:rFonts w:asciiTheme="minorHAnsi" w:hAnsiTheme="minorHAnsi"/>
                <w:noProof/>
                <w:lang w:val="bg-BG"/>
              </w:rPr>
              <w:t>000 студенти и служители (включително учители) в участващите висши учебни заведения участват в програми за развитие на цифровите умения, компетентности и знания по тази мярка. Обучението на учителите се съсредоточава върху уменията за използване на цифрови инструменти за преподаване и разработване на цифрово учебно съдържание.</w:t>
            </w:r>
          </w:p>
          <w:p w14:paraId="7269060C" w14:textId="77777777" w:rsidR="00CE3BAD" w:rsidRPr="00782BF9" w:rsidRDefault="00CE3BAD">
            <w:pPr>
              <w:pStyle w:val="CommentText"/>
              <w:spacing w:before="0" w:after="0"/>
              <w:rPr>
                <w:rFonts w:asciiTheme="minorHAnsi" w:eastAsia="Times New Roman" w:hAnsiTheme="minorHAnsi" w:cstheme="minorBidi"/>
                <w:noProof/>
                <w:sz w:val="18"/>
                <w:lang w:val="bg-BG"/>
              </w:rPr>
            </w:pPr>
          </w:p>
        </w:tc>
      </w:tr>
      <w:tr w:rsidR="00CE3BAD" w:rsidRPr="00782BF9" w14:paraId="3A16C8BC" w14:textId="77777777">
        <w:trPr>
          <w:trHeight w:val="708"/>
        </w:trPr>
        <w:tc>
          <w:tcPr>
            <w:tcW w:w="1013" w:type="dxa"/>
            <w:tcBorders>
              <w:top w:val="nil"/>
              <w:left w:val="single" w:sz="4" w:space="0" w:color="auto"/>
              <w:bottom w:val="single" w:sz="4" w:space="0" w:color="auto"/>
              <w:right w:val="single" w:sz="4" w:space="0" w:color="auto"/>
            </w:tcBorders>
            <w:shd w:val="clear" w:color="auto" w:fill="C6EFCE"/>
            <w:vAlign w:val="center"/>
          </w:tcPr>
          <w:p w14:paraId="777511AA" w14:textId="1834E0C8" w:rsidR="00CE3BAD" w:rsidRPr="00782BF9" w:rsidRDefault="006B5475">
            <w:pPr>
              <w:pStyle w:val="P68B1DB1-Normal10"/>
              <w:spacing w:after="0" w:line="240" w:lineRule="auto"/>
              <w:rPr>
                <w:rFonts w:eastAsia="Times New Roman"/>
                <w:noProof/>
                <w:lang w:val="bg-BG"/>
              </w:rPr>
            </w:pPr>
            <w:r w:rsidRPr="00782BF9">
              <w:rPr>
                <w:noProof/>
                <w:lang w:val="bg-BG"/>
              </w:rPr>
              <w:t>35</w:t>
            </w:r>
          </w:p>
        </w:tc>
        <w:tc>
          <w:tcPr>
            <w:tcW w:w="1773" w:type="dxa"/>
            <w:tcBorders>
              <w:top w:val="single" w:sz="4" w:space="0" w:color="auto"/>
              <w:left w:val="nil"/>
              <w:bottom w:val="single" w:sz="4" w:space="0" w:color="auto"/>
              <w:right w:val="single" w:sz="4" w:space="0" w:color="auto"/>
            </w:tcBorders>
            <w:shd w:val="clear" w:color="auto" w:fill="C6EFCE"/>
            <w:vAlign w:val="center"/>
          </w:tcPr>
          <w:p w14:paraId="61339174" w14:textId="020409B9" w:rsidR="00CE3BAD" w:rsidRPr="00782BF9" w:rsidRDefault="006B5475">
            <w:pPr>
              <w:pStyle w:val="P68B1DB1-Normal10"/>
              <w:spacing w:after="0" w:line="240" w:lineRule="auto"/>
              <w:rPr>
                <w:rFonts w:eastAsia="Times New Roman"/>
                <w:noProof/>
                <w:lang w:val="bg-BG"/>
              </w:rPr>
            </w:pPr>
            <w:r w:rsidRPr="00782BF9">
              <w:rPr>
                <w:noProof/>
                <w:lang w:val="bg-BG"/>
              </w:rPr>
              <w:t>C2.I2 Модернизиране на инфраструктурата и цифровизация във висшите учебни заведения</w:t>
            </w:r>
          </w:p>
        </w:tc>
        <w:tc>
          <w:tcPr>
            <w:tcW w:w="1155" w:type="dxa"/>
            <w:tcBorders>
              <w:top w:val="nil"/>
              <w:left w:val="nil"/>
              <w:bottom w:val="single" w:sz="4" w:space="0" w:color="auto"/>
              <w:right w:val="single" w:sz="4" w:space="0" w:color="auto"/>
            </w:tcBorders>
            <w:shd w:val="clear" w:color="auto" w:fill="C6EFCE"/>
            <w:vAlign w:val="center"/>
          </w:tcPr>
          <w:p w14:paraId="12600229"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498" w:type="dxa"/>
            <w:tcBorders>
              <w:top w:val="single" w:sz="4" w:space="0" w:color="auto"/>
              <w:left w:val="nil"/>
              <w:bottom w:val="single" w:sz="4" w:space="0" w:color="auto"/>
              <w:right w:val="single" w:sz="4" w:space="0" w:color="auto"/>
            </w:tcBorders>
            <w:shd w:val="clear" w:color="auto" w:fill="C6EFCE"/>
            <w:vAlign w:val="center"/>
          </w:tcPr>
          <w:p w14:paraId="083F8B68" w14:textId="702C10B1" w:rsidR="00CE3BAD" w:rsidRPr="00782BF9" w:rsidRDefault="006B5475">
            <w:pPr>
              <w:pStyle w:val="P68B1DB1-Normal10"/>
              <w:spacing w:after="0" w:line="240" w:lineRule="auto"/>
              <w:rPr>
                <w:rFonts w:eastAsia="Times New Roman"/>
                <w:noProof/>
                <w:lang w:val="bg-BG"/>
              </w:rPr>
            </w:pPr>
            <w:r w:rsidRPr="00782BF9">
              <w:rPr>
                <w:noProof/>
                <w:lang w:val="bg-BG"/>
              </w:rPr>
              <w:t xml:space="preserve">Отправяне на покана за представяне на предложения за проекти за обновяване на енергийната ефективност, строителство на нови сгради, ново цифрово оборудване и дейности за развитие на капацитета във висшите учебни заведения </w:t>
            </w:r>
          </w:p>
        </w:tc>
        <w:tc>
          <w:tcPr>
            <w:tcW w:w="1482" w:type="dxa"/>
            <w:tcBorders>
              <w:top w:val="nil"/>
              <w:left w:val="nil"/>
              <w:bottom w:val="single" w:sz="4" w:space="0" w:color="auto"/>
              <w:right w:val="single" w:sz="4" w:space="0" w:color="auto"/>
            </w:tcBorders>
            <w:shd w:val="clear" w:color="auto" w:fill="C6EFCE"/>
            <w:vAlign w:val="center"/>
          </w:tcPr>
          <w:p w14:paraId="08D3C437" w14:textId="77777777" w:rsidR="00CE3BAD" w:rsidRPr="00782BF9" w:rsidRDefault="006B5475">
            <w:pPr>
              <w:pStyle w:val="P68B1DB1-Normal10"/>
              <w:spacing w:after="0" w:line="240" w:lineRule="auto"/>
              <w:rPr>
                <w:rFonts w:eastAsia="Times New Roman"/>
                <w:noProof/>
                <w:lang w:val="bg-BG"/>
              </w:rPr>
            </w:pPr>
            <w:r w:rsidRPr="00782BF9">
              <w:rPr>
                <w:noProof/>
                <w:lang w:val="bg-BG"/>
              </w:rPr>
              <w:t>Публикуване на поканата от министерството, отговарящо за висшите учебни заведения</w:t>
            </w:r>
          </w:p>
        </w:tc>
        <w:tc>
          <w:tcPr>
            <w:tcW w:w="1019" w:type="dxa"/>
            <w:tcBorders>
              <w:top w:val="nil"/>
              <w:left w:val="nil"/>
              <w:bottom w:val="single" w:sz="4" w:space="0" w:color="auto"/>
              <w:right w:val="single" w:sz="4" w:space="0" w:color="auto"/>
            </w:tcBorders>
            <w:shd w:val="clear" w:color="auto" w:fill="C6EFCE"/>
            <w:vAlign w:val="center"/>
          </w:tcPr>
          <w:p w14:paraId="3F1B24A2" w14:textId="77777777" w:rsidR="00CE3BAD" w:rsidRPr="00782BF9" w:rsidRDefault="00CE3BAD">
            <w:pPr>
              <w:spacing w:after="0" w:line="240" w:lineRule="auto"/>
              <w:rPr>
                <w:rFonts w:eastAsia="Times New Roman" w:cstheme="minorHAnsi"/>
                <w:noProof/>
                <w:sz w:val="18"/>
                <w:lang w:val="bg-BG"/>
              </w:rPr>
            </w:pPr>
          </w:p>
        </w:tc>
        <w:tc>
          <w:tcPr>
            <w:tcW w:w="1108" w:type="dxa"/>
            <w:tcBorders>
              <w:top w:val="nil"/>
              <w:left w:val="nil"/>
              <w:bottom w:val="single" w:sz="4" w:space="0" w:color="auto"/>
              <w:right w:val="single" w:sz="4" w:space="0" w:color="auto"/>
            </w:tcBorders>
            <w:shd w:val="clear" w:color="auto" w:fill="C6EFCE"/>
            <w:vAlign w:val="center"/>
          </w:tcPr>
          <w:p w14:paraId="0F592C9A" w14:textId="77777777" w:rsidR="00CE3BAD" w:rsidRPr="00782BF9" w:rsidRDefault="00CE3BAD">
            <w:pPr>
              <w:spacing w:after="0" w:line="240" w:lineRule="auto"/>
              <w:rPr>
                <w:rFonts w:eastAsia="Times New Roman" w:cstheme="minorHAnsi"/>
                <w:noProof/>
                <w:sz w:val="18"/>
                <w:lang w:val="bg-BG"/>
              </w:rPr>
            </w:pPr>
          </w:p>
        </w:tc>
        <w:tc>
          <w:tcPr>
            <w:tcW w:w="1123" w:type="dxa"/>
            <w:tcBorders>
              <w:top w:val="nil"/>
              <w:left w:val="nil"/>
              <w:bottom w:val="single" w:sz="4" w:space="0" w:color="auto"/>
              <w:right w:val="single" w:sz="4" w:space="0" w:color="auto"/>
            </w:tcBorders>
            <w:shd w:val="clear" w:color="auto" w:fill="C6EFCE"/>
            <w:vAlign w:val="center"/>
          </w:tcPr>
          <w:p w14:paraId="6B10C9F0" w14:textId="77777777" w:rsidR="00CE3BAD" w:rsidRPr="00782BF9" w:rsidRDefault="00CE3BAD">
            <w:pPr>
              <w:spacing w:after="0" w:line="240" w:lineRule="auto"/>
              <w:rPr>
                <w:rFonts w:eastAsia="Times New Roman" w:cstheme="minorHAnsi"/>
                <w:noProof/>
                <w:sz w:val="18"/>
                <w:lang w:val="bg-BG"/>
              </w:rPr>
            </w:pPr>
          </w:p>
        </w:tc>
        <w:tc>
          <w:tcPr>
            <w:tcW w:w="806" w:type="dxa"/>
            <w:tcBorders>
              <w:top w:val="nil"/>
              <w:left w:val="nil"/>
              <w:bottom w:val="single" w:sz="4" w:space="0" w:color="auto"/>
              <w:right w:val="single" w:sz="4" w:space="0" w:color="auto"/>
            </w:tcBorders>
            <w:shd w:val="clear" w:color="auto" w:fill="C6EFCE"/>
            <w:vAlign w:val="center"/>
          </w:tcPr>
          <w:p w14:paraId="7E1FECA7" w14:textId="77777777" w:rsidR="00CE3BAD" w:rsidRPr="00782BF9" w:rsidRDefault="006B5475">
            <w:pPr>
              <w:pStyle w:val="P68B1DB1-Normal10"/>
              <w:spacing w:after="0" w:line="240" w:lineRule="auto"/>
              <w:rPr>
                <w:rFonts w:eastAsia="Times New Roman"/>
                <w:noProof/>
                <w:lang w:val="bg-BG"/>
              </w:rPr>
            </w:pPr>
            <w:r w:rsidRPr="00782BF9">
              <w:rPr>
                <w:noProof/>
                <w:lang w:val="bg-BG"/>
              </w:rPr>
              <w:t>Т1 Г.</w:t>
            </w:r>
          </w:p>
        </w:tc>
        <w:tc>
          <w:tcPr>
            <w:tcW w:w="789" w:type="dxa"/>
            <w:tcBorders>
              <w:top w:val="nil"/>
              <w:left w:val="nil"/>
              <w:bottom w:val="single" w:sz="4" w:space="0" w:color="auto"/>
              <w:right w:val="single" w:sz="4" w:space="0" w:color="auto"/>
            </w:tcBorders>
            <w:shd w:val="clear" w:color="auto" w:fill="C6EFCE"/>
            <w:vAlign w:val="center"/>
          </w:tcPr>
          <w:p w14:paraId="29C6B53C" w14:textId="77777777" w:rsidR="00CE3BAD" w:rsidRPr="00782BF9" w:rsidRDefault="006B5475">
            <w:pPr>
              <w:pStyle w:val="P68B1DB1-Normal10"/>
              <w:spacing w:after="0" w:line="240" w:lineRule="auto"/>
              <w:rPr>
                <w:rFonts w:eastAsia="Times New Roman"/>
                <w:noProof/>
                <w:lang w:val="bg-BG"/>
              </w:rPr>
            </w:pPr>
            <w:r w:rsidRPr="00782BF9">
              <w:rPr>
                <w:noProof/>
                <w:lang w:val="bg-BG"/>
              </w:rPr>
              <w:t>2022</w:t>
            </w:r>
          </w:p>
        </w:tc>
        <w:tc>
          <w:tcPr>
            <w:tcW w:w="4425" w:type="dxa"/>
            <w:tcBorders>
              <w:top w:val="nil"/>
              <w:left w:val="nil"/>
              <w:bottom w:val="single" w:sz="4" w:space="0" w:color="auto"/>
              <w:right w:val="single" w:sz="4" w:space="0" w:color="auto"/>
            </w:tcBorders>
            <w:shd w:val="clear" w:color="auto" w:fill="C6EFCE"/>
            <w:vAlign w:val="center"/>
          </w:tcPr>
          <w:p w14:paraId="47238E4C" w14:textId="09F168F0" w:rsidR="00CE3BAD" w:rsidRPr="00782BF9" w:rsidRDefault="006B5475">
            <w:pPr>
              <w:pStyle w:val="P68B1DB1-Normal10"/>
              <w:spacing w:after="0" w:line="240" w:lineRule="auto"/>
              <w:rPr>
                <w:rFonts w:eastAsia="Times New Roman"/>
                <w:noProof/>
                <w:lang w:val="bg-BG"/>
              </w:rPr>
            </w:pPr>
            <w:r w:rsidRPr="00782BF9">
              <w:rPr>
                <w:noProof/>
                <w:lang w:val="bg-BG"/>
              </w:rPr>
              <w:t>Отправя се покана за представяне на проекти за саниране с цел повишаване на енергийната ефективност, строителство на нови сгради, закупуване и инсталиране на цифрово оборудване и дейности за развитие на капацитета във висшите учебни заведения. В поканата за представяне на предложения се заделят най-малко 2.5</w:t>
            </w:r>
            <w:r w:rsidRPr="00782BF9">
              <w:rPr>
                <w:noProof/>
                <w:color w:val="006100"/>
                <w:lang w:val="bg-BG"/>
              </w:rPr>
              <w:t xml:space="preserve"> </w:t>
            </w:r>
            <w:r w:rsidRPr="00782BF9">
              <w:rPr>
                <w:noProof/>
                <w:lang w:val="bg-BG"/>
              </w:rPr>
              <w:t>% от разпределените за мярката средства за строителство на нови сгради, най-малко 22.5</w:t>
            </w:r>
            <w:r w:rsidRPr="00782BF9">
              <w:rPr>
                <w:noProof/>
                <w:color w:val="006100"/>
                <w:lang w:val="bg-BG"/>
              </w:rPr>
              <w:t xml:space="preserve"> </w:t>
            </w:r>
            <w:r w:rsidRPr="00782BF9">
              <w:rPr>
                <w:noProof/>
                <w:lang w:val="bg-BG"/>
              </w:rPr>
              <w:t>% за саниране на инфраструктура с цел енергийна ефективност, най-малко 41.5</w:t>
            </w:r>
            <w:r w:rsidRPr="00782BF9">
              <w:rPr>
                <w:noProof/>
                <w:color w:val="006100"/>
                <w:lang w:val="bg-BG"/>
              </w:rPr>
              <w:t xml:space="preserve"> </w:t>
            </w:r>
            <w:r w:rsidRPr="00782BF9">
              <w:rPr>
                <w:noProof/>
                <w:lang w:val="bg-BG"/>
              </w:rPr>
              <w:t>% за ново ИКТ оборудване и оставащото разпределение за дейности за развитие на капацитета, включително: организиране на обучения, конференции и дейности за развиване на умения; оборудване на семинари и лаборатории за учебни цели; разработване на основни съоръжения, лаборатории за умения, езикови курсове и обучение за компетентности въз основа на нуждите на университетите. Критериите за допустимост за инвестиции в енергийна ефективност включват, наред с другото, изискване в резултат на санирането да се постигнат средно най-малко 30</w:t>
            </w:r>
            <w:r w:rsidRPr="00782BF9">
              <w:rPr>
                <w:noProof/>
                <w:color w:val="006100"/>
                <w:lang w:val="bg-BG"/>
              </w:rPr>
              <w:t xml:space="preserve"> </w:t>
            </w:r>
            <w:r w:rsidRPr="00782BF9">
              <w:rPr>
                <w:noProof/>
                <w:lang w:val="bg-BG"/>
              </w:rPr>
              <w:t>% икономии на първична енергия в обновената инфраструктура. В критериите за допустимост се посочва също така, че потреблението на първична енергия на всяка нова сграда трябва да бъде най-малко с 20</w:t>
            </w:r>
            <w:r w:rsidRPr="00782BF9">
              <w:rPr>
                <w:noProof/>
                <w:color w:val="006100"/>
                <w:lang w:val="bg-BG"/>
              </w:rPr>
              <w:t xml:space="preserve"> </w:t>
            </w:r>
            <w:r w:rsidRPr="00782BF9">
              <w:rPr>
                <w:noProof/>
                <w:lang w:val="bg-BG"/>
              </w:rPr>
              <w:t>% по-ниско от изискването за сграда с близко до нулево нетно потребление на енергия. Изискванията в документацията на поканата гарантират недискриминация между унгарските висши учебни заведения, включително въз основа на тяхната структура на собственост. Публичните доверителни фондове не са допустими като получатели по поканата. Подборът на проектите се основава на обективни критерии, посочени в поканата, включително повишаването на енергийната ефективност, свързано с инвестиционните разходи, разходната ефективност на закупуването на цифрово оборудване, броя на наличните компютри на учител, дела на преподавателите с висока академична степен и дела на студентите в неравностойно положение в университетите.</w:t>
            </w:r>
          </w:p>
        </w:tc>
      </w:tr>
      <w:tr w:rsidR="00CE3BAD" w:rsidRPr="00782BF9" w14:paraId="646DA91B"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171FA6F2" w14:textId="154B2673" w:rsidR="00CE3BAD" w:rsidRPr="00782BF9" w:rsidRDefault="006B5475">
            <w:pPr>
              <w:pStyle w:val="P68B1DB1-Normal10"/>
              <w:spacing w:after="0" w:line="240" w:lineRule="auto"/>
              <w:rPr>
                <w:rFonts w:eastAsia="Times New Roman"/>
                <w:noProof/>
                <w:lang w:val="bg-BG"/>
              </w:rPr>
            </w:pPr>
            <w:r w:rsidRPr="00782BF9">
              <w:rPr>
                <w:noProof/>
                <w:lang w:val="bg-BG"/>
              </w:rPr>
              <w:t>36</w:t>
            </w:r>
          </w:p>
        </w:tc>
        <w:tc>
          <w:tcPr>
            <w:tcW w:w="1773" w:type="dxa"/>
            <w:tcBorders>
              <w:top w:val="single" w:sz="4" w:space="0" w:color="auto"/>
              <w:left w:val="nil"/>
              <w:bottom w:val="single" w:sz="4" w:space="0" w:color="auto"/>
              <w:right w:val="single" w:sz="4" w:space="0" w:color="auto"/>
            </w:tcBorders>
            <w:shd w:val="clear" w:color="auto" w:fill="C6EFCE"/>
            <w:vAlign w:val="center"/>
          </w:tcPr>
          <w:p w14:paraId="345452CE" w14:textId="1BBDFE6E" w:rsidR="00CE3BAD" w:rsidRPr="00782BF9" w:rsidRDefault="006B5475">
            <w:pPr>
              <w:pStyle w:val="P68B1DB1-Normal10"/>
              <w:spacing w:after="0" w:line="240" w:lineRule="auto"/>
              <w:rPr>
                <w:rFonts w:eastAsia="Times New Roman"/>
                <w:noProof/>
                <w:lang w:val="bg-BG"/>
              </w:rPr>
            </w:pPr>
            <w:r w:rsidRPr="00782BF9">
              <w:rPr>
                <w:noProof/>
                <w:lang w:val="bg-BG"/>
              </w:rPr>
              <w:t>C2.I2 Модернизиране на инфраструктурата и цифровизация във висшите учебни заведения</w:t>
            </w:r>
          </w:p>
        </w:tc>
        <w:tc>
          <w:tcPr>
            <w:tcW w:w="1155" w:type="dxa"/>
            <w:tcBorders>
              <w:top w:val="nil"/>
              <w:left w:val="nil"/>
              <w:bottom w:val="single" w:sz="4" w:space="0" w:color="auto"/>
              <w:right w:val="single" w:sz="4" w:space="0" w:color="auto"/>
            </w:tcBorders>
            <w:shd w:val="clear" w:color="auto" w:fill="C6EFCE"/>
            <w:vAlign w:val="center"/>
          </w:tcPr>
          <w:p w14:paraId="21F967DA"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single" w:sz="4" w:space="0" w:color="auto"/>
              <w:left w:val="nil"/>
              <w:bottom w:val="single" w:sz="4" w:space="0" w:color="auto"/>
              <w:right w:val="single" w:sz="4" w:space="0" w:color="auto"/>
            </w:tcBorders>
            <w:shd w:val="clear" w:color="auto" w:fill="C6EFCE"/>
            <w:vAlign w:val="center"/>
          </w:tcPr>
          <w:p w14:paraId="7811E6D1" w14:textId="77777777" w:rsidR="00CE3BAD" w:rsidRPr="00782BF9" w:rsidRDefault="006B5475">
            <w:pPr>
              <w:pStyle w:val="P68B1DB1-Normal10"/>
              <w:spacing w:after="0" w:line="240" w:lineRule="auto"/>
              <w:rPr>
                <w:rFonts w:eastAsia="Times New Roman"/>
                <w:noProof/>
                <w:lang w:val="bg-BG"/>
              </w:rPr>
            </w:pPr>
            <w:r w:rsidRPr="00782BF9">
              <w:rPr>
                <w:noProof/>
                <w:lang w:val="bg-BG"/>
              </w:rPr>
              <w:t>Реконструкция за енергийна ефективност на сградна инфраструктура и строителство на нови сгради във висши учебни заведения</w:t>
            </w:r>
          </w:p>
        </w:tc>
        <w:tc>
          <w:tcPr>
            <w:tcW w:w="1482" w:type="dxa"/>
            <w:tcBorders>
              <w:top w:val="nil"/>
              <w:left w:val="nil"/>
              <w:bottom w:val="single" w:sz="4" w:space="0" w:color="auto"/>
              <w:right w:val="single" w:sz="4" w:space="0" w:color="auto"/>
            </w:tcBorders>
            <w:shd w:val="clear" w:color="auto" w:fill="C6EFCE"/>
            <w:vAlign w:val="center"/>
          </w:tcPr>
          <w:p w14:paraId="61D0CAD9" w14:textId="77777777" w:rsidR="00CE3BAD" w:rsidRPr="00782BF9" w:rsidRDefault="00CE3BAD">
            <w:pPr>
              <w:spacing w:after="0" w:line="240" w:lineRule="auto"/>
              <w:rPr>
                <w:rFonts w:eastAsia="Times New Roman" w:cstheme="minorHAnsi"/>
                <w:noProof/>
                <w:sz w:val="18"/>
                <w:lang w:val="bg-BG"/>
              </w:rPr>
            </w:pPr>
          </w:p>
        </w:tc>
        <w:tc>
          <w:tcPr>
            <w:tcW w:w="1019" w:type="dxa"/>
            <w:tcBorders>
              <w:top w:val="nil"/>
              <w:left w:val="nil"/>
              <w:bottom w:val="single" w:sz="4" w:space="0" w:color="auto"/>
              <w:right w:val="single" w:sz="4" w:space="0" w:color="auto"/>
            </w:tcBorders>
            <w:shd w:val="clear" w:color="auto" w:fill="C6EFCE"/>
            <w:vAlign w:val="center"/>
          </w:tcPr>
          <w:p w14:paraId="2202C877" w14:textId="77777777" w:rsidR="00CE3BAD" w:rsidRPr="00782BF9" w:rsidRDefault="006B5475">
            <w:pPr>
              <w:pStyle w:val="P68B1DB1-Normal10"/>
              <w:spacing w:after="0" w:line="240" w:lineRule="auto"/>
              <w:rPr>
                <w:rFonts w:eastAsia="Times New Roman"/>
                <w:noProof/>
                <w:lang w:val="bg-BG"/>
              </w:rPr>
            </w:pPr>
            <w:r w:rsidRPr="00782BF9">
              <w:rPr>
                <w:noProof/>
                <w:lang w:val="bg-BG"/>
              </w:rPr>
              <w:t>Квадратни метри</w:t>
            </w:r>
          </w:p>
        </w:tc>
        <w:tc>
          <w:tcPr>
            <w:tcW w:w="1108" w:type="dxa"/>
            <w:tcBorders>
              <w:top w:val="nil"/>
              <w:left w:val="nil"/>
              <w:bottom w:val="single" w:sz="4" w:space="0" w:color="auto"/>
              <w:right w:val="single" w:sz="4" w:space="0" w:color="auto"/>
            </w:tcBorders>
            <w:shd w:val="clear" w:color="auto" w:fill="C6EFCE"/>
            <w:vAlign w:val="center"/>
          </w:tcPr>
          <w:p w14:paraId="5FD14AB4"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nil"/>
              <w:left w:val="nil"/>
              <w:bottom w:val="single" w:sz="4" w:space="0" w:color="auto"/>
              <w:right w:val="single" w:sz="4" w:space="0" w:color="auto"/>
            </w:tcBorders>
            <w:shd w:val="clear" w:color="auto" w:fill="C6EFCE"/>
            <w:vAlign w:val="center"/>
          </w:tcPr>
          <w:p w14:paraId="7B2BD48C" w14:textId="3A711FA6" w:rsidR="00CE3BAD" w:rsidRPr="00782BF9" w:rsidRDefault="006B5475">
            <w:pPr>
              <w:pStyle w:val="P68B1DB1-Normal10"/>
              <w:spacing w:after="0" w:line="240" w:lineRule="auto"/>
              <w:rPr>
                <w:rFonts w:eastAsia="Times New Roman"/>
                <w:noProof/>
                <w:lang w:val="bg-BG"/>
              </w:rPr>
            </w:pPr>
            <w:r w:rsidRPr="00782BF9">
              <w:rPr>
                <w:noProof/>
                <w:lang w:val="bg-BG"/>
              </w:rPr>
              <w:t>25</w:t>
            </w:r>
            <w:r w:rsidRPr="00782BF9">
              <w:rPr>
                <w:noProof/>
                <w:color w:val="006100"/>
                <w:lang w:val="bg-BG"/>
              </w:rPr>
              <w:t xml:space="preserve"> </w:t>
            </w:r>
            <w:r w:rsidRPr="00782BF9">
              <w:rPr>
                <w:noProof/>
                <w:lang w:val="bg-BG"/>
              </w:rPr>
              <w:t>145</w:t>
            </w:r>
          </w:p>
        </w:tc>
        <w:tc>
          <w:tcPr>
            <w:tcW w:w="806" w:type="dxa"/>
            <w:tcBorders>
              <w:top w:val="nil"/>
              <w:left w:val="nil"/>
              <w:bottom w:val="single" w:sz="4" w:space="0" w:color="auto"/>
              <w:right w:val="single" w:sz="4" w:space="0" w:color="auto"/>
            </w:tcBorders>
            <w:shd w:val="clear" w:color="auto" w:fill="C6EFCE"/>
            <w:vAlign w:val="center"/>
          </w:tcPr>
          <w:p w14:paraId="5B85F40C"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tcPr>
          <w:p w14:paraId="3CF04D7F"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tcPr>
          <w:p w14:paraId="69D9D282" w14:textId="19A9DF85" w:rsidR="00CE3BAD" w:rsidRPr="00782BF9" w:rsidRDefault="006B5475">
            <w:pPr>
              <w:pStyle w:val="P68B1DB1-Normal10"/>
              <w:spacing w:after="0" w:line="240" w:lineRule="auto"/>
              <w:rPr>
                <w:rFonts w:eastAsia="Times New Roman"/>
                <w:noProof/>
                <w:lang w:val="bg-BG"/>
              </w:rPr>
            </w:pPr>
            <w:r w:rsidRPr="00782BF9">
              <w:rPr>
                <w:noProof/>
                <w:lang w:val="bg-BG"/>
              </w:rPr>
              <w:t>Най-малко 25</w:t>
            </w:r>
            <w:r w:rsidRPr="00782BF9">
              <w:rPr>
                <w:noProof/>
                <w:color w:val="006100"/>
                <w:lang w:val="bg-BG"/>
              </w:rPr>
              <w:t xml:space="preserve"> </w:t>
            </w:r>
            <w:r w:rsidRPr="00782BF9">
              <w:rPr>
                <w:noProof/>
                <w:lang w:val="bg-BG"/>
              </w:rPr>
              <w:t>квадратни метра инфраструктура на висшите учебни заведения се санира, за да се постигне поне 30</w:t>
            </w:r>
            <w:r w:rsidRPr="00782BF9">
              <w:rPr>
                <w:noProof/>
                <w:color w:val="006100"/>
                <w:lang w:val="bg-BG"/>
              </w:rPr>
              <w:t xml:space="preserve"> </w:t>
            </w:r>
            <w:r w:rsidRPr="00782BF9">
              <w:rPr>
                <w:noProof/>
                <w:lang w:val="bg-BG"/>
              </w:rPr>
              <w:t>% икономии на първична енергия, или се изгражда като нова сграда, за да се постигне поне 20</w:t>
            </w:r>
            <w:r w:rsidRPr="00782BF9">
              <w:rPr>
                <w:noProof/>
                <w:color w:val="006100"/>
                <w:lang w:val="bg-BG"/>
              </w:rPr>
              <w:t xml:space="preserve"> </w:t>
            </w:r>
            <w:r w:rsidRPr="00782BF9">
              <w:rPr>
                <w:noProof/>
                <w:lang w:val="bg-BG"/>
              </w:rPr>
              <w:t xml:space="preserve">% по-ниско търсене на първична енергия от изискването за сграда с близко до нулево нетно потребление на енергия. </w:t>
            </w:r>
          </w:p>
        </w:tc>
      </w:tr>
      <w:tr w:rsidR="00CE3BAD" w:rsidRPr="00782BF9" w14:paraId="2FF0C52B"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5DFD4F84" w14:textId="7FDA3EE3" w:rsidR="00CE3BAD" w:rsidRPr="00782BF9" w:rsidRDefault="006B5475">
            <w:pPr>
              <w:pStyle w:val="P68B1DB1-Normal10"/>
              <w:spacing w:after="0" w:line="240" w:lineRule="auto"/>
              <w:rPr>
                <w:rFonts w:eastAsia="Times New Roman"/>
                <w:noProof/>
                <w:lang w:val="bg-BG"/>
              </w:rPr>
            </w:pPr>
            <w:r w:rsidRPr="00782BF9">
              <w:rPr>
                <w:noProof/>
                <w:lang w:val="bg-BG"/>
              </w:rPr>
              <w:t>37</w:t>
            </w:r>
          </w:p>
        </w:tc>
        <w:tc>
          <w:tcPr>
            <w:tcW w:w="1773" w:type="dxa"/>
            <w:tcBorders>
              <w:top w:val="nil"/>
              <w:left w:val="nil"/>
              <w:bottom w:val="single" w:sz="4" w:space="0" w:color="auto"/>
              <w:right w:val="single" w:sz="4" w:space="0" w:color="auto"/>
            </w:tcBorders>
            <w:shd w:val="clear" w:color="auto" w:fill="C6EFCE"/>
            <w:vAlign w:val="center"/>
          </w:tcPr>
          <w:p w14:paraId="59E06B92" w14:textId="5CC37AE9" w:rsidR="00CE3BAD" w:rsidRPr="00782BF9" w:rsidRDefault="006B5475">
            <w:pPr>
              <w:pStyle w:val="P68B1DB1-Normal10"/>
              <w:spacing w:after="0" w:line="240" w:lineRule="auto"/>
              <w:rPr>
                <w:rFonts w:eastAsia="Times New Roman"/>
                <w:noProof/>
                <w:lang w:val="bg-BG"/>
              </w:rPr>
            </w:pPr>
            <w:r w:rsidRPr="00782BF9">
              <w:rPr>
                <w:noProof/>
                <w:lang w:val="bg-BG"/>
              </w:rPr>
              <w:t>C2.I2 Модернизиране на инфраструктурата и цифровизация във висшите учебни заведения</w:t>
            </w:r>
          </w:p>
        </w:tc>
        <w:tc>
          <w:tcPr>
            <w:tcW w:w="1155" w:type="dxa"/>
            <w:tcBorders>
              <w:top w:val="nil"/>
              <w:left w:val="nil"/>
              <w:bottom w:val="single" w:sz="4" w:space="0" w:color="auto"/>
              <w:right w:val="single" w:sz="4" w:space="0" w:color="auto"/>
            </w:tcBorders>
            <w:shd w:val="clear" w:color="auto" w:fill="C6EFCE"/>
            <w:vAlign w:val="center"/>
          </w:tcPr>
          <w:p w14:paraId="118B9A1B"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nil"/>
              <w:left w:val="nil"/>
              <w:bottom w:val="single" w:sz="4" w:space="0" w:color="auto"/>
              <w:right w:val="single" w:sz="4" w:space="0" w:color="auto"/>
            </w:tcBorders>
            <w:shd w:val="clear" w:color="auto" w:fill="C6EFCE"/>
            <w:vAlign w:val="center"/>
          </w:tcPr>
          <w:p w14:paraId="33A3BE06"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Инсталиране на цифрово оборудване в сградите за висше образование </w:t>
            </w:r>
          </w:p>
        </w:tc>
        <w:tc>
          <w:tcPr>
            <w:tcW w:w="1482" w:type="dxa"/>
            <w:tcBorders>
              <w:top w:val="nil"/>
              <w:left w:val="nil"/>
              <w:bottom w:val="single" w:sz="4" w:space="0" w:color="auto"/>
              <w:right w:val="single" w:sz="4" w:space="0" w:color="auto"/>
            </w:tcBorders>
            <w:shd w:val="clear" w:color="auto" w:fill="C6EFCE"/>
            <w:vAlign w:val="center"/>
          </w:tcPr>
          <w:p w14:paraId="2BBDB935"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019" w:type="dxa"/>
            <w:tcBorders>
              <w:top w:val="nil"/>
              <w:left w:val="nil"/>
              <w:bottom w:val="single" w:sz="4" w:space="0" w:color="auto"/>
              <w:right w:val="single" w:sz="4" w:space="0" w:color="auto"/>
            </w:tcBorders>
            <w:shd w:val="clear" w:color="auto" w:fill="C6EFCE"/>
            <w:vAlign w:val="center"/>
          </w:tcPr>
          <w:p w14:paraId="2876F59B"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 на ИКТ оборудването</w:t>
            </w:r>
          </w:p>
        </w:tc>
        <w:tc>
          <w:tcPr>
            <w:tcW w:w="1108" w:type="dxa"/>
            <w:tcBorders>
              <w:top w:val="nil"/>
              <w:left w:val="nil"/>
              <w:bottom w:val="single" w:sz="4" w:space="0" w:color="auto"/>
              <w:right w:val="single" w:sz="4" w:space="0" w:color="auto"/>
            </w:tcBorders>
            <w:shd w:val="clear" w:color="auto" w:fill="C6EFCE"/>
            <w:vAlign w:val="center"/>
          </w:tcPr>
          <w:p w14:paraId="76B8FC7E"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nil"/>
              <w:left w:val="nil"/>
              <w:bottom w:val="single" w:sz="4" w:space="0" w:color="auto"/>
              <w:right w:val="single" w:sz="4" w:space="0" w:color="auto"/>
            </w:tcBorders>
            <w:shd w:val="clear" w:color="auto" w:fill="C6EFCE"/>
            <w:vAlign w:val="center"/>
          </w:tcPr>
          <w:p w14:paraId="31BB6F07" w14:textId="41DD0FAA" w:rsidR="00CE3BAD" w:rsidRPr="00782BF9" w:rsidRDefault="006B5475">
            <w:pPr>
              <w:pStyle w:val="P68B1DB1-Normal10"/>
              <w:spacing w:after="0" w:line="240" w:lineRule="auto"/>
              <w:rPr>
                <w:rFonts w:eastAsia="Times New Roman"/>
                <w:noProof/>
                <w:lang w:val="bg-BG"/>
              </w:rPr>
            </w:pPr>
            <w:r w:rsidRPr="00782BF9">
              <w:rPr>
                <w:noProof/>
                <w:lang w:val="bg-BG"/>
              </w:rPr>
              <w:t>22</w:t>
            </w:r>
            <w:r w:rsidRPr="00782BF9">
              <w:rPr>
                <w:noProof/>
                <w:color w:val="006100"/>
                <w:lang w:val="bg-BG"/>
              </w:rPr>
              <w:t xml:space="preserve"> </w:t>
            </w:r>
            <w:r w:rsidRPr="00782BF9">
              <w:rPr>
                <w:noProof/>
                <w:lang w:val="bg-BG"/>
              </w:rPr>
              <w:t>300</w:t>
            </w:r>
          </w:p>
        </w:tc>
        <w:tc>
          <w:tcPr>
            <w:tcW w:w="806" w:type="dxa"/>
            <w:tcBorders>
              <w:top w:val="nil"/>
              <w:left w:val="nil"/>
              <w:bottom w:val="single" w:sz="4" w:space="0" w:color="auto"/>
              <w:right w:val="single" w:sz="4" w:space="0" w:color="auto"/>
            </w:tcBorders>
            <w:shd w:val="clear" w:color="auto" w:fill="C6EFCE"/>
            <w:vAlign w:val="center"/>
          </w:tcPr>
          <w:p w14:paraId="7E9F1FC1"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tcPr>
          <w:p w14:paraId="39922281"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vAlign w:val="center"/>
          </w:tcPr>
          <w:p w14:paraId="36427E37" w14:textId="43BDD07D" w:rsidR="00CE3BAD" w:rsidRPr="00782BF9" w:rsidRDefault="006B5475">
            <w:pPr>
              <w:pStyle w:val="P68B1DB1-Normal10"/>
              <w:spacing w:after="0" w:line="240" w:lineRule="auto"/>
              <w:rPr>
                <w:rFonts w:eastAsia="Times New Roman"/>
                <w:noProof/>
                <w:lang w:val="bg-BG"/>
              </w:rPr>
            </w:pPr>
            <w:r w:rsidRPr="00782BF9">
              <w:rPr>
                <w:noProof/>
                <w:lang w:val="bg-BG"/>
              </w:rPr>
              <w:t>В институциите за висше образование трябва да бъдат закупени и инсталирани най-малко</w:t>
            </w:r>
            <w:r w:rsidRPr="00782BF9">
              <w:rPr>
                <w:noProof/>
                <w:color w:val="006100"/>
                <w:lang w:val="bg-BG"/>
              </w:rPr>
              <w:t xml:space="preserve"> </w:t>
            </w:r>
            <w:r w:rsidRPr="00782BF9">
              <w:rPr>
                <w:noProof/>
                <w:lang w:val="bg-BG"/>
              </w:rPr>
              <w:t>300 22 единици ИКТ оборудване. Това ИКТ оборудване включва интерактивни бели дъски или големи сензорни екрани, компютри и лаптопи, мултимедийни студиа, мултимедийни и/или интерактивни устройства, подпомагащи цифровото преподаване, учене, система за управление на ученето, ИКТ инструменти, необходими за разработване/структурирано събиране на материали за електронно обучение, съхранение, класифициране и достъпност на съдържанието, в съответствие с Директивата на ЕС за намиране, достъпност, оперативна съвместимост и повторна употреба, системи, използвани за излъчване на образователни и комуникационни системи и системи за сътрудничество в подкрепа на цифровото образование, мултимедийни системи за съхранение, онлайн каталог, който гарантира възможността за търсене и достъпността на цифровото съдържание, лицензи за образователен софтуер, затворена система за управление на дистанционното обучение и свързаните с нея лицензи за системи за редактиране на учебни програми, системи за услуги в облак.</w:t>
            </w:r>
          </w:p>
        </w:tc>
      </w:tr>
      <w:tr w:rsidR="00CE3BAD" w:rsidRPr="00782BF9" w14:paraId="3AE398C9" w14:textId="77777777">
        <w:trPr>
          <w:trHeight w:val="388"/>
        </w:trPr>
        <w:tc>
          <w:tcPr>
            <w:tcW w:w="1013" w:type="dxa"/>
            <w:tcBorders>
              <w:top w:val="nil"/>
              <w:left w:val="single" w:sz="4" w:space="0" w:color="auto"/>
              <w:bottom w:val="single" w:sz="4" w:space="0" w:color="auto"/>
              <w:right w:val="single" w:sz="4" w:space="0" w:color="auto"/>
            </w:tcBorders>
            <w:shd w:val="clear" w:color="auto" w:fill="C6EFCE"/>
            <w:vAlign w:val="center"/>
          </w:tcPr>
          <w:p w14:paraId="42C8DD82" w14:textId="4351BF7C" w:rsidR="00CE3BAD" w:rsidRPr="00782BF9" w:rsidRDefault="006B5475">
            <w:pPr>
              <w:pStyle w:val="P68B1DB1-Normal10"/>
              <w:spacing w:after="0" w:line="240" w:lineRule="auto"/>
              <w:rPr>
                <w:rFonts w:eastAsia="Times New Roman"/>
                <w:noProof/>
                <w:lang w:val="bg-BG"/>
              </w:rPr>
            </w:pPr>
            <w:r w:rsidRPr="00782BF9">
              <w:rPr>
                <w:noProof/>
                <w:lang w:val="bg-BG"/>
              </w:rPr>
              <w:t>38</w:t>
            </w:r>
          </w:p>
        </w:tc>
        <w:tc>
          <w:tcPr>
            <w:tcW w:w="1773" w:type="dxa"/>
            <w:tcBorders>
              <w:top w:val="single" w:sz="4" w:space="0" w:color="auto"/>
              <w:left w:val="nil"/>
              <w:bottom w:val="single" w:sz="4" w:space="0" w:color="auto"/>
              <w:right w:val="single" w:sz="4" w:space="0" w:color="auto"/>
            </w:tcBorders>
            <w:shd w:val="clear" w:color="auto" w:fill="C6EFCE"/>
            <w:vAlign w:val="center"/>
          </w:tcPr>
          <w:p w14:paraId="2EE6AABB" w14:textId="5088712E" w:rsidR="00CE3BAD" w:rsidRPr="00782BF9" w:rsidRDefault="006B5475">
            <w:pPr>
              <w:pStyle w:val="P68B1DB1-Normal10"/>
              <w:spacing w:after="0" w:line="240" w:lineRule="auto"/>
              <w:rPr>
                <w:rFonts w:eastAsia="Times New Roman"/>
                <w:noProof/>
                <w:lang w:val="bg-BG"/>
              </w:rPr>
            </w:pPr>
            <w:r w:rsidRPr="00782BF9">
              <w:rPr>
                <w:noProof/>
                <w:lang w:val="bg-BG"/>
              </w:rPr>
              <w:t>C2.I2 Модернизиране на инфраструктурата и цифровизация във висшите учебни заведения</w:t>
            </w:r>
          </w:p>
        </w:tc>
        <w:tc>
          <w:tcPr>
            <w:tcW w:w="1155" w:type="dxa"/>
            <w:tcBorders>
              <w:top w:val="nil"/>
              <w:left w:val="nil"/>
              <w:bottom w:val="single" w:sz="4" w:space="0" w:color="auto"/>
              <w:right w:val="single" w:sz="4" w:space="0" w:color="auto"/>
            </w:tcBorders>
            <w:shd w:val="clear" w:color="auto" w:fill="C6EFCE"/>
            <w:vAlign w:val="center"/>
          </w:tcPr>
          <w:p w14:paraId="62308DFD"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Ключов етап </w:t>
            </w:r>
          </w:p>
        </w:tc>
        <w:tc>
          <w:tcPr>
            <w:tcW w:w="1498" w:type="dxa"/>
            <w:tcBorders>
              <w:top w:val="single" w:sz="4" w:space="0" w:color="auto"/>
              <w:left w:val="nil"/>
              <w:bottom w:val="single" w:sz="4" w:space="0" w:color="auto"/>
              <w:right w:val="single" w:sz="4" w:space="0" w:color="auto"/>
            </w:tcBorders>
            <w:shd w:val="clear" w:color="auto" w:fill="C6EFCE"/>
            <w:vAlign w:val="center"/>
          </w:tcPr>
          <w:p w14:paraId="7BC41CBD"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Доклад относно дейностите за развитие на капацитет във висшите учебни заведения </w:t>
            </w:r>
          </w:p>
        </w:tc>
        <w:tc>
          <w:tcPr>
            <w:tcW w:w="1482" w:type="dxa"/>
            <w:tcBorders>
              <w:top w:val="nil"/>
              <w:left w:val="nil"/>
              <w:bottom w:val="single" w:sz="4" w:space="0" w:color="auto"/>
              <w:right w:val="single" w:sz="4" w:space="0" w:color="auto"/>
            </w:tcBorders>
            <w:shd w:val="clear" w:color="auto" w:fill="C6EFCE"/>
            <w:vAlign w:val="center"/>
          </w:tcPr>
          <w:p w14:paraId="2D8F8C33" w14:textId="77777777" w:rsidR="00CE3BAD" w:rsidRPr="00782BF9" w:rsidRDefault="006B5475">
            <w:pPr>
              <w:pStyle w:val="P68B1DB1-Normal10"/>
              <w:spacing w:after="0" w:line="240" w:lineRule="auto"/>
              <w:rPr>
                <w:rFonts w:eastAsia="Times New Roman"/>
                <w:noProof/>
                <w:lang w:val="bg-BG"/>
              </w:rPr>
            </w:pPr>
            <w:r w:rsidRPr="00782BF9">
              <w:rPr>
                <w:noProof/>
                <w:lang w:val="bg-BG"/>
              </w:rPr>
              <w:t>Публикуване на доклада</w:t>
            </w:r>
          </w:p>
        </w:tc>
        <w:tc>
          <w:tcPr>
            <w:tcW w:w="1019" w:type="dxa"/>
            <w:tcBorders>
              <w:top w:val="nil"/>
              <w:left w:val="nil"/>
              <w:bottom w:val="single" w:sz="4" w:space="0" w:color="auto"/>
              <w:right w:val="single" w:sz="4" w:space="0" w:color="auto"/>
            </w:tcBorders>
            <w:shd w:val="clear" w:color="auto" w:fill="C6EFCE"/>
            <w:vAlign w:val="center"/>
          </w:tcPr>
          <w:p w14:paraId="77025F02" w14:textId="77777777" w:rsidR="00CE3BAD" w:rsidRPr="00782BF9" w:rsidRDefault="00CE3BAD">
            <w:pPr>
              <w:spacing w:after="0" w:line="240" w:lineRule="auto"/>
              <w:rPr>
                <w:rFonts w:eastAsia="Times New Roman"/>
                <w:noProof/>
                <w:sz w:val="18"/>
                <w:lang w:val="bg-BG"/>
              </w:rPr>
            </w:pPr>
          </w:p>
        </w:tc>
        <w:tc>
          <w:tcPr>
            <w:tcW w:w="1108" w:type="dxa"/>
            <w:tcBorders>
              <w:top w:val="nil"/>
              <w:left w:val="nil"/>
              <w:bottom w:val="single" w:sz="4" w:space="0" w:color="auto"/>
              <w:right w:val="single" w:sz="4" w:space="0" w:color="auto"/>
            </w:tcBorders>
            <w:shd w:val="clear" w:color="auto" w:fill="C6EFCE"/>
            <w:vAlign w:val="center"/>
          </w:tcPr>
          <w:p w14:paraId="3103D1CE" w14:textId="77777777" w:rsidR="00CE3BAD" w:rsidRPr="00782BF9" w:rsidRDefault="00CE3BAD">
            <w:pPr>
              <w:spacing w:after="0" w:line="240" w:lineRule="auto"/>
              <w:rPr>
                <w:rFonts w:eastAsia="Times New Roman"/>
                <w:noProof/>
                <w:sz w:val="18"/>
                <w:lang w:val="bg-BG"/>
              </w:rPr>
            </w:pPr>
          </w:p>
        </w:tc>
        <w:tc>
          <w:tcPr>
            <w:tcW w:w="1123" w:type="dxa"/>
            <w:tcBorders>
              <w:top w:val="nil"/>
              <w:left w:val="nil"/>
              <w:bottom w:val="single" w:sz="4" w:space="0" w:color="auto"/>
              <w:right w:val="single" w:sz="4" w:space="0" w:color="auto"/>
            </w:tcBorders>
            <w:shd w:val="clear" w:color="auto" w:fill="C6EFCE"/>
            <w:vAlign w:val="center"/>
          </w:tcPr>
          <w:p w14:paraId="7A948BE5" w14:textId="77777777" w:rsidR="00CE3BAD" w:rsidRPr="00782BF9" w:rsidRDefault="00CE3BAD">
            <w:pPr>
              <w:spacing w:after="0" w:line="240" w:lineRule="auto"/>
              <w:rPr>
                <w:rFonts w:eastAsia="Times New Roman"/>
                <w:noProof/>
                <w:sz w:val="18"/>
                <w:lang w:val="bg-BG"/>
              </w:rPr>
            </w:pPr>
          </w:p>
        </w:tc>
        <w:tc>
          <w:tcPr>
            <w:tcW w:w="806" w:type="dxa"/>
            <w:tcBorders>
              <w:top w:val="nil"/>
              <w:left w:val="nil"/>
              <w:bottom w:val="single" w:sz="4" w:space="0" w:color="auto"/>
              <w:right w:val="single" w:sz="4" w:space="0" w:color="auto"/>
            </w:tcBorders>
            <w:shd w:val="clear" w:color="auto" w:fill="C6EFCE"/>
            <w:vAlign w:val="center"/>
          </w:tcPr>
          <w:p w14:paraId="2FC7DC02"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tcPr>
          <w:p w14:paraId="21501078"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vAlign w:val="center"/>
          </w:tcPr>
          <w:p w14:paraId="179499F9" w14:textId="75F521A6" w:rsidR="00CE3BAD" w:rsidRPr="00782BF9" w:rsidRDefault="006B5475">
            <w:pPr>
              <w:pStyle w:val="P68B1DB1-Normal10"/>
              <w:spacing w:after="0" w:line="240" w:lineRule="auto"/>
              <w:rPr>
                <w:rFonts w:eastAsia="Times New Roman"/>
                <w:noProof/>
                <w:lang w:val="bg-BG"/>
              </w:rPr>
            </w:pPr>
            <w:r w:rsidRPr="00782BF9">
              <w:rPr>
                <w:noProof/>
                <w:lang w:val="bg-BG"/>
              </w:rPr>
              <w:t>Публикува се доклад, в който са представени резултатите от дейностите по развитие на капацитета, извършени по тази мярка, включително: организиране на обучения, конференции и дейности за развиване на умения; оборудване на семинари и лаборатории за учебни цели; разработване на основни съоръжения, лаборатории за умения, езикови курсове и обучение за компетентности въз основа на нуждите на университетите.</w:t>
            </w:r>
          </w:p>
        </w:tc>
      </w:tr>
      <w:tr w:rsidR="00CE3BAD" w:rsidRPr="00782BF9" w14:paraId="6C29A458"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48691AC1" w14:textId="3E0CECCC" w:rsidR="00CE3BAD" w:rsidRPr="00782BF9" w:rsidRDefault="006B5475">
            <w:pPr>
              <w:pStyle w:val="P68B1DB1-Normal10"/>
              <w:spacing w:after="0" w:line="240" w:lineRule="auto"/>
              <w:rPr>
                <w:rFonts w:eastAsia="Times New Roman"/>
                <w:noProof/>
                <w:lang w:val="bg-BG"/>
              </w:rPr>
            </w:pPr>
            <w:r w:rsidRPr="00782BF9">
              <w:rPr>
                <w:noProof/>
                <w:lang w:val="bg-BG"/>
              </w:rPr>
              <w:t>39</w:t>
            </w:r>
          </w:p>
        </w:tc>
        <w:tc>
          <w:tcPr>
            <w:tcW w:w="1773" w:type="dxa"/>
            <w:tcBorders>
              <w:top w:val="nil"/>
              <w:left w:val="nil"/>
              <w:bottom w:val="single" w:sz="4" w:space="0" w:color="auto"/>
              <w:right w:val="single" w:sz="4" w:space="0" w:color="auto"/>
            </w:tcBorders>
            <w:shd w:val="clear" w:color="auto" w:fill="C6EFCE"/>
            <w:vAlign w:val="center"/>
          </w:tcPr>
          <w:p w14:paraId="03343FC0" w14:textId="47967149" w:rsidR="00CE3BAD" w:rsidRPr="00782BF9" w:rsidRDefault="006B5475">
            <w:pPr>
              <w:pStyle w:val="P68B1DB1-Normal10"/>
              <w:spacing w:after="0" w:line="240" w:lineRule="auto"/>
              <w:rPr>
                <w:rFonts w:eastAsia="Times New Roman"/>
                <w:noProof/>
                <w:lang w:val="bg-BG"/>
              </w:rPr>
            </w:pPr>
            <w:r w:rsidRPr="00782BF9">
              <w:rPr>
                <w:noProof/>
                <w:lang w:val="bg-BG"/>
              </w:rPr>
              <w:t>C2.I3 Разработване на цифрови учебни програми за професионално образование и обучение</w:t>
            </w:r>
          </w:p>
        </w:tc>
        <w:tc>
          <w:tcPr>
            <w:tcW w:w="1155" w:type="dxa"/>
            <w:tcBorders>
              <w:top w:val="nil"/>
              <w:left w:val="nil"/>
              <w:bottom w:val="single" w:sz="4" w:space="0" w:color="auto"/>
              <w:right w:val="single" w:sz="4" w:space="0" w:color="auto"/>
            </w:tcBorders>
            <w:shd w:val="clear" w:color="auto" w:fill="C6EFCE"/>
            <w:vAlign w:val="center"/>
          </w:tcPr>
          <w:p w14:paraId="067E4FDE"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498" w:type="dxa"/>
            <w:tcBorders>
              <w:top w:val="nil"/>
              <w:left w:val="nil"/>
              <w:bottom w:val="single" w:sz="4" w:space="0" w:color="auto"/>
              <w:right w:val="single" w:sz="4" w:space="0" w:color="auto"/>
            </w:tcBorders>
            <w:shd w:val="clear" w:color="auto" w:fill="C6EFCE"/>
            <w:vAlign w:val="center"/>
          </w:tcPr>
          <w:p w14:paraId="36CAA416" w14:textId="77777777" w:rsidR="00CE3BAD" w:rsidRPr="00782BF9" w:rsidRDefault="006B5475">
            <w:pPr>
              <w:pStyle w:val="P68B1DB1-Normal10"/>
              <w:spacing w:after="0" w:line="240" w:lineRule="auto"/>
              <w:rPr>
                <w:rFonts w:eastAsia="Times New Roman"/>
                <w:noProof/>
                <w:lang w:val="bg-BG"/>
              </w:rPr>
            </w:pPr>
            <w:r w:rsidRPr="00782BF9">
              <w:rPr>
                <w:noProof/>
                <w:lang w:val="bg-BG"/>
              </w:rPr>
              <w:t>Отправяне на покана за представяне на проекти за разработване на цифрови учебни програми</w:t>
            </w:r>
          </w:p>
        </w:tc>
        <w:tc>
          <w:tcPr>
            <w:tcW w:w="1482" w:type="dxa"/>
            <w:tcBorders>
              <w:top w:val="nil"/>
              <w:left w:val="nil"/>
              <w:bottom w:val="single" w:sz="4" w:space="0" w:color="auto"/>
              <w:right w:val="single" w:sz="4" w:space="0" w:color="auto"/>
            </w:tcBorders>
            <w:shd w:val="clear" w:color="auto" w:fill="C6EFCE"/>
            <w:vAlign w:val="center"/>
          </w:tcPr>
          <w:p w14:paraId="17059F73" w14:textId="77777777" w:rsidR="00CE3BAD" w:rsidRPr="00782BF9" w:rsidRDefault="006B5475">
            <w:pPr>
              <w:pStyle w:val="P68B1DB1-Normal10"/>
              <w:spacing w:after="0" w:line="240" w:lineRule="auto"/>
              <w:rPr>
                <w:rFonts w:eastAsia="Times New Roman"/>
                <w:noProof/>
                <w:lang w:val="bg-BG"/>
              </w:rPr>
            </w:pPr>
            <w:r w:rsidRPr="00782BF9">
              <w:rPr>
                <w:noProof/>
                <w:lang w:val="bg-BG"/>
              </w:rPr>
              <w:t>Публикуване на поканата за представяне на проекти от Националната служба за професионално образование и обучение и учене за възрастни</w:t>
            </w:r>
          </w:p>
        </w:tc>
        <w:tc>
          <w:tcPr>
            <w:tcW w:w="1019" w:type="dxa"/>
            <w:tcBorders>
              <w:top w:val="nil"/>
              <w:left w:val="nil"/>
              <w:bottom w:val="single" w:sz="4" w:space="0" w:color="auto"/>
              <w:right w:val="single" w:sz="4" w:space="0" w:color="auto"/>
            </w:tcBorders>
            <w:shd w:val="clear" w:color="auto" w:fill="C6EFCE"/>
            <w:vAlign w:val="center"/>
          </w:tcPr>
          <w:p w14:paraId="4DC2C390"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108" w:type="dxa"/>
            <w:tcBorders>
              <w:top w:val="nil"/>
              <w:left w:val="nil"/>
              <w:bottom w:val="single" w:sz="4" w:space="0" w:color="auto"/>
              <w:right w:val="single" w:sz="4" w:space="0" w:color="auto"/>
            </w:tcBorders>
            <w:shd w:val="clear" w:color="auto" w:fill="C6EFCE"/>
            <w:vAlign w:val="center"/>
          </w:tcPr>
          <w:p w14:paraId="43D53B69"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123" w:type="dxa"/>
            <w:tcBorders>
              <w:top w:val="nil"/>
              <w:left w:val="nil"/>
              <w:bottom w:val="single" w:sz="4" w:space="0" w:color="auto"/>
              <w:right w:val="single" w:sz="4" w:space="0" w:color="auto"/>
            </w:tcBorders>
            <w:shd w:val="clear" w:color="auto" w:fill="C6EFCE"/>
            <w:vAlign w:val="center"/>
          </w:tcPr>
          <w:p w14:paraId="66550BA6"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806" w:type="dxa"/>
            <w:tcBorders>
              <w:top w:val="nil"/>
              <w:left w:val="nil"/>
              <w:bottom w:val="single" w:sz="4" w:space="0" w:color="auto"/>
              <w:right w:val="single" w:sz="4" w:space="0" w:color="auto"/>
            </w:tcBorders>
            <w:shd w:val="clear" w:color="auto" w:fill="C6EFCE"/>
            <w:vAlign w:val="center"/>
          </w:tcPr>
          <w:p w14:paraId="67ACDDB5"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tcPr>
          <w:p w14:paraId="6DC25300"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425" w:type="dxa"/>
            <w:tcBorders>
              <w:top w:val="nil"/>
              <w:left w:val="nil"/>
              <w:bottom w:val="single" w:sz="4" w:space="0" w:color="auto"/>
              <w:right w:val="single" w:sz="4" w:space="0" w:color="auto"/>
            </w:tcBorders>
            <w:shd w:val="clear" w:color="auto" w:fill="C6EFCE"/>
            <w:vAlign w:val="center"/>
          </w:tcPr>
          <w:p w14:paraId="52F71691" w14:textId="45D86958" w:rsidR="00CE3BAD" w:rsidRPr="00782BF9" w:rsidRDefault="006B5475">
            <w:pPr>
              <w:pStyle w:val="P68B1DB1-Normal10"/>
              <w:spacing w:after="0" w:line="240" w:lineRule="auto"/>
              <w:rPr>
                <w:rFonts w:eastAsia="Times New Roman"/>
                <w:noProof/>
                <w:lang w:val="bg-BG"/>
              </w:rPr>
            </w:pPr>
            <w:r w:rsidRPr="00782BF9">
              <w:rPr>
                <w:noProof/>
                <w:lang w:val="bg-BG"/>
              </w:rPr>
              <w:t>Националната служба за професионално образование и обучение и учене за възрастни отправя покана за представяне на проекти за разработване на цифрови учебни материали. В поканата се посочва, че цифровите учебни материали се отнасят до сектори, които не са под контрола на Министерството на културата и иновациите, в съответствие с член 45, параграф 1 от Правителствено постановление 12/2020. (II. 7.).</w:t>
            </w:r>
          </w:p>
        </w:tc>
      </w:tr>
      <w:tr w:rsidR="00CE3BAD" w:rsidRPr="00782BF9" w14:paraId="2E6F7A7D"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1492C4D9" w14:textId="5DF2E2CD" w:rsidR="00CE3BAD" w:rsidRPr="00782BF9" w:rsidRDefault="006B5475">
            <w:pPr>
              <w:pStyle w:val="P68B1DB1-Normal10"/>
              <w:spacing w:after="0" w:line="240" w:lineRule="auto"/>
              <w:rPr>
                <w:rFonts w:eastAsia="Times New Roman"/>
                <w:noProof/>
                <w:lang w:val="bg-BG"/>
              </w:rPr>
            </w:pPr>
            <w:r w:rsidRPr="00782BF9">
              <w:rPr>
                <w:noProof/>
                <w:lang w:val="bg-BG"/>
              </w:rPr>
              <w:t>40</w:t>
            </w:r>
          </w:p>
        </w:tc>
        <w:tc>
          <w:tcPr>
            <w:tcW w:w="1773" w:type="dxa"/>
            <w:tcBorders>
              <w:top w:val="nil"/>
              <w:left w:val="nil"/>
              <w:bottom w:val="single" w:sz="4" w:space="0" w:color="auto"/>
              <w:right w:val="single" w:sz="4" w:space="0" w:color="auto"/>
            </w:tcBorders>
            <w:shd w:val="clear" w:color="auto" w:fill="C6EFCE"/>
            <w:vAlign w:val="center"/>
          </w:tcPr>
          <w:p w14:paraId="5D967C7E" w14:textId="537B3D6D" w:rsidR="00CE3BAD" w:rsidRPr="00782BF9" w:rsidRDefault="006B5475">
            <w:pPr>
              <w:pStyle w:val="P68B1DB1-Normal10"/>
              <w:spacing w:after="0" w:line="240" w:lineRule="auto"/>
              <w:rPr>
                <w:rFonts w:eastAsia="Times New Roman"/>
                <w:noProof/>
                <w:lang w:val="bg-BG"/>
              </w:rPr>
            </w:pPr>
            <w:r w:rsidRPr="00782BF9">
              <w:rPr>
                <w:noProof/>
                <w:lang w:val="bg-BG"/>
              </w:rPr>
              <w:t>C2.I3 Разработване на цифрови учебни програми за професионално образование и обучение</w:t>
            </w:r>
          </w:p>
        </w:tc>
        <w:tc>
          <w:tcPr>
            <w:tcW w:w="1155" w:type="dxa"/>
            <w:tcBorders>
              <w:top w:val="nil"/>
              <w:left w:val="nil"/>
              <w:bottom w:val="single" w:sz="4" w:space="0" w:color="auto"/>
              <w:right w:val="single" w:sz="4" w:space="0" w:color="auto"/>
            </w:tcBorders>
            <w:shd w:val="clear" w:color="auto" w:fill="C6EFCE"/>
            <w:vAlign w:val="center"/>
          </w:tcPr>
          <w:p w14:paraId="7132C86F"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nil"/>
              <w:left w:val="nil"/>
              <w:bottom w:val="single" w:sz="4" w:space="0" w:color="auto"/>
              <w:right w:val="single" w:sz="4" w:space="0" w:color="auto"/>
            </w:tcBorders>
            <w:shd w:val="clear" w:color="auto" w:fill="C6EFCE"/>
            <w:vAlign w:val="center"/>
          </w:tcPr>
          <w:p w14:paraId="44404249"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 на цифровите учебни материали, разработени за целите на професионалното образование и обучение</w:t>
            </w:r>
          </w:p>
        </w:tc>
        <w:tc>
          <w:tcPr>
            <w:tcW w:w="1482" w:type="dxa"/>
            <w:tcBorders>
              <w:top w:val="nil"/>
              <w:left w:val="nil"/>
              <w:bottom w:val="single" w:sz="4" w:space="0" w:color="auto"/>
              <w:right w:val="single" w:sz="4" w:space="0" w:color="auto"/>
            </w:tcBorders>
            <w:shd w:val="clear" w:color="auto" w:fill="C6EFCE"/>
            <w:vAlign w:val="center"/>
          </w:tcPr>
          <w:p w14:paraId="703BBD03" w14:textId="77777777" w:rsidR="00CE3BAD" w:rsidRPr="00782BF9" w:rsidRDefault="00CE3BAD">
            <w:pPr>
              <w:spacing w:after="0" w:line="240" w:lineRule="auto"/>
              <w:rPr>
                <w:rFonts w:eastAsia="Times New Roman"/>
                <w:noProof/>
                <w:sz w:val="18"/>
                <w:lang w:val="bg-BG"/>
              </w:rPr>
            </w:pPr>
          </w:p>
        </w:tc>
        <w:tc>
          <w:tcPr>
            <w:tcW w:w="1019" w:type="dxa"/>
            <w:tcBorders>
              <w:top w:val="nil"/>
              <w:left w:val="nil"/>
              <w:bottom w:val="single" w:sz="4" w:space="0" w:color="auto"/>
              <w:right w:val="single" w:sz="4" w:space="0" w:color="auto"/>
            </w:tcBorders>
            <w:shd w:val="clear" w:color="auto" w:fill="C6EFCE"/>
            <w:vAlign w:val="center"/>
          </w:tcPr>
          <w:p w14:paraId="3ECF1BC5"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 </w:t>
            </w:r>
          </w:p>
        </w:tc>
        <w:tc>
          <w:tcPr>
            <w:tcW w:w="1108" w:type="dxa"/>
            <w:tcBorders>
              <w:top w:val="nil"/>
              <w:left w:val="nil"/>
              <w:bottom w:val="single" w:sz="4" w:space="0" w:color="auto"/>
              <w:right w:val="single" w:sz="4" w:space="0" w:color="auto"/>
            </w:tcBorders>
            <w:shd w:val="clear" w:color="auto" w:fill="C6EFCE"/>
            <w:vAlign w:val="center"/>
          </w:tcPr>
          <w:p w14:paraId="2A691BD3" w14:textId="77777777" w:rsidR="00CE3BAD" w:rsidRPr="00782BF9" w:rsidRDefault="006B5475">
            <w:pPr>
              <w:pStyle w:val="P68B1DB1-Normal10"/>
              <w:spacing w:after="0" w:line="240" w:lineRule="auto"/>
              <w:rPr>
                <w:rFonts w:eastAsia="Times New Roman"/>
                <w:noProof/>
                <w:lang w:val="bg-BG"/>
              </w:rPr>
            </w:pPr>
            <w:r w:rsidRPr="00782BF9">
              <w:rPr>
                <w:noProof/>
                <w:lang w:val="bg-BG"/>
              </w:rPr>
              <w:t> 0</w:t>
            </w:r>
          </w:p>
        </w:tc>
        <w:tc>
          <w:tcPr>
            <w:tcW w:w="1123" w:type="dxa"/>
            <w:tcBorders>
              <w:top w:val="nil"/>
              <w:left w:val="nil"/>
              <w:bottom w:val="single" w:sz="4" w:space="0" w:color="auto"/>
              <w:right w:val="single" w:sz="4" w:space="0" w:color="auto"/>
            </w:tcBorders>
            <w:shd w:val="clear" w:color="auto" w:fill="C6EFCE"/>
            <w:vAlign w:val="center"/>
          </w:tcPr>
          <w:p w14:paraId="1D5D3D87" w14:textId="0C8B6905" w:rsidR="00CE3BAD" w:rsidRPr="00782BF9" w:rsidRDefault="006B5475">
            <w:pPr>
              <w:pStyle w:val="P68B1DB1-Normal10"/>
              <w:spacing w:after="0" w:line="240" w:lineRule="auto"/>
              <w:rPr>
                <w:rFonts w:eastAsia="Times New Roman"/>
                <w:noProof/>
                <w:lang w:val="bg-BG"/>
              </w:rPr>
            </w:pPr>
            <w:r w:rsidRPr="00782BF9">
              <w:rPr>
                <w:noProof/>
                <w:lang w:val="bg-BG"/>
              </w:rPr>
              <w:t>75</w:t>
            </w:r>
          </w:p>
        </w:tc>
        <w:tc>
          <w:tcPr>
            <w:tcW w:w="806" w:type="dxa"/>
            <w:tcBorders>
              <w:top w:val="nil"/>
              <w:left w:val="nil"/>
              <w:bottom w:val="single" w:sz="4" w:space="0" w:color="auto"/>
              <w:right w:val="single" w:sz="4" w:space="0" w:color="auto"/>
            </w:tcBorders>
            <w:shd w:val="clear" w:color="auto" w:fill="C6EFCE"/>
            <w:vAlign w:val="center"/>
          </w:tcPr>
          <w:p w14:paraId="1D0E2FA6" w14:textId="77777777" w:rsidR="00CE3BAD" w:rsidRPr="00782BF9" w:rsidRDefault="006B5475">
            <w:pPr>
              <w:pStyle w:val="P68B1DB1-Normal10"/>
              <w:spacing w:after="0" w:line="240" w:lineRule="auto"/>
              <w:rPr>
                <w:rFonts w:eastAsia="Times New Roman"/>
                <w:noProof/>
                <w:lang w:val="bg-BG"/>
              </w:rPr>
            </w:pPr>
            <w:r w:rsidRPr="00782BF9">
              <w:rPr>
                <w:noProof/>
                <w:lang w:val="bg-BG"/>
              </w:rPr>
              <w:t>Т3 Г.</w:t>
            </w:r>
          </w:p>
        </w:tc>
        <w:tc>
          <w:tcPr>
            <w:tcW w:w="789" w:type="dxa"/>
            <w:tcBorders>
              <w:top w:val="nil"/>
              <w:left w:val="nil"/>
              <w:bottom w:val="single" w:sz="4" w:space="0" w:color="auto"/>
              <w:right w:val="single" w:sz="4" w:space="0" w:color="auto"/>
            </w:tcBorders>
            <w:shd w:val="clear" w:color="auto" w:fill="C6EFCE"/>
            <w:vAlign w:val="center"/>
          </w:tcPr>
          <w:p w14:paraId="4446B158" w14:textId="77777777" w:rsidR="00CE3BAD" w:rsidRPr="00782BF9" w:rsidRDefault="006B5475">
            <w:pPr>
              <w:pStyle w:val="P68B1DB1-Normal10"/>
              <w:spacing w:after="0" w:line="240" w:lineRule="auto"/>
              <w:rPr>
                <w:rFonts w:eastAsia="Times New Roman"/>
                <w:noProof/>
                <w:lang w:val="bg-BG"/>
              </w:rPr>
            </w:pPr>
            <w:r w:rsidRPr="00782BF9">
              <w:rPr>
                <w:noProof/>
                <w:lang w:val="bg-BG"/>
              </w:rPr>
              <w:t>2025</w:t>
            </w:r>
          </w:p>
        </w:tc>
        <w:tc>
          <w:tcPr>
            <w:tcW w:w="4425" w:type="dxa"/>
            <w:tcBorders>
              <w:top w:val="nil"/>
              <w:left w:val="nil"/>
              <w:bottom w:val="single" w:sz="4" w:space="0" w:color="auto"/>
              <w:right w:val="single" w:sz="4" w:space="0" w:color="auto"/>
            </w:tcBorders>
            <w:shd w:val="clear" w:color="auto" w:fill="C6EFCE"/>
          </w:tcPr>
          <w:p w14:paraId="670E6617" w14:textId="53F6C4CA" w:rsidR="00CE3BAD" w:rsidRPr="00782BF9" w:rsidRDefault="006B5475">
            <w:pPr>
              <w:pStyle w:val="P68B1DB1-Normal10"/>
              <w:spacing w:after="0" w:line="240" w:lineRule="auto"/>
              <w:rPr>
                <w:rFonts w:eastAsia="Times New Roman"/>
                <w:noProof/>
                <w:lang w:val="bg-BG"/>
              </w:rPr>
            </w:pPr>
            <w:r w:rsidRPr="00782BF9">
              <w:rPr>
                <w:noProof/>
                <w:lang w:val="bg-BG"/>
              </w:rPr>
              <w:t>Разработват се най-малко 75 цифрови учебни материала за професионално образование и обучение, свързани с конкретни професии, и са готови за използване от учениците.</w:t>
            </w:r>
          </w:p>
        </w:tc>
      </w:tr>
      <w:tr w:rsidR="00CE3BAD" w:rsidRPr="00782BF9" w14:paraId="68F46C49"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6EB38F01" w14:textId="3DA8A130" w:rsidR="00CE3BAD" w:rsidRPr="00782BF9" w:rsidRDefault="006B5475">
            <w:pPr>
              <w:pStyle w:val="P68B1DB1-Normal10"/>
              <w:spacing w:after="0" w:line="240" w:lineRule="auto"/>
              <w:rPr>
                <w:rFonts w:eastAsia="Times New Roman"/>
                <w:noProof/>
                <w:lang w:val="bg-BG"/>
              </w:rPr>
            </w:pPr>
            <w:r w:rsidRPr="00782BF9">
              <w:rPr>
                <w:noProof/>
                <w:lang w:val="bg-BG"/>
              </w:rPr>
              <w:t>41</w:t>
            </w:r>
          </w:p>
        </w:tc>
        <w:tc>
          <w:tcPr>
            <w:tcW w:w="1773" w:type="dxa"/>
            <w:tcBorders>
              <w:top w:val="nil"/>
              <w:left w:val="nil"/>
              <w:bottom w:val="single" w:sz="4" w:space="0" w:color="auto"/>
              <w:right w:val="single" w:sz="4" w:space="0" w:color="auto"/>
            </w:tcBorders>
            <w:shd w:val="clear" w:color="auto" w:fill="C6EFCE"/>
            <w:vAlign w:val="center"/>
          </w:tcPr>
          <w:p w14:paraId="798215F7" w14:textId="0E0121A4" w:rsidR="00CE3BAD" w:rsidRPr="00782BF9" w:rsidRDefault="006B5475">
            <w:pPr>
              <w:pStyle w:val="P68B1DB1-Normal10"/>
              <w:spacing w:after="0" w:line="240" w:lineRule="auto"/>
              <w:rPr>
                <w:rFonts w:eastAsia="Times New Roman"/>
                <w:noProof/>
                <w:lang w:val="bg-BG"/>
              </w:rPr>
            </w:pPr>
            <w:r w:rsidRPr="00782BF9">
              <w:rPr>
                <w:noProof/>
                <w:lang w:val="bg-BG"/>
              </w:rPr>
              <w:t>C2.I3 Разработване на цифрови учебни програми за професионално образование и обучение</w:t>
            </w:r>
          </w:p>
        </w:tc>
        <w:tc>
          <w:tcPr>
            <w:tcW w:w="1155" w:type="dxa"/>
            <w:tcBorders>
              <w:top w:val="nil"/>
              <w:left w:val="nil"/>
              <w:bottom w:val="single" w:sz="4" w:space="0" w:color="auto"/>
              <w:right w:val="single" w:sz="4" w:space="0" w:color="auto"/>
            </w:tcBorders>
            <w:shd w:val="clear" w:color="auto" w:fill="C6EFCE"/>
            <w:vAlign w:val="center"/>
          </w:tcPr>
          <w:p w14:paraId="0E91A7A2"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nil"/>
              <w:left w:val="nil"/>
              <w:bottom w:val="single" w:sz="4" w:space="0" w:color="auto"/>
              <w:right w:val="single" w:sz="4" w:space="0" w:color="auto"/>
            </w:tcBorders>
            <w:shd w:val="clear" w:color="auto" w:fill="C6EFCE"/>
            <w:vAlign w:val="center"/>
          </w:tcPr>
          <w:p w14:paraId="04D8B1EB" w14:textId="28182DEF" w:rsidR="00CE3BAD" w:rsidRPr="00782BF9" w:rsidRDefault="006B5475">
            <w:pPr>
              <w:pStyle w:val="P68B1DB1-Normal10"/>
              <w:spacing w:after="0" w:line="240" w:lineRule="auto"/>
              <w:rPr>
                <w:rFonts w:eastAsia="Times New Roman"/>
                <w:noProof/>
                <w:lang w:val="bg-BG"/>
              </w:rPr>
            </w:pPr>
            <w:r w:rsidRPr="00782BF9">
              <w:rPr>
                <w:noProof/>
                <w:lang w:val="bg-BG"/>
              </w:rPr>
              <w:t>Брой чираци в областта на професионалното образование и обучение, които са посещавали курсове въз основа на подобрени цифрови учебни материали</w:t>
            </w:r>
          </w:p>
        </w:tc>
        <w:tc>
          <w:tcPr>
            <w:tcW w:w="1482" w:type="dxa"/>
            <w:tcBorders>
              <w:top w:val="nil"/>
              <w:left w:val="nil"/>
              <w:bottom w:val="single" w:sz="4" w:space="0" w:color="auto"/>
              <w:right w:val="single" w:sz="4" w:space="0" w:color="auto"/>
            </w:tcBorders>
            <w:shd w:val="clear" w:color="auto" w:fill="C6EFCE"/>
            <w:vAlign w:val="center"/>
          </w:tcPr>
          <w:p w14:paraId="082E4377"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019" w:type="dxa"/>
            <w:tcBorders>
              <w:top w:val="nil"/>
              <w:left w:val="nil"/>
              <w:bottom w:val="single" w:sz="4" w:space="0" w:color="auto"/>
              <w:right w:val="single" w:sz="4" w:space="0" w:color="auto"/>
            </w:tcBorders>
            <w:shd w:val="clear" w:color="auto" w:fill="C6EFCE"/>
            <w:vAlign w:val="center"/>
          </w:tcPr>
          <w:p w14:paraId="71DEDD75"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108" w:type="dxa"/>
            <w:tcBorders>
              <w:top w:val="nil"/>
              <w:left w:val="nil"/>
              <w:bottom w:val="single" w:sz="4" w:space="0" w:color="auto"/>
              <w:right w:val="single" w:sz="4" w:space="0" w:color="auto"/>
            </w:tcBorders>
            <w:shd w:val="clear" w:color="auto" w:fill="C6EFCE"/>
            <w:vAlign w:val="center"/>
          </w:tcPr>
          <w:p w14:paraId="0DE2B84F"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nil"/>
              <w:left w:val="nil"/>
              <w:bottom w:val="single" w:sz="4" w:space="0" w:color="auto"/>
              <w:right w:val="single" w:sz="4" w:space="0" w:color="auto"/>
            </w:tcBorders>
            <w:shd w:val="clear" w:color="auto" w:fill="C6EFCE"/>
            <w:vAlign w:val="center"/>
          </w:tcPr>
          <w:p w14:paraId="4DC56A44" w14:textId="0AE4C879" w:rsidR="00CE3BAD" w:rsidRPr="00782BF9" w:rsidRDefault="006B5475">
            <w:pPr>
              <w:pStyle w:val="P68B1DB1-Normal10"/>
              <w:spacing w:after="0" w:line="240" w:lineRule="auto"/>
              <w:rPr>
                <w:rFonts w:eastAsia="Times New Roman"/>
                <w:noProof/>
                <w:lang w:val="bg-BG"/>
              </w:rPr>
            </w:pPr>
            <w:r w:rsidRPr="00782BF9">
              <w:rPr>
                <w:noProof/>
                <w:lang w:val="bg-BG"/>
              </w:rPr>
              <w:t>13</w:t>
            </w:r>
            <w:r w:rsidRPr="00782BF9">
              <w:rPr>
                <w:noProof/>
                <w:color w:val="006100"/>
                <w:lang w:val="bg-BG"/>
              </w:rPr>
              <w:t xml:space="preserve"> </w:t>
            </w:r>
            <w:r w:rsidRPr="00782BF9">
              <w:rPr>
                <w:noProof/>
                <w:lang w:val="bg-BG"/>
              </w:rPr>
              <w:t>000</w:t>
            </w:r>
          </w:p>
        </w:tc>
        <w:tc>
          <w:tcPr>
            <w:tcW w:w="806" w:type="dxa"/>
            <w:tcBorders>
              <w:top w:val="nil"/>
              <w:left w:val="nil"/>
              <w:bottom w:val="single" w:sz="4" w:space="0" w:color="auto"/>
              <w:right w:val="single" w:sz="4" w:space="0" w:color="auto"/>
            </w:tcBorders>
            <w:shd w:val="clear" w:color="auto" w:fill="C6EFCE"/>
            <w:vAlign w:val="center"/>
          </w:tcPr>
          <w:p w14:paraId="298A9C0E" w14:textId="77777777" w:rsidR="00CE3BAD" w:rsidRPr="00782BF9" w:rsidRDefault="006B5475">
            <w:pPr>
              <w:pStyle w:val="P68B1DB1-Normal10"/>
              <w:spacing w:after="0" w:line="240" w:lineRule="auto"/>
              <w:rPr>
                <w:rFonts w:eastAsia="Times New Roman"/>
                <w:noProof/>
                <w:lang w:val="bg-BG"/>
              </w:rPr>
            </w:pPr>
            <w:r w:rsidRPr="00782BF9">
              <w:rPr>
                <w:noProof/>
                <w:lang w:val="bg-BG"/>
              </w:rPr>
              <w:t>Т1 Г.</w:t>
            </w:r>
          </w:p>
        </w:tc>
        <w:tc>
          <w:tcPr>
            <w:tcW w:w="789" w:type="dxa"/>
            <w:tcBorders>
              <w:top w:val="nil"/>
              <w:left w:val="nil"/>
              <w:bottom w:val="single" w:sz="4" w:space="0" w:color="auto"/>
              <w:right w:val="single" w:sz="4" w:space="0" w:color="auto"/>
            </w:tcBorders>
            <w:shd w:val="clear" w:color="auto" w:fill="C6EFCE"/>
            <w:vAlign w:val="center"/>
          </w:tcPr>
          <w:p w14:paraId="45918766"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vAlign w:val="center"/>
          </w:tcPr>
          <w:p w14:paraId="7B042460" w14:textId="403A4D05" w:rsidR="00CE3BAD" w:rsidRPr="00782BF9" w:rsidRDefault="006B5475">
            <w:pPr>
              <w:pStyle w:val="P68B1DB1-Normal10"/>
              <w:spacing w:after="0" w:line="240" w:lineRule="auto"/>
              <w:rPr>
                <w:rFonts w:eastAsia="Times New Roman"/>
                <w:noProof/>
                <w:lang w:val="bg-BG"/>
              </w:rPr>
            </w:pPr>
            <w:r w:rsidRPr="00782BF9">
              <w:rPr>
                <w:noProof/>
                <w:lang w:val="bg-BG"/>
              </w:rPr>
              <w:t>Най-малко 13 ученици</w:t>
            </w:r>
            <w:r w:rsidRPr="00782BF9">
              <w:rPr>
                <w:noProof/>
                <w:color w:val="006100"/>
                <w:lang w:val="bg-BG"/>
              </w:rPr>
              <w:t xml:space="preserve"> </w:t>
            </w:r>
            <w:r w:rsidRPr="00782BF9">
              <w:rPr>
                <w:noProof/>
                <w:lang w:val="bg-BG"/>
              </w:rPr>
              <w:t>(индивидуални потребители), участващи в професионално образование и обучение или посещаващи образование за възрастни в професии, принадлежащи към секторите, засегнати от цифровите учебни материали, посочени в етап 40, имат достъп до подобрени цифрови учебни материали. Броят на студентите се извлича от данните, записани в системата за регистрация и обучение на центровете за професионално образование и обучение.</w:t>
            </w:r>
          </w:p>
        </w:tc>
      </w:tr>
      <w:tr w:rsidR="00CE3BAD" w:rsidRPr="00782BF9" w14:paraId="5EF14928"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03EB1EA4" w14:textId="64C72F0B" w:rsidR="00CE3BAD" w:rsidRPr="00782BF9" w:rsidRDefault="006B5475">
            <w:pPr>
              <w:pStyle w:val="P68B1DB1-Normal10"/>
              <w:spacing w:after="0" w:line="240" w:lineRule="auto"/>
              <w:rPr>
                <w:rFonts w:eastAsia="Times New Roman"/>
                <w:noProof/>
                <w:lang w:val="bg-BG"/>
              </w:rPr>
            </w:pPr>
            <w:r w:rsidRPr="00782BF9">
              <w:rPr>
                <w:noProof/>
                <w:lang w:val="bg-BG"/>
              </w:rPr>
              <w:t>42</w:t>
            </w:r>
          </w:p>
        </w:tc>
        <w:tc>
          <w:tcPr>
            <w:tcW w:w="1773" w:type="dxa"/>
            <w:tcBorders>
              <w:top w:val="single" w:sz="4" w:space="0" w:color="auto"/>
              <w:left w:val="nil"/>
              <w:bottom w:val="single" w:sz="4" w:space="0" w:color="auto"/>
              <w:right w:val="single" w:sz="4" w:space="0" w:color="auto"/>
            </w:tcBorders>
            <w:shd w:val="clear" w:color="auto" w:fill="C6EFCE"/>
            <w:vAlign w:val="center"/>
          </w:tcPr>
          <w:p w14:paraId="6E031F31" w14:textId="03C69013" w:rsidR="00CE3BAD" w:rsidRPr="00782BF9" w:rsidRDefault="006B5475">
            <w:pPr>
              <w:pStyle w:val="P68B1DB1-Normal10"/>
              <w:spacing w:after="0" w:line="240" w:lineRule="auto"/>
              <w:rPr>
                <w:rFonts w:eastAsia="Times New Roman"/>
                <w:noProof/>
                <w:lang w:val="bg-BG"/>
              </w:rPr>
            </w:pPr>
            <w:r w:rsidRPr="00782BF9">
              <w:rPr>
                <w:noProof/>
                <w:lang w:val="bg-BG"/>
              </w:rPr>
              <w:t xml:space="preserve">C2.I4 Инфраструктура за професионално образование и обучение за 21-ви век </w:t>
            </w:r>
          </w:p>
        </w:tc>
        <w:tc>
          <w:tcPr>
            <w:tcW w:w="1155" w:type="dxa"/>
            <w:tcBorders>
              <w:top w:val="nil"/>
              <w:left w:val="nil"/>
              <w:bottom w:val="single" w:sz="4" w:space="0" w:color="auto"/>
              <w:right w:val="single" w:sz="4" w:space="0" w:color="auto"/>
            </w:tcBorders>
            <w:shd w:val="clear" w:color="auto" w:fill="C6EFCE"/>
            <w:vAlign w:val="center"/>
          </w:tcPr>
          <w:p w14:paraId="08D07BB0"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498" w:type="dxa"/>
            <w:tcBorders>
              <w:top w:val="single" w:sz="4" w:space="0" w:color="auto"/>
              <w:left w:val="nil"/>
              <w:bottom w:val="single" w:sz="4" w:space="0" w:color="auto"/>
              <w:right w:val="single" w:sz="4" w:space="0" w:color="auto"/>
            </w:tcBorders>
            <w:shd w:val="clear" w:color="auto" w:fill="C6EFCE"/>
            <w:vAlign w:val="center"/>
          </w:tcPr>
          <w:p w14:paraId="4125BD2B" w14:textId="70D2D816" w:rsidR="00CE3BAD" w:rsidRPr="00782BF9" w:rsidRDefault="006B5475">
            <w:pPr>
              <w:pStyle w:val="P68B1DB1-Normal10"/>
              <w:spacing w:after="0" w:line="240" w:lineRule="auto"/>
              <w:rPr>
                <w:rFonts w:eastAsia="Times New Roman"/>
                <w:noProof/>
                <w:lang w:val="bg-BG"/>
              </w:rPr>
            </w:pPr>
            <w:r w:rsidRPr="00782BF9">
              <w:rPr>
                <w:noProof/>
                <w:lang w:val="bg-BG"/>
              </w:rPr>
              <w:t>Подбор на най-малко 16 центъра за професионално образование и обучение, които да участват в програма за развитие</w:t>
            </w:r>
          </w:p>
        </w:tc>
        <w:tc>
          <w:tcPr>
            <w:tcW w:w="1482" w:type="dxa"/>
            <w:tcBorders>
              <w:top w:val="nil"/>
              <w:left w:val="nil"/>
              <w:bottom w:val="single" w:sz="4" w:space="0" w:color="auto"/>
              <w:right w:val="single" w:sz="4" w:space="0" w:color="auto"/>
            </w:tcBorders>
            <w:shd w:val="clear" w:color="auto" w:fill="C6EFCE"/>
            <w:vAlign w:val="center"/>
          </w:tcPr>
          <w:p w14:paraId="5FD6F73B"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p w14:paraId="54D77FC1" w14:textId="52F48417" w:rsidR="00CE3BAD" w:rsidRPr="00782BF9" w:rsidRDefault="006B5475">
            <w:pPr>
              <w:pStyle w:val="P68B1DB1-Normal10"/>
              <w:spacing w:after="0" w:line="240" w:lineRule="auto"/>
              <w:rPr>
                <w:rFonts w:eastAsia="Times New Roman"/>
                <w:noProof/>
                <w:lang w:val="bg-BG"/>
              </w:rPr>
            </w:pPr>
            <w:r w:rsidRPr="00782BF9">
              <w:rPr>
                <w:noProof/>
                <w:lang w:val="bg-BG"/>
              </w:rPr>
              <w:t>Публикуване на решението за избор на най-малко 16 центъра за професионално образование и обучение на уебстраницата на министерството, отговарящо за професионалното обучение</w:t>
            </w:r>
          </w:p>
        </w:tc>
        <w:tc>
          <w:tcPr>
            <w:tcW w:w="1019" w:type="dxa"/>
            <w:tcBorders>
              <w:top w:val="nil"/>
              <w:left w:val="nil"/>
              <w:bottom w:val="single" w:sz="4" w:space="0" w:color="auto"/>
              <w:right w:val="single" w:sz="4" w:space="0" w:color="auto"/>
            </w:tcBorders>
            <w:shd w:val="clear" w:color="auto" w:fill="C6EFCE"/>
            <w:vAlign w:val="center"/>
          </w:tcPr>
          <w:p w14:paraId="6A4CE979" w14:textId="77777777" w:rsidR="00CE3BAD" w:rsidRPr="00782BF9" w:rsidRDefault="00CE3BAD">
            <w:pPr>
              <w:spacing w:after="0" w:line="240" w:lineRule="auto"/>
              <w:rPr>
                <w:rFonts w:eastAsia="Times New Roman"/>
                <w:noProof/>
                <w:sz w:val="18"/>
                <w:lang w:val="bg-BG"/>
              </w:rPr>
            </w:pPr>
          </w:p>
        </w:tc>
        <w:tc>
          <w:tcPr>
            <w:tcW w:w="1108" w:type="dxa"/>
            <w:tcBorders>
              <w:top w:val="nil"/>
              <w:left w:val="nil"/>
              <w:bottom w:val="single" w:sz="4" w:space="0" w:color="auto"/>
              <w:right w:val="single" w:sz="4" w:space="0" w:color="auto"/>
            </w:tcBorders>
            <w:shd w:val="clear" w:color="auto" w:fill="C6EFCE"/>
            <w:vAlign w:val="center"/>
          </w:tcPr>
          <w:p w14:paraId="23A5C969" w14:textId="77777777" w:rsidR="00CE3BAD" w:rsidRPr="00782BF9" w:rsidRDefault="00CE3BAD">
            <w:pPr>
              <w:spacing w:after="0" w:line="240" w:lineRule="auto"/>
              <w:rPr>
                <w:rFonts w:eastAsia="Times New Roman"/>
                <w:noProof/>
                <w:sz w:val="18"/>
                <w:lang w:val="bg-BG"/>
              </w:rPr>
            </w:pPr>
          </w:p>
        </w:tc>
        <w:tc>
          <w:tcPr>
            <w:tcW w:w="1123" w:type="dxa"/>
            <w:tcBorders>
              <w:top w:val="nil"/>
              <w:left w:val="nil"/>
              <w:bottom w:val="single" w:sz="4" w:space="0" w:color="auto"/>
              <w:right w:val="single" w:sz="4" w:space="0" w:color="auto"/>
            </w:tcBorders>
            <w:shd w:val="clear" w:color="auto" w:fill="C6EFCE"/>
            <w:vAlign w:val="center"/>
          </w:tcPr>
          <w:p w14:paraId="2A2C7DB0" w14:textId="77777777" w:rsidR="00CE3BAD" w:rsidRPr="00782BF9" w:rsidRDefault="00CE3BAD">
            <w:pPr>
              <w:spacing w:after="0" w:line="240" w:lineRule="auto"/>
              <w:rPr>
                <w:rFonts w:eastAsia="Times New Roman"/>
                <w:noProof/>
                <w:sz w:val="18"/>
                <w:lang w:val="bg-BG"/>
              </w:rPr>
            </w:pPr>
          </w:p>
        </w:tc>
        <w:tc>
          <w:tcPr>
            <w:tcW w:w="806" w:type="dxa"/>
            <w:tcBorders>
              <w:top w:val="nil"/>
              <w:left w:val="nil"/>
              <w:bottom w:val="single" w:sz="4" w:space="0" w:color="auto"/>
              <w:right w:val="single" w:sz="4" w:space="0" w:color="auto"/>
            </w:tcBorders>
            <w:shd w:val="clear" w:color="auto" w:fill="C6EFCE"/>
            <w:vAlign w:val="center"/>
          </w:tcPr>
          <w:p w14:paraId="07DE99CA" w14:textId="77777777" w:rsidR="00CE3BAD" w:rsidRPr="00782BF9" w:rsidRDefault="006B5475">
            <w:pPr>
              <w:pStyle w:val="P68B1DB1-Normal10"/>
              <w:spacing w:after="0" w:line="240" w:lineRule="auto"/>
              <w:rPr>
                <w:rFonts w:eastAsia="Times New Roman"/>
                <w:noProof/>
                <w:lang w:val="bg-BG"/>
              </w:rPr>
            </w:pPr>
            <w:r w:rsidRPr="00782BF9">
              <w:rPr>
                <w:noProof/>
                <w:lang w:val="bg-BG"/>
              </w:rPr>
              <w:t>Т4 Г.</w:t>
            </w:r>
          </w:p>
        </w:tc>
        <w:tc>
          <w:tcPr>
            <w:tcW w:w="789" w:type="dxa"/>
            <w:tcBorders>
              <w:top w:val="nil"/>
              <w:left w:val="nil"/>
              <w:bottom w:val="single" w:sz="4" w:space="0" w:color="auto"/>
              <w:right w:val="single" w:sz="4" w:space="0" w:color="auto"/>
            </w:tcBorders>
            <w:shd w:val="clear" w:color="auto" w:fill="C6EFCE"/>
            <w:vAlign w:val="center"/>
          </w:tcPr>
          <w:p w14:paraId="01BE8D7D" w14:textId="77777777" w:rsidR="00CE3BAD" w:rsidRPr="00782BF9" w:rsidRDefault="006B5475">
            <w:pPr>
              <w:pStyle w:val="P68B1DB1-Normal10"/>
              <w:spacing w:after="0" w:line="240" w:lineRule="auto"/>
              <w:rPr>
                <w:rFonts w:eastAsia="Times New Roman"/>
                <w:noProof/>
                <w:lang w:val="bg-BG"/>
              </w:rPr>
            </w:pPr>
            <w:r w:rsidRPr="00782BF9">
              <w:rPr>
                <w:noProof/>
                <w:lang w:val="bg-BG"/>
              </w:rPr>
              <w:t>2022</w:t>
            </w:r>
          </w:p>
        </w:tc>
        <w:tc>
          <w:tcPr>
            <w:tcW w:w="4425" w:type="dxa"/>
            <w:tcBorders>
              <w:top w:val="nil"/>
              <w:left w:val="nil"/>
              <w:bottom w:val="single" w:sz="4" w:space="0" w:color="auto"/>
              <w:right w:val="single" w:sz="4" w:space="0" w:color="auto"/>
            </w:tcBorders>
            <w:shd w:val="clear" w:color="auto" w:fill="C6EFCE"/>
            <w:vAlign w:val="center"/>
          </w:tcPr>
          <w:p w14:paraId="0646A33F" w14:textId="4AFB15F6" w:rsidR="00CE3BAD" w:rsidRPr="00782BF9" w:rsidRDefault="006B5475">
            <w:pPr>
              <w:pStyle w:val="P68B1DB1-Normal10"/>
              <w:spacing w:after="0" w:line="240" w:lineRule="auto"/>
              <w:rPr>
                <w:rFonts w:eastAsia="Times New Roman"/>
                <w:noProof/>
                <w:lang w:val="bg-BG"/>
              </w:rPr>
            </w:pPr>
            <w:r w:rsidRPr="00782BF9">
              <w:rPr>
                <w:noProof/>
                <w:lang w:val="bg-BG"/>
              </w:rPr>
              <w:t>Най-малко 16 центъра, които ще участват в програмата за развитие, се избират въз основа на плановете за развитие на различните центрове. Подборът се основава на обективни и прозрачни критерии, включително търсенето на пазара на труда в конкретната икономическа област, състоянието на инфраструктурата и активите на центровете за професионално обучение, дали центровете за професионално образование и обучение са разположени в необлагодетелстван регион, дела на студентите в неравностойно положение, връзките и съгласуваността с предходни програми.</w:t>
            </w:r>
          </w:p>
        </w:tc>
      </w:tr>
      <w:tr w:rsidR="00CE3BAD" w:rsidRPr="00782BF9" w14:paraId="0B2A3FC2"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699066E0" w14:textId="1839166E" w:rsidR="00CE3BAD" w:rsidRPr="00782BF9" w:rsidRDefault="006B5475">
            <w:pPr>
              <w:pStyle w:val="P68B1DB1-Normal10"/>
              <w:spacing w:after="0" w:line="240" w:lineRule="auto"/>
              <w:rPr>
                <w:rFonts w:eastAsia="Times New Roman"/>
                <w:noProof/>
                <w:lang w:val="bg-BG"/>
              </w:rPr>
            </w:pPr>
            <w:r w:rsidRPr="00782BF9">
              <w:rPr>
                <w:noProof/>
                <w:lang w:val="bg-BG"/>
              </w:rPr>
              <w:t>43</w:t>
            </w:r>
          </w:p>
        </w:tc>
        <w:tc>
          <w:tcPr>
            <w:tcW w:w="1773" w:type="dxa"/>
            <w:tcBorders>
              <w:top w:val="nil"/>
              <w:left w:val="nil"/>
              <w:bottom w:val="single" w:sz="4" w:space="0" w:color="auto"/>
              <w:right w:val="single" w:sz="4" w:space="0" w:color="auto"/>
            </w:tcBorders>
            <w:shd w:val="clear" w:color="auto" w:fill="C6EFCE"/>
            <w:vAlign w:val="center"/>
          </w:tcPr>
          <w:p w14:paraId="63C78ABF" w14:textId="77007814" w:rsidR="00CE3BAD" w:rsidRPr="00782BF9" w:rsidRDefault="006B5475">
            <w:pPr>
              <w:pStyle w:val="P68B1DB1-Normal10"/>
              <w:spacing w:after="0" w:line="240" w:lineRule="auto"/>
              <w:rPr>
                <w:rFonts w:eastAsia="Times New Roman"/>
                <w:noProof/>
                <w:lang w:val="bg-BG"/>
              </w:rPr>
            </w:pPr>
            <w:r w:rsidRPr="00782BF9">
              <w:rPr>
                <w:noProof/>
                <w:lang w:val="bg-BG"/>
              </w:rPr>
              <w:t xml:space="preserve">C2.I4 Инфраструктура за професионално образование и обучение за 21-ви век </w:t>
            </w:r>
          </w:p>
        </w:tc>
        <w:tc>
          <w:tcPr>
            <w:tcW w:w="1155" w:type="dxa"/>
            <w:tcBorders>
              <w:top w:val="nil"/>
              <w:left w:val="nil"/>
              <w:bottom w:val="single" w:sz="4" w:space="0" w:color="auto"/>
              <w:right w:val="single" w:sz="4" w:space="0" w:color="auto"/>
            </w:tcBorders>
            <w:shd w:val="clear" w:color="auto" w:fill="C6EFCE"/>
            <w:vAlign w:val="center"/>
          </w:tcPr>
          <w:p w14:paraId="7922A663"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nil"/>
              <w:left w:val="nil"/>
              <w:bottom w:val="single" w:sz="4" w:space="0" w:color="auto"/>
              <w:right w:val="single" w:sz="4" w:space="0" w:color="auto"/>
            </w:tcBorders>
            <w:shd w:val="clear" w:color="auto" w:fill="C6EFCE"/>
            <w:vAlign w:val="center"/>
          </w:tcPr>
          <w:p w14:paraId="41561E79"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Енергийно ефективно обновяване на центровете за професионално образование и обучение </w:t>
            </w:r>
          </w:p>
        </w:tc>
        <w:tc>
          <w:tcPr>
            <w:tcW w:w="1482" w:type="dxa"/>
            <w:tcBorders>
              <w:top w:val="nil"/>
              <w:left w:val="nil"/>
              <w:bottom w:val="single" w:sz="4" w:space="0" w:color="auto"/>
              <w:right w:val="single" w:sz="4" w:space="0" w:color="auto"/>
            </w:tcBorders>
            <w:shd w:val="clear" w:color="auto" w:fill="C6EFCE"/>
            <w:vAlign w:val="center"/>
          </w:tcPr>
          <w:p w14:paraId="1FDBE133"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019" w:type="dxa"/>
            <w:tcBorders>
              <w:top w:val="nil"/>
              <w:left w:val="nil"/>
              <w:bottom w:val="single" w:sz="4" w:space="0" w:color="auto"/>
              <w:right w:val="single" w:sz="4" w:space="0" w:color="auto"/>
            </w:tcBorders>
            <w:shd w:val="clear" w:color="auto" w:fill="C6EFCE"/>
            <w:vAlign w:val="center"/>
          </w:tcPr>
          <w:p w14:paraId="515B21D1" w14:textId="77777777" w:rsidR="00CE3BAD" w:rsidRPr="00782BF9" w:rsidRDefault="006B5475">
            <w:pPr>
              <w:pStyle w:val="P68B1DB1-Normal10"/>
              <w:spacing w:after="0" w:line="240" w:lineRule="auto"/>
              <w:rPr>
                <w:rFonts w:eastAsia="Times New Roman"/>
                <w:noProof/>
                <w:lang w:val="bg-BG"/>
              </w:rPr>
            </w:pPr>
            <w:r w:rsidRPr="00782BF9">
              <w:rPr>
                <w:noProof/>
                <w:lang w:val="bg-BG"/>
              </w:rPr>
              <w:t>Квадратни метри</w:t>
            </w:r>
          </w:p>
        </w:tc>
        <w:tc>
          <w:tcPr>
            <w:tcW w:w="1108" w:type="dxa"/>
            <w:tcBorders>
              <w:top w:val="nil"/>
              <w:left w:val="nil"/>
              <w:bottom w:val="single" w:sz="4" w:space="0" w:color="auto"/>
              <w:right w:val="single" w:sz="4" w:space="0" w:color="auto"/>
            </w:tcBorders>
            <w:shd w:val="clear" w:color="auto" w:fill="C6EFCE"/>
            <w:vAlign w:val="center"/>
          </w:tcPr>
          <w:p w14:paraId="302D22EC"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nil"/>
              <w:left w:val="nil"/>
              <w:bottom w:val="single" w:sz="4" w:space="0" w:color="auto"/>
              <w:right w:val="single" w:sz="4" w:space="0" w:color="auto"/>
            </w:tcBorders>
            <w:shd w:val="clear" w:color="auto" w:fill="C6EFCE"/>
            <w:vAlign w:val="center"/>
          </w:tcPr>
          <w:p w14:paraId="4EA182F6" w14:textId="5C2A6E35" w:rsidR="00CE3BAD" w:rsidRPr="00782BF9" w:rsidRDefault="006B5475">
            <w:pPr>
              <w:pStyle w:val="P68B1DB1-Normal10"/>
              <w:spacing w:after="0" w:line="240" w:lineRule="auto"/>
              <w:rPr>
                <w:rFonts w:eastAsia="Times New Roman"/>
                <w:noProof/>
                <w:lang w:val="bg-BG"/>
              </w:rPr>
            </w:pPr>
            <w:r w:rsidRPr="00782BF9">
              <w:rPr>
                <w:noProof/>
                <w:lang w:val="bg-BG"/>
              </w:rPr>
              <w:t>69</w:t>
            </w:r>
            <w:r w:rsidRPr="00782BF9">
              <w:rPr>
                <w:noProof/>
                <w:color w:val="006100"/>
                <w:lang w:val="bg-BG"/>
              </w:rPr>
              <w:t xml:space="preserve"> </w:t>
            </w:r>
            <w:r w:rsidRPr="00782BF9">
              <w:rPr>
                <w:noProof/>
                <w:lang w:val="bg-BG"/>
              </w:rPr>
              <w:t>175</w:t>
            </w:r>
          </w:p>
        </w:tc>
        <w:tc>
          <w:tcPr>
            <w:tcW w:w="806" w:type="dxa"/>
            <w:tcBorders>
              <w:top w:val="nil"/>
              <w:left w:val="nil"/>
              <w:bottom w:val="single" w:sz="4" w:space="0" w:color="auto"/>
              <w:right w:val="single" w:sz="4" w:space="0" w:color="auto"/>
            </w:tcBorders>
            <w:shd w:val="clear" w:color="auto" w:fill="C6EFCE"/>
            <w:vAlign w:val="center"/>
          </w:tcPr>
          <w:p w14:paraId="2529FF4B"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tcPr>
          <w:p w14:paraId="5733B79D"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tcPr>
          <w:p w14:paraId="7617D3EE" w14:textId="1292A8D9" w:rsidR="00CE3BAD" w:rsidRPr="00782BF9" w:rsidRDefault="006B5475">
            <w:pPr>
              <w:pStyle w:val="P68B1DB1-Normal10"/>
              <w:spacing w:after="0" w:line="240" w:lineRule="auto"/>
              <w:rPr>
                <w:rFonts w:eastAsia="Times New Roman"/>
                <w:noProof/>
                <w:lang w:val="bg-BG"/>
              </w:rPr>
            </w:pPr>
            <w:r w:rsidRPr="00782BF9">
              <w:rPr>
                <w:noProof/>
                <w:lang w:val="bg-BG"/>
              </w:rPr>
              <w:t>Най-малко 69 175 квадратни метра от сградите в най-малко 16 центъра за професионално обучение се подлагат на саниране с цел повишаване на енергийната ефективност и постигат средно намаление от най-малко 30 % на преките и непреките емисии на парникови газове или най-малко 30 % икономии на първична енергия.</w:t>
            </w:r>
          </w:p>
        </w:tc>
      </w:tr>
      <w:tr w:rsidR="00CE3BAD" w:rsidRPr="00782BF9" w14:paraId="292D1A60"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6EDCB756" w14:textId="4EA765AC" w:rsidR="00CE3BAD" w:rsidRPr="00782BF9" w:rsidRDefault="006B5475">
            <w:pPr>
              <w:pStyle w:val="P68B1DB1-Normal10"/>
              <w:spacing w:after="0" w:line="240" w:lineRule="auto"/>
              <w:rPr>
                <w:rFonts w:eastAsia="Times New Roman"/>
                <w:noProof/>
                <w:lang w:val="bg-BG"/>
              </w:rPr>
            </w:pPr>
            <w:r w:rsidRPr="00782BF9">
              <w:rPr>
                <w:noProof/>
                <w:lang w:val="bg-BG"/>
              </w:rPr>
              <w:t>44</w:t>
            </w:r>
          </w:p>
        </w:tc>
        <w:tc>
          <w:tcPr>
            <w:tcW w:w="1773" w:type="dxa"/>
            <w:tcBorders>
              <w:top w:val="nil"/>
              <w:left w:val="nil"/>
              <w:bottom w:val="single" w:sz="4" w:space="0" w:color="auto"/>
              <w:right w:val="single" w:sz="4" w:space="0" w:color="auto"/>
            </w:tcBorders>
            <w:shd w:val="clear" w:color="auto" w:fill="C6EFCE"/>
            <w:vAlign w:val="center"/>
          </w:tcPr>
          <w:p w14:paraId="2472517C" w14:textId="629B7D37" w:rsidR="00CE3BAD" w:rsidRPr="00782BF9" w:rsidRDefault="006B5475">
            <w:pPr>
              <w:pStyle w:val="P68B1DB1-Normal10"/>
              <w:spacing w:after="0" w:line="240" w:lineRule="auto"/>
              <w:rPr>
                <w:rFonts w:eastAsia="Times New Roman"/>
                <w:noProof/>
                <w:lang w:val="bg-BG"/>
              </w:rPr>
            </w:pPr>
            <w:r w:rsidRPr="00782BF9">
              <w:rPr>
                <w:noProof/>
                <w:lang w:val="bg-BG"/>
              </w:rPr>
              <w:t xml:space="preserve">C2.I4 Инфраструктура за професионално образование и обучение за 21-ви век </w:t>
            </w:r>
          </w:p>
        </w:tc>
        <w:tc>
          <w:tcPr>
            <w:tcW w:w="1155" w:type="dxa"/>
            <w:tcBorders>
              <w:top w:val="nil"/>
              <w:left w:val="nil"/>
              <w:bottom w:val="single" w:sz="4" w:space="0" w:color="auto"/>
              <w:right w:val="single" w:sz="4" w:space="0" w:color="auto"/>
            </w:tcBorders>
            <w:shd w:val="clear" w:color="auto" w:fill="C6EFCE"/>
            <w:vAlign w:val="center"/>
          </w:tcPr>
          <w:p w14:paraId="50ACC39C"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nil"/>
              <w:left w:val="nil"/>
              <w:bottom w:val="single" w:sz="4" w:space="0" w:color="auto"/>
              <w:right w:val="single" w:sz="4" w:space="0" w:color="auto"/>
            </w:tcBorders>
            <w:shd w:val="clear" w:color="auto" w:fill="C6EFCE"/>
            <w:vAlign w:val="center"/>
          </w:tcPr>
          <w:p w14:paraId="0ED90F0B"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Закупуване на ИКТ оборудване за центрове за професионално образование и обучение </w:t>
            </w:r>
          </w:p>
        </w:tc>
        <w:tc>
          <w:tcPr>
            <w:tcW w:w="1482" w:type="dxa"/>
            <w:tcBorders>
              <w:top w:val="nil"/>
              <w:left w:val="nil"/>
              <w:bottom w:val="single" w:sz="4" w:space="0" w:color="auto"/>
              <w:right w:val="single" w:sz="4" w:space="0" w:color="auto"/>
            </w:tcBorders>
            <w:shd w:val="clear" w:color="auto" w:fill="C6EFCE"/>
            <w:vAlign w:val="center"/>
          </w:tcPr>
          <w:p w14:paraId="3822C488"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019" w:type="dxa"/>
            <w:tcBorders>
              <w:top w:val="nil"/>
              <w:left w:val="nil"/>
              <w:bottom w:val="single" w:sz="4" w:space="0" w:color="auto"/>
              <w:right w:val="single" w:sz="4" w:space="0" w:color="auto"/>
            </w:tcBorders>
            <w:shd w:val="clear" w:color="auto" w:fill="C6EFCE"/>
            <w:vAlign w:val="center"/>
          </w:tcPr>
          <w:p w14:paraId="28DA5D57"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108" w:type="dxa"/>
            <w:tcBorders>
              <w:top w:val="nil"/>
              <w:left w:val="nil"/>
              <w:bottom w:val="single" w:sz="4" w:space="0" w:color="auto"/>
              <w:right w:val="single" w:sz="4" w:space="0" w:color="auto"/>
            </w:tcBorders>
            <w:shd w:val="clear" w:color="auto" w:fill="C6EFCE"/>
            <w:vAlign w:val="center"/>
          </w:tcPr>
          <w:p w14:paraId="5C3B9477"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nil"/>
              <w:left w:val="nil"/>
              <w:bottom w:val="single" w:sz="4" w:space="0" w:color="auto"/>
              <w:right w:val="single" w:sz="4" w:space="0" w:color="auto"/>
            </w:tcBorders>
            <w:shd w:val="clear" w:color="auto" w:fill="C6EFCE"/>
            <w:vAlign w:val="center"/>
          </w:tcPr>
          <w:p w14:paraId="74BB8C78" w14:textId="66512DDB" w:rsidR="00CE3BAD" w:rsidRPr="00782BF9" w:rsidRDefault="006B5475">
            <w:pPr>
              <w:pStyle w:val="P68B1DB1-Normal10"/>
              <w:spacing w:after="0" w:line="240" w:lineRule="auto"/>
              <w:rPr>
                <w:rFonts w:eastAsia="Times New Roman"/>
                <w:noProof/>
                <w:lang w:val="bg-BG"/>
              </w:rPr>
            </w:pPr>
            <w:r w:rsidRPr="00782BF9">
              <w:rPr>
                <w:noProof/>
                <w:lang w:val="bg-BG"/>
              </w:rPr>
              <w:t>13</w:t>
            </w:r>
            <w:r w:rsidRPr="00782BF9">
              <w:rPr>
                <w:noProof/>
                <w:color w:val="006100"/>
                <w:lang w:val="bg-BG"/>
              </w:rPr>
              <w:t xml:space="preserve"> </w:t>
            </w:r>
            <w:r w:rsidRPr="00782BF9">
              <w:rPr>
                <w:noProof/>
                <w:lang w:val="bg-BG"/>
              </w:rPr>
              <w:t>825</w:t>
            </w:r>
          </w:p>
        </w:tc>
        <w:tc>
          <w:tcPr>
            <w:tcW w:w="806" w:type="dxa"/>
            <w:tcBorders>
              <w:top w:val="nil"/>
              <w:left w:val="nil"/>
              <w:bottom w:val="single" w:sz="4" w:space="0" w:color="auto"/>
              <w:right w:val="single" w:sz="4" w:space="0" w:color="auto"/>
            </w:tcBorders>
            <w:shd w:val="clear" w:color="auto" w:fill="C6EFCE"/>
            <w:vAlign w:val="center"/>
          </w:tcPr>
          <w:p w14:paraId="5A08BF5E"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tcPr>
          <w:p w14:paraId="1CA26905"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tcPr>
          <w:p w14:paraId="1DA39F90" w14:textId="1E996EB6" w:rsidR="00CE3BAD" w:rsidRPr="00782BF9" w:rsidRDefault="006B5475">
            <w:pPr>
              <w:pStyle w:val="P68B1DB1-Normal10"/>
              <w:spacing w:after="0" w:line="240" w:lineRule="auto"/>
              <w:rPr>
                <w:rFonts w:eastAsia="Times New Roman"/>
                <w:noProof/>
                <w:lang w:val="bg-BG"/>
              </w:rPr>
            </w:pPr>
            <w:r w:rsidRPr="00782BF9">
              <w:rPr>
                <w:noProof/>
                <w:lang w:val="bg-BG"/>
              </w:rPr>
              <w:t>13</w:t>
            </w:r>
            <w:r w:rsidRPr="00782BF9">
              <w:rPr>
                <w:noProof/>
                <w:color w:val="006100"/>
                <w:lang w:val="bg-BG"/>
              </w:rPr>
              <w:t xml:space="preserve"> </w:t>
            </w:r>
            <w:r w:rsidRPr="00782BF9">
              <w:rPr>
                <w:noProof/>
                <w:lang w:val="bg-BG"/>
              </w:rPr>
              <w:t xml:space="preserve">825 единици ИКТ оборудване се закупуват и пускат в употреба в най-малко 16 центъра за професионално обучение. Новото ИКТ оборудване включва цифрови преносими компютри, таблети, пространства за обучение за сътрудничество и устройства за споделяне на знания. </w:t>
            </w:r>
          </w:p>
        </w:tc>
      </w:tr>
      <w:tr w:rsidR="00CE3BAD" w:rsidRPr="00782BF9" w14:paraId="4F382B83"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42599E28" w14:textId="5C46F4D3" w:rsidR="00CE3BAD" w:rsidRPr="00782BF9" w:rsidRDefault="006B5475">
            <w:pPr>
              <w:pStyle w:val="P68B1DB1-Normal10"/>
              <w:spacing w:after="0" w:line="240" w:lineRule="auto"/>
              <w:rPr>
                <w:rFonts w:eastAsia="Times New Roman"/>
                <w:noProof/>
                <w:lang w:val="bg-BG"/>
              </w:rPr>
            </w:pPr>
            <w:r w:rsidRPr="00782BF9">
              <w:rPr>
                <w:noProof/>
                <w:lang w:val="bg-BG"/>
              </w:rPr>
              <w:t>45</w:t>
            </w:r>
          </w:p>
        </w:tc>
        <w:tc>
          <w:tcPr>
            <w:tcW w:w="1773" w:type="dxa"/>
            <w:tcBorders>
              <w:top w:val="single" w:sz="4" w:space="0" w:color="auto"/>
              <w:left w:val="nil"/>
              <w:bottom w:val="single" w:sz="4" w:space="0" w:color="auto"/>
              <w:right w:val="single" w:sz="4" w:space="0" w:color="auto"/>
            </w:tcBorders>
            <w:shd w:val="clear" w:color="auto" w:fill="C6EFCE"/>
            <w:vAlign w:val="center"/>
          </w:tcPr>
          <w:p w14:paraId="031530BD" w14:textId="12DBF45D" w:rsidR="00CE3BAD" w:rsidRPr="00782BF9" w:rsidRDefault="006B5475">
            <w:pPr>
              <w:pStyle w:val="P68B1DB1-Normal10"/>
              <w:spacing w:after="0" w:line="240" w:lineRule="auto"/>
              <w:rPr>
                <w:rFonts w:eastAsia="Times New Roman"/>
                <w:noProof/>
                <w:lang w:val="bg-BG"/>
              </w:rPr>
            </w:pPr>
            <w:r w:rsidRPr="00782BF9">
              <w:rPr>
                <w:noProof/>
                <w:lang w:val="bg-BG"/>
              </w:rPr>
              <w:t xml:space="preserve">C2.I4 Инфраструктура за професионално образование и обучение за 21-ви век </w:t>
            </w:r>
          </w:p>
        </w:tc>
        <w:tc>
          <w:tcPr>
            <w:tcW w:w="1155" w:type="dxa"/>
            <w:tcBorders>
              <w:top w:val="nil"/>
              <w:left w:val="nil"/>
              <w:bottom w:val="single" w:sz="4" w:space="0" w:color="auto"/>
              <w:right w:val="single" w:sz="4" w:space="0" w:color="auto"/>
            </w:tcBorders>
            <w:shd w:val="clear" w:color="auto" w:fill="C6EFCE"/>
            <w:vAlign w:val="center"/>
          </w:tcPr>
          <w:p w14:paraId="5EFB6BB8"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single" w:sz="4" w:space="0" w:color="auto"/>
              <w:left w:val="nil"/>
              <w:bottom w:val="single" w:sz="4" w:space="0" w:color="auto"/>
              <w:right w:val="single" w:sz="4" w:space="0" w:color="auto"/>
            </w:tcBorders>
            <w:shd w:val="clear" w:color="auto" w:fill="C6EFCE"/>
            <w:vAlign w:val="center"/>
          </w:tcPr>
          <w:p w14:paraId="6E60605D"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 центрове за професионално образование и обучение с подобрена инфраструктура</w:t>
            </w:r>
          </w:p>
        </w:tc>
        <w:tc>
          <w:tcPr>
            <w:tcW w:w="1482" w:type="dxa"/>
            <w:tcBorders>
              <w:top w:val="nil"/>
              <w:left w:val="nil"/>
              <w:bottom w:val="single" w:sz="4" w:space="0" w:color="auto"/>
              <w:right w:val="single" w:sz="4" w:space="0" w:color="auto"/>
            </w:tcBorders>
            <w:shd w:val="clear" w:color="auto" w:fill="C6EFCE"/>
            <w:vAlign w:val="center"/>
          </w:tcPr>
          <w:p w14:paraId="025DBD8F"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019" w:type="dxa"/>
            <w:tcBorders>
              <w:top w:val="nil"/>
              <w:left w:val="nil"/>
              <w:bottom w:val="single" w:sz="4" w:space="0" w:color="auto"/>
              <w:right w:val="single" w:sz="4" w:space="0" w:color="auto"/>
            </w:tcBorders>
            <w:shd w:val="clear" w:color="auto" w:fill="C6EFCE"/>
            <w:vAlign w:val="center"/>
          </w:tcPr>
          <w:p w14:paraId="613DCE78" w14:textId="77777777" w:rsidR="00CE3BAD" w:rsidRPr="00782BF9" w:rsidRDefault="006B5475">
            <w:pPr>
              <w:pStyle w:val="P68B1DB1-Normal10"/>
              <w:spacing w:after="0" w:line="240" w:lineRule="auto"/>
              <w:rPr>
                <w:rFonts w:eastAsia="Times New Roman"/>
                <w:noProof/>
                <w:lang w:val="bg-BG"/>
              </w:rPr>
            </w:pPr>
            <w:r w:rsidRPr="00782BF9">
              <w:rPr>
                <w:noProof/>
                <w:lang w:val="bg-BG"/>
              </w:rPr>
              <w:t>Брой</w:t>
            </w:r>
          </w:p>
        </w:tc>
        <w:tc>
          <w:tcPr>
            <w:tcW w:w="1108" w:type="dxa"/>
            <w:tcBorders>
              <w:top w:val="nil"/>
              <w:left w:val="nil"/>
              <w:bottom w:val="single" w:sz="4" w:space="0" w:color="auto"/>
              <w:right w:val="single" w:sz="4" w:space="0" w:color="auto"/>
            </w:tcBorders>
            <w:shd w:val="clear" w:color="auto" w:fill="C6EFCE"/>
            <w:vAlign w:val="center"/>
          </w:tcPr>
          <w:p w14:paraId="1B26C24A" w14:textId="77777777" w:rsidR="00CE3BAD" w:rsidRPr="00782BF9" w:rsidRDefault="006B5475">
            <w:pPr>
              <w:pStyle w:val="P68B1DB1-Normal10"/>
              <w:spacing w:after="0" w:line="240" w:lineRule="auto"/>
              <w:rPr>
                <w:rFonts w:eastAsia="Times New Roman"/>
                <w:noProof/>
                <w:lang w:val="bg-BG"/>
              </w:rPr>
            </w:pPr>
            <w:r w:rsidRPr="00782BF9">
              <w:rPr>
                <w:noProof/>
                <w:lang w:val="bg-BG"/>
              </w:rPr>
              <w:t>0</w:t>
            </w:r>
          </w:p>
        </w:tc>
        <w:tc>
          <w:tcPr>
            <w:tcW w:w="1123" w:type="dxa"/>
            <w:tcBorders>
              <w:top w:val="nil"/>
              <w:left w:val="nil"/>
              <w:bottom w:val="single" w:sz="4" w:space="0" w:color="auto"/>
              <w:right w:val="single" w:sz="4" w:space="0" w:color="auto"/>
            </w:tcBorders>
            <w:shd w:val="clear" w:color="auto" w:fill="C6EFCE"/>
            <w:vAlign w:val="center"/>
          </w:tcPr>
          <w:p w14:paraId="38F8628E" w14:textId="77777777" w:rsidR="00CE3BAD" w:rsidRPr="00782BF9" w:rsidRDefault="006B5475">
            <w:pPr>
              <w:pStyle w:val="P68B1DB1-Normal10"/>
              <w:spacing w:after="0" w:line="240" w:lineRule="auto"/>
              <w:rPr>
                <w:rFonts w:eastAsia="Times New Roman"/>
                <w:noProof/>
                <w:lang w:val="bg-BG"/>
              </w:rPr>
            </w:pPr>
            <w:r w:rsidRPr="00782BF9">
              <w:rPr>
                <w:noProof/>
                <w:lang w:val="bg-BG"/>
              </w:rPr>
              <w:t>16</w:t>
            </w:r>
          </w:p>
        </w:tc>
        <w:tc>
          <w:tcPr>
            <w:tcW w:w="806" w:type="dxa"/>
            <w:tcBorders>
              <w:top w:val="nil"/>
              <w:left w:val="nil"/>
              <w:bottom w:val="single" w:sz="4" w:space="0" w:color="auto"/>
              <w:right w:val="single" w:sz="4" w:space="0" w:color="auto"/>
            </w:tcBorders>
            <w:shd w:val="clear" w:color="auto" w:fill="C6EFCE"/>
            <w:vAlign w:val="center"/>
          </w:tcPr>
          <w:p w14:paraId="2BE9BAFA"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tcPr>
          <w:p w14:paraId="40B6D70C"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vAlign w:val="center"/>
          </w:tcPr>
          <w:p w14:paraId="4164B31D" w14:textId="572A5FF4" w:rsidR="00CE3BAD" w:rsidRPr="00782BF9" w:rsidRDefault="006B5475">
            <w:pPr>
              <w:pStyle w:val="P68B1DB1-Normal10"/>
              <w:spacing w:after="0" w:line="240" w:lineRule="auto"/>
              <w:rPr>
                <w:rFonts w:eastAsia="Times New Roman"/>
                <w:noProof/>
                <w:lang w:val="bg-BG"/>
              </w:rPr>
            </w:pPr>
            <w:r w:rsidRPr="00782BF9">
              <w:rPr>
                <w:noProof/>
                <w:lang w:val="bg-BG"/>
              </w:rPr>
              <w:t xml:space="preserve">Най-малко 16 центъра за професионално обучение получават други общи подобрения на инфраструктурата (включително ремонтни и монтажни работилници, обновяване на зони за обучение, закупуване на учебни материали, инструменти, мебели (пейки и шкафове).  </w:t>
            </w:r>
          </w:p>
        </w:tc>
      </w:tr>
      <w:tr w:rsidR="00CE3BAD" w:rsidRPr="00782BF9" w14:paraId="57978C4E"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38EA2179" w14:textId="2EB948FB" w:rsidR="00CE3BAD" w:rsidRPr="00782BF9" w:rsidRDefault="006B5475">
            <w:pPr>
              <w:pStyle w:val="P68B1DB1-Normal10"/>
              <w:spacing w:after="0" w:line="240" w:lineRule="auto"/>
              <w:rPr>
                <w:rFonts w:eastAsia="Times New Roman"/>
                <w:noProof/>
                <w:lang w:val="bg-BG"/>
              </w:rPr>
            </w:pPr>
            <w:r w:rsidRPr="00782BF9">
              <w:rPr>
                <w:noProof/>
                <w:lang w:val="bg-BG"/>
              </w:rPr>
              <w:t>46</w:t>
            </w:r>
          </w:p>
        </w:tc>
        <w:tc>
          <w:tcPr>
            <w:tcW w:w="1773" w:type="dxa"/>
            <w:tcBorders>
              <w:top w:val="nil"/>
              <w:left w:val="nil"/>
              <w:bottom w:val="single" w:sz="4" w:space="0" w:color="auto"/>
              <w:right w:val="single" w:sz="4" w:space="0" w:color="auto"/>
            </w:tcBorders>
            <w:shd w:val="clear" w:color="auto" w:fill="C6EFCE"/>
            <w:vAlign w:val="center"/>
          </w:tcPr>
          <w:p w14:paraId="0912F37B" w14:textId="3B5F9AFE" w:rsidR="00CE3BAD" w:rsidRPr="00782BF9" w:rsidRDefault="006B5475">
            <w:pPr>
              <w:pStyle w:val="P68B1DB1-Normal10"/>
              <w:spacing w:after="0" w:line="240" w:lineRule="auto"/>
              <w:rPr>
                <w:rFonts w:eastAsia="Times New Roman"/>
                <w:noProof/>
                <w:lang w:val="bg-BG"/>
              </w:rPr>
            </w:pPr>
            <w:r w:rsidRPr="00782BF9">
              <w:rPr>
                <w:noProof/>
                <w:lang w:val="bg-BG"/>
              </w:rPr>
              <w:t xml:space="preserve">C2.I5 Развитие на Централния изпитен център </w:t>
            </w:r>
          </w:p>
        </w:tc>
        <w:tc>
          <w:tcPr>
            <w:tcW w:w="1155" w:type="dxa"/>
            <w:tcBorders>
              <w:top w:val="nil"/>
              <w:left w:val="nil"/>
              <w:bottom w:val="single" w:sz="4" w:space="0" w:color="auto"/>
              <w:right w:val="single" w:sz="4" w:space="0" w:color="auto"/>
            </w:tcBorders>
            <w:shd w:val="clear" w:color="auto" w:fill="C6EFCE"/>
            <w:vAlign w:val="center"/>
          </w:tcPr>
          <w:p w14:paraId="371364F7"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498" w:type="dxa"/>
            <w:tcBorders>
              <w:top w:val="nil"/>
              <w:left w:val="nil"/>
              <w:bottom w:val="single" w:sz="4" w:space="0" w:color="auto"/>
              <w:right w:val="single" w:sz="4" w:space="0" w:color="auto"/>
            </w:tcBorders>
            <w:shd w:val="clear" w:color="auto" w:fill="C6EFCE"/>
            <w:vAlign w:val="center"/>
          </w:tcPr>
          <w:p w14:paraId="7E1522CE" w14:textId="77777777" w:rsidR="00CE3BAD" w:rsidRPr="00782BF9" w:rsidRDefault="006B5475">
            <w:pPr>
              <w:pStyle w:val="P68B1DB1-Normal10"/>
              <w:spacing w:after="0" w:line="240" w:lineRule="auto"/>
              <w:rPr>
                <w:rFonts w:eastAsia="Times New Roman"/>
                <w:noProof/>
                <w:lang w:val="bg-BG"/>
              </w:rPr>
            </w:pPr>
            <w:r w:rsidRPr="00782BF9">
              <w:rPr>
                <w:noProof/>
                <w:lang w:val="bg-BG"/>
              </w:rPr>
              <w:t>Възлагане на обществена (и) поръчка (и) за обновяване и развитие на централния изпитен център</w:t>
            </w:r>
          </w:p>
        </w:tc>
        <w:tc>
          <w:tcPr>
            <w:tcW w:w="1482" w:type="dxa"/>
            <w:tcBorders>
              <w:top w:val="nil"/>
              <w:left w:val="nil"/>
              <w:bottom w:val="single" w:sz="4" w:space="0" w:color="auto"/>
              <w:right w:val="single" w:sz="4" w:space="0" w:color="auto"/>
            </w:tcBorders>
            <w:shd w:val="clear" w:color="auto" w:fill="C6EFCE"/>
            <w:vAlign w:val="center"/>
          </w:tcPr>
          <w:p w14:paraId="73CFC61E" w14:textId="77777777" w:rsidR="00CE3BAD" w:rsidRPr="00782BF9" w:rsidRDefault="006B5475">
            <w:pPr>
              <w:pStyle w:val="P68B1DB1-Normal10"/>
              <w:spacing w:after="0" w:line="240" w:lineRule="auto"/>
              <w:rPr>
                <w:rFonts w:eastAsia="Times New Roman"/>
                <w:noProof/>
                <w:lang w:val="bg-BG"/>
              </w:rPr>
            </w:pPr>
            <w:r w:rsidRPr="00782BF9">
              <w:rPr>
                <w:noProof/>
                <w:lang w:val="bg-BG"/>
              </w:rPr>
              <w:t>Уведомление за възлагане на обществена (и) поръчка (и)</w:t>
            </w:r>
          </w:p>
        </w:tc>
        <w:tc>
          <w:tcPr>
            <w:tcW w:w="1019" w:type="dxa"/>
            <w:tcBorders>
              <w:top w:val="nil"/>
              <w:left w:val="nil"/>
              <w:bottom w:val="single" w:sz="4" w:space="0" w:color="auto"/>
              <w:right w:val="single" w:sz="4" w:space="0" w:color="auto"/>
            </w:tcBorders>
            <w:shd w:val="clear" w:color="auto" w:fill="C6EFCE"/>
            <w:vAlign w:val="center"/>
          </w:tcPr>
          <w:p w14:paraId="04F06B62"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108" w:type="dxa"/>
            <w:tcBorders>
              <w:top w:val="nil"/>
              <w:left w:val="nil"/>
              <w:bottom w:val="single" w:sz="4" w:space="0" w:color="auto"/>
              <w:right w:val="single" w:sz="4" w:space="0" w:color="auto"/>
            </w:tcBorders>
            <w:shd w:val="clear" w:color="auto" w:fill="C6EFCE"/>
            <w:vAlign w:val="center"/>
          </w:tcPr>
          <w:p w14:paraId="16543318"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1123" w:type="dxa"/>
            <w:tcBorders>
              <w:top w:val="nil"/>
              <w:left w:val="nil"/>
              <w:bottom w:val="single" w:sz="4" w:space="0" w:color="auto"/>
              <w:right w:val="single" w:sz="4" w:space="0" w:color="auto"/>
            </w:tcBorders>
            <w:shd w:val="clear" w:color="auto" w:fill="C6EFCE"/>
            <w:vAlign w:val="center"/>
          </w:tcPr>
          <w:p w14:paraId="3738E4CE"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806" w:type="dxa"/>
            <w:tcBorders>
              <w:top w:val="nil"/>
              <w:left w:val="nil"/>
              <w:bottom w:val="single" w:sz="4" w:space="0" w:color="auto"/>
              <w:right w:val="single" w:sz="4" w:space="0" w:color="auto"/>
            </w:tcBorders>
            <w:shd w:val="clear" w:color="auto" w:fill="C6EFCE"/>
            <w:vAlign w:val="center"/>
          </w:tcPr>
          <w:p w14:paraId="1CAE7872" w14:textId="77777777" w:rsidR="00CE3BAD" w:rsidRPr="00782BF9" w:rsidRDefault="006B5475">
            <w:pPr>
              <w:pStyle w:val="P68B1DB1-Normal10"/>
              <w:spacing w:after="0" w:line="240" w:lineRule="auto"/>
              <w:rPr>
                <w:rFonts w:eastAsia="Times New Roman"/>
                <w:noProof/>
                <w:lang w:val="bg-BG"/>
              </w:rPr>
            </w:pPr>
            <w:r w:rsidRPr="00782BF9">
              <w:rPr>
                <w:noProof/>
                <w:lang w:val="bg-BG"/>
              </w:rPr>
              <w:t>Т4 Г.</w:t>
            </w:r>
          </w:p>
        </w:tc>
        <w:tc>
          <w:tcPr>
            <w:tcW w:w="789" w:type="dxa"/>
            <w:tcBorders>
              <w:top w:val="nil"/>
              <w:left w:val="nil"/>
              <w:bottom w:val="single" w:sz="4" w:space="0" w:color="auto"/>
              <w:right w:val="single" w:sz="4" w:space="0" w:color="auto"/>
            </w:tcBorders>
            <w:shd w:val="clear" w:color="auto" w:fill="C6EFCE"/>
            <w:vAlign w:val="center"/>
          </w:tcPr>
          <w:p w14:paraId="6C4F7D6F"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425" w:type="dxa"/>
            <w:tcBorders>
              <w:top w:val="nil"/>
              <w:left w:val="nil"/>
              <w:bottom w:val="single" w:sz="4" w:space="0" w:color="auto"/>
              <w:right w:val="single" w:sz="4" w:space="0" w:color="auto"/>
            </w:tcBorders>
            <w:shd w:val="clear" w:color="auto" w:fill="C6EFCE"/>
            <w:vAlign w:val="center"/>
          </w:tcPr>
          <w:p w14:paraId="408C0B3A" w14:textId="023D83D9" w:rsidR="00CE3BAD" w:rsidRPr="00782BF9" w:rsidRDefault="006B5475">
            <w:pPr>
              <w:pStyle w:val="P68B1DB1-Normal10"/>
              <w:spacing w:after="0" w:line="240" w:lineRule="auto"/>
              <w:rPr>
                <w:rFonts w:eastAsia="Times New Roman"/>
                <w:noProof/>
                <w:lang w:val="bg-BG"/>
              </w:rPr>
            </w:pPr>
            <w:r w:rsidRPr="00782BF9">
              <w:rPr>
                <w:noProof/>
                <w:lang w:val="bg-BG"/>
              </w:rPr>
              <w:t xml:space="preserve">Провеждат се процедурите за възлагане на обществени поръчки за обновяване и развитие на Централния изпитен център и се възлагат обществените поръчки. Обхватът на договорите включва ремонта на сградата на Централния изпитен център, включително препроектирането и оборудването на класните стаи, изпитните зали и сервизите, както и сервизните зали. Най-малко 20 % от бюджета на мярката се разпределят за саниране с цел повишаване на енергийната ефективност, което води до най-малко 30 % икономии на първична енергия или най-малко 30 % намаление на емисиите на парникови газове. </w:t>
            </w:r>
          </w:p>
        </w:tc>
      </w:tr>
      <w:tr w:rsidR="00CE3BAD" w:rsidRPr="00782BF9" w14:paraId="5D5E4016" w14:textId="77777777">
        <w:trPr>
          <w:trHeight w:val="271"/>
        </w:trPr>
        <w:tc>
          <w:tcPr>
            <w:tcW w:w="1013" w:type="dxa"/>
            <w:tcBorders>
              <w:top w:val="nil"/>
              <w:left w:val="single" w:sz="4" w:space="0" w:color="auto"/>
              <w:bottom w:val="single" w:sz="4" w:space="0" w:color="auto"/>
              <w:right w:val="single" w:sz="4" w:space="0" w:color="auto"/>
            </w:tcBorders>
            <w:shd w:val="clear" w:color="auto" w:fill="C6EFCE"/>
            <w:vAlign w:val="center"/>
          </w:tcPr>
          <w:p w14:paraId="6BEE7D2D" w14:textId="1531A40C" w:rsidR="00CE3BAD" w:rsidRPr="00782BF9" w:rsidRDefault="006B5475">
            <w:pPr>
              <w:pStyle w:val="P68B1DB1-Normal10"/>
              <w:spacing w:after="0" w:line="240" w:lineRule="auto"/>
              <w:rPr>
                <w:rFonts w:eastAsia="Times New Roman"/>
                <w:noProof/>
                <w:lang w:val="bg-BG"/>
              </w:rPr>
            </w:pPr>
            <w:r w:rsidRPr="00782BF9">
              <w:rPr>
                <w:noProof/>
                <w:lang w:val="bg-BG"/>
              </w:rPr>
              <w:t>47</w:t>
            </w:r>
          </w:p>
        </w:tc>
        <w:tc>
          <w:tcPr>
            <w:tcW w:w="1773" w:type="dxa"/>
            <w:tcBorders>
              <w:top w:val="single" w:sz="4" w:space="0" w:color="auto"/>
              <w:left w:val="nil"/>
              <w:bottom w:val="single" w:sz="4" w:space="0" w:color="auto"/>
              <w:right w:val="single" w:sz="4" w:space="0" w:color="auto"/>
            </w:tcBorders>
            <w:shd w:val="clear" w:color="auto" w:fill="C6EFCE"/>
            <w:vAlign w:val="center"/>
          </w:tcPr>
          <w:p w14:paraId="37451651" w14:textId="650B49FB" w:rsidR="00CE3BAD" w:rsidRPr="00782BF9" w:rsidRDefault="006B5475">
            <w:pPr>
              <w:pStyle w:val="P68B1DB1-Normal10"/>
              <w:spacing w:after="0" w:line="240" w:lineRule="auto"/>
              <w:rPr>
                <w:rFonts w:eastAsia="Times New Roman"/>
                <w:noProof/>
                <w:lang w:val="bg-BG"/>
              </w:rPr>
            </w:pPr>
            <w:r w:rsidRPr="00782BF9">
              <w:rPr>
                <w:noProof/>
                <w:lang w:val="bg-BG"/>
              </w:rPr>
              <w:t xml:space="preserve">C2.I5 Развитие на Централния изпитен център </w:t>
            </w:r>
          </w:p>
        </w:tc>
        <w:tc>
          <w:tcPr>
            <w:tcW w:w="1155" w:type="dxa"/>
            <w:tcBorders>
              <w:top w:val="nil"/>
              <w:left w:val="nil"/>
              <w:bottom w:val="single" w:sz="4" w:space="0" w:color="auto"/>
              <w:right w:val="single" w:sz="4" w:space="0" w:color="auto"/>
            </w:tcBorders>
            <w:shd w:val="clear" w:color="auto" w:fill="C6EFCE"/>
            <w:vAlign w:val="center"/>
          </w:tcPr>
          <w:p w14:paraId="7075FBB6"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498" w:type="dxa"/>
            <w:tcBorders>
              <w:top w:val="nil"/>
              <w:left w:val="nil"/>
              <w:bottom w:val="single" w:sz="4" w:space="0" w:color="auto"/>
              <w:right w:val="single" w:sz="4" w:space="0" w:color="auto"/>
            </w:tcBorders>
            <w:shd w:val="clear" w:color="auto" w:fill="C6EFCE"/>
            <w:vAlign w:val="center"/>
          </w:tcPr>
          <w:p w14:paraId="79467099"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Приключване на Централния изпитен център </w:t>
            </w:r>
          </w:p>
        </w:tc>
        <w:tc>
          <w:tcPr>
            <w:tcW w:w="1482" w:type="dxa"/>
            <w:tcBorders>
              <w:top w:val="nil"/>
              <w:left w:val="nil"/>
              <w:bottom w:val="single" w:sz="4" w:space="0" w:color="auto"/>
              <w:right w:val="single" w:sz="4" w:space="0" w:color="auto"/>
            </w:tcBorders>
            <w:shd w:val="clear" w:color="auto" w:fill="C6EFCE"/>
            <w:vAlign w:val="center"/>
          </w:tcPr>
          <w:p w14:paraId="1E5A849C" w14:textId="77777777" w:rsidR="00CE3BAD" w:rsidRPr="00782BF9" w:rsidRDefault="006B5475">
            <w:pPr>
              <w:pStyle w:val="P68B1DB1-Normal10"/>
              <w:spacing w:after="0" w:line="240" w:lineRule="auto"/>
              <w:rPr>
                <w:rFonts w:eastAsia="Times New Roman"/>
                <w:noProof/>
                <w:lang w:val="bg-BG"/>
              </w:rPr>
            </w:pPr>
            <w:r w:rsidRPr="00782BF9">
              <w:rPr>
                <w:noProof/>
                <w:lang w:val="bg-BG"/>
              </w:rPr>
              <w:t>Въвеждане в експлоатация на централния изпитен център</w:t>
            </w:r>
          </w:p>
        </w:tc>
        <w:tc>
          <w:tcPr>
            <w:tcW w:w="1019" w:type="dxa"/>
            <w:tcBorders>
              <w:top w:val="nil"/>
              <w:left w:val="nil"/>
              <w:bottom w:val="single" w:sz="4" w:space="0" w:color="auto"/>
              <w:right w:val="single" w:sz="4" w:space="0" w:color="auto"/>
            </w:tcBorders>
            <w:shd w:val="clear" w:color="auto" w:fill="C6EFCE"/>
            <w:vAlign w:val="center"/>
          </w:tcPr>
          <w:p w14:paraId="119E2539" w14:textId="77777777" w:rsidR="00CE3BAD" w:rsidRPr="00782BF9" w:rsidRDefault="00CE3BAD">
            <w:pPr>
              <w:spacing w:after="0" w:line="240" w:lineRule="auto"/>
              <w:rPr>
                <w:rFonts w:eastAsia="Times New Roman"/>
                <w:noProof/>
                <w:sz w:val="18"/>
                <w:lang w:val="bg-BG"/>
              </w:rPr>
            </w:pPr>
          </w:p>
        </w:tc>
        <w:tc>
          <w:tcPr>
            <w:tcW w:w="1108" w:type="dxa"/>
            <w:tcBorders>
              <w:top w:val="nil"/>
              <w:left w:val="nil"/>
              <w:bottom w:val="single" w:sz="4" w:space="0" w:color="auto"/>
              <w:right w:val="single" w:sz="4" w:space="0" w:color="auto"/>
            </w:tcBorders>
            <w:shd w:val="clear" w:color="auto" w:fill="C6EFCE"/>
            <w:vAlign w:val="center"/>
          </w:tcPr>
          <w:p w14:paraId="7B06B94B" w14:textId="77777777" w:rsidR="00CE3BAD" w:rsidRPr="00782BF9" w:rsidRDefault="00CE3BAD">
            <w:pPr>
              <w:spacing w:after="0" w:line="240" w:lineRule="auto"/>
              <w:rPr>
                <w:rFonts w:eastAsia="Times New Roman"/>
                <w:noProof/>
                <w:sz w:val="18"/>
                <w:lang w:val="bg-BG"/>
              </w:rPr>
            </w:pPr>
          </w:p>
        </w:tc>
        <w:tc>
          <w:tcPr>
            <w:tcW w:w="1123" w:type="dxa"/>
            <w:tcBorders>
              <w:top w:val="nil"/>
              <w:left w:val="nil"/>
              <w:bottom w:val="single" w:sz="4" w:space="0" w:color="auto"/>
              <w:right w:val="single" w:sz="4" w:space="0" w:color="auto"/>
            </w:tcBorders>
            <w:shd w:val="clear" w:color="auto" w:fill="C6EFCE"/>
            <w:vAlign w:val="center"/>
          </w:tcPr>
          <w:p w14:paraId="4BFF7E49" w14:textId="77777777" w:rsidR="00CE3BAD" w:rsidRPr="00782BF9" w:rsidRDefault="00CE3BAD">
            <w:pPr>
              <w:spacing w:after="0" w:line="240" w:lineRule="auto"/>
              <w:rPr>
                <w:rFonts w:eastAsia="Times New Roman"/>
                <w:noProof/>
                <w:sz w:val="18"/>
                <w:lang w:val="bg-BG"/>
              </w:rPr>
            </w:pPr>
          </w:p>
        </w:tc>
        <w:tc>
          <w:tcPr>
            <w:tcW w:w="806" w:type="dxa"/>
            <w:tcBorders>
              <w:top w:val="nil"/>
              <w:left w:val="nil"/>
              <w:bottom w:val="single" w:sz="4" w:space="0" w:color="auto"/>
              <w:right w:val="single" w:sz="4" w:space="0" w:color="auto"/>
            </w:tcBorders>
            <w:shd w:val="clear" w:color="auto" w:fill="C6EFCE"/>
            <w:vAlign w:val="center"/>
          </w:tcPr>
          <w:p w14:paraId="239CA318" w14:textId="77777777" w:rsidR="00CE3BAD" w:rsidRPr="00782BF9" w:rsidRDefault="006B5475">
            <w:pPr>
              <w:pStyle w:val="P68B1DB1-Normal10"/>
              <w:spacing w:after="0" w:line="240" w:lineRule="auto"/>
              <w:rPr>
                <w:rFonts w:eastAsia="Times New Roman"/>
                <w:noProof/>
                <w:lang w:val="bg-BG"/>
              </w:rPr>
            </w:pPr>
            <w:r w:rsidRPr="00782BF9">
              <w:rPr>
                <w:noProof/>
                <w:lang w:val="bg-BG"/>
              </w:rPr>
              <w:t>Т1 Г.</w:t>
            </w:r>
          </w:p>
        </w:tc>
        <w:tc>
          <w:tcPr>
            <w:tcW w:w="789" w:type="dxa"/>
            <w:tcBorders>
              <w:top w:val="nil"/>
              <w:left w:val="nil"/>
              <w:bottom w:val="single" w:sz="4" w:space="0" w:color="auto"/>
              <w:right w:val="single" w:sz="4" w:space="0" w:color="auto"/>
            </w:tcBorders>
            <w:shd w:val="clear" w:color="auto" w:fill="C6EFCE"/>
            <w:vAlign w:val="center"/>
          </w:tcPr>
          <w:p w14:paraId="4B298AC3"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vAlign w:val="center"/>
          </w:tcPr>
          <w:p w14:paraId="13BD39C7" w14:textId="2C526CE9" w:rsidR="00CE3BAD" w:rsidRPr="00782BF9" w:rsidRDefault="006B5475">
            <w:pPr>
              <w:pStyle w:val="P68B1DB1-Normal10"/>
              <w:spacing w:after="0" w:line="240" w:lineRule="auto"/>
              <w:rPr>
                <w:rFonts w:eastAsia="Times New Roman"/>
                <w:noProof/>
                <w:lang w:val="bg-BG"/>
              </w:rPr>
            </w:pPr>
            <w:r w:rsidRPr="00782BF9">
              <w:rPr>
                <w:noProof/>
                <w:lang w:val="bg-BG"/>
              </w:rPr>
              <w:t xml:space="preserve">Изграждането на Централния изпитен център завършва и центърът започва да функционира. Това е централният изпитен център, създаден в Будапеща, за да се създадат условия за висококачествени професионални изпити, обхващащи най-малко 30 професии и професионални квалификации, за които мрежата от акредитирани изпитни центрове не осигурява подходящо териториално покритие на регионално равнище. </w:t>
            </w:r>
          </w:p>
        </w:tc>
      </w:tr>
      <w:tr w:rsidR="00CE3BAD" w:rsidRPr="00782BF9" w14:paraId="2FBF9CFB"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03CD800F" w14:textId="2C6F1230" w:rsidR="00CE3BAD" w:rsidRPr="00782BF9" w:rsidRDefault="006B5475">
            <w:pPr>
              <w:pStyle w:val="P68B1DB1-Normal10"/>
              <w:spacing w:after="0" w:line="240" w:lineRule="auto"/>
              <w:rPr>
                <w:rFonts w:eastAsia="Times New Roman"/>
                <w:noProof/>
                <w:lang w:val="bg-BG"/>
              </w:rPr>
            </w:pPr>
            <w:r w:rsidRPr="00782BF9">
              <w:rPr>
                <w:noProof/>
                <w:lang w:val="bg-BG"/>
              </w:rPr>
              <w:t xml:space="preserve"> 48</w:t>
            </w:r>
          </w:p>
        </w:tc>
        <w:tc>
          <w:tcPr>
            <w:tcW w:w="1773" w:type="dxa"/>
            <w:tcBorders>
              <w:top w:val="single" w:sz="4" w:space="0" w:color="auto"/>
              <w:left w:val="nil"/>
              <w:bottom w:val="single" w:sz="4" w:space="0" w:color="auto"/>
              <w:right w:val="single" w:sz="4" w:space="0" w:color="auto"/>
            </w:tcBorders>
            <w:shd w:val="clear" w:color="auto" w:fill="C6EFCE"/>
            <w:vAlign w:val="center"/>
          </w:tcPr>
          <w:p w14:paraId="7DB680C9" w14:textId="6E8FA468" w:rsidR="00CE3BAD" w:rsidRPr="00782BF9" w:rsidRDefault="006B5475">
            <w:pPr>
              <w:pStyle w:val="P68B1DB1-Normal10"/>
              <w:spacing w:after="0" w:line="240" w:lineRule="auto"/>
              <w:rPr>
                <w:rFonts w:eastAsia="Times New Roman"/>
                <w:noProof/>
                <w:lang w:val="bg-BG"/>
              </w:rPr>
            </w:pPr>
            <w:r w:rsidRPr="00782BF9">
              <w:rPr>
                <w:noProof/>
                <w:lang w:val="bg-BG"/>
              </w:rPr>
              <w:t>C2.I6 Създаване на национални лаборатории за научноизследователска и развойна дейност</w:t>
            </w:r>
          </w:p>
        </w:tc>
        <w:tc>
          <w:tcPr>
            <w:tcW w:w="1155" w:type="dxa"/>
            <w:tcBorders>
              <w:top w:val="nil"/>
              <w:left w:val="nil"/>
              <w:bottom w:val="single" w:sz="4" w:space="0" w:color="auto"/>
              <w:right w:val="single" w:sz="4" w:space="0" w:color="auto"/>
            </w:tcBorders>
            <w:shd w:val="clear" w:color="auto" w:fill="C6EFCE"/>
            <w:vAlign w:val="center"/>
          </w:tcPr>
          <w:p w14:paraId="5D7787D8" w14:textId="77777777" w:rsidR="00CE3BAD" w:rsidRPr="00782BF9" w:rsidRDefault="006B5475">
            <w:pPr>
              <w:pStyle w:val="P68B1DB1-Normal10"/>
              <w:spacing w:after="0" w:line="240" w:lineRule="auto"/>
              <w:rPr>
                <w:rFonts w:eastAsia="Times New Roman"/>
                <w:noProof/>
                <w:lang w:val="bg-BG"/>
              </w:rPr>
            </w:pPr>
            <w:r w:rsidRPr="00782BF9">
              <w:rPr>
                <w:noProof/>
                <w:lang w:val="bg-BG"/>
              </w:rPr>
              <w:t>Целеви</w:t>
            </w:r>
          </w:p>
        </w:tc>
        <w:tc>
          <w:tcPr>
            <w:tcW w:w="1498" w:type="dxa"/>
            <w:tcBorders>
              <w:top w:val="single" w:sz="4" w:space="0" w:color="auto"/>
              <w:left w:val="nil"/>
              <w:bottom w:val="single" w:sz="4" w:space="0" w:color="auto"/>
              <w:right w:val="single" w:sz="4" w:space="0" w:color="auto"/>
            </w:tcBorders>
            <w:shd w:val="clear" w:color="auto" w:fill="C6EFCE"/>
            <w:vAlign w:val="center"/>
          </w:tcPr>
          <w:p w14:paraId="4DA347CE" w14:textId="15094BBD" w:rsidR="00CE3BAD" w:rsidRPr="00782BF9" w:rsidRDefault="006B5475">
            <w:pPr>
              <w:pStyle w:val="P68B1DB1-Normal10"/>
              <w:spacing w:after="0" w:line="240" w:lineRule="auto"/>
              <w:rPr>
                <w:rFonts w:eastAsia="Times New Roman"/>
                <w:noProof/>
                <w:lang w:val="bg-BG"/>
              </w:rPr>
            </w:pPr>
            <w:r w:rsidRPr="00782BF9">
              <w:rPr>
                <w:noProof/>
                <w:lang w:val="bg-BG"/>
              </w:rPr>
              <w:t>Създаване на допълнителни национални лаборатории в пет тематични области на научни изследвания</w:t>
            </w:r>
          </w:p>
        </w:tc>
        <w:tc>
          <w:tcPr>
            <w:tcW w:w="1482" w:type="dxa"/>
            <w:tcBorders>
              <w:top w:val="nil"/>
              <w:left w:val="nil"/>
              <w:bottom w:val="single" w:sz="4" w:space="0" w:color="auto"/>
              <w:right w:val="single" w:sz="4" w:space="0" w:color="auto"/>
            </w:tcBorders>
            <w:shd w:val="clear" w:color="auto" w:fill="C6EFCE"/>
            <w:vAlign w:val="center"/>
          </w:tcPr>
          <w:p w14:paraId="0C06779D" w14:textId="77777777" w:rsidR="00CE3BAD" w:rsidRPr="00782BF9" w:rsidRDefault="00CE3BAD">
            <w:pPr>
              <w:spacing w:after="0" w:line="240" w:lineRule="auto"/>
              <w:rPr>
                <w:rFonts w:eastAsia="Times New Roman"/>
                <w:noProof/>
                <w:sz w:val="18"/>
                <w:lang w:val="bg-BG"/>
              </w:rPr>
            </w:pPr>
          </w:p>
        </w:tc>
        <w:tc>
          <w:tcPr>
            <w:tcW w:w="1019" w:type="dxa"/>
            <w:tcBorders>
              <w:top w:val="nil"/>
              <w:left w:val="nil"/>
              <w:bottom w:val="single" w:sz="4" w:space="0" w:color="auto"/>
              <w:right w:val="single" w:sz="4" w:space="0" w:color="auto"/>
            </w:tcBorders>
            <w:shd w:val="clear" w:color="auto" w:fill="C6EFCE"/>
            <w:vAlign w:val="center"/>
          </w:tcPr>
          <w:p w14:paraId="6F278A57" w14:textId="77777777" w:rsidR="00CE3BAD" w:rsidRPr="00782BF9" w:rsidRDefault="006B5475">
            <w:pPr>
              <w:pStyle w:val="P68B1DB1-Normal10"/>
              <w:spacing w:after="0" w:line="240" w:lineRule="auto"/>
              <w:rPr>
                <w:rFonts w:eastAsia="Times New Roman"/>
                <w:noProof/>
                <w:lang w:val="bg-BG"/>
              </w:rPr>
            </w:pPr>
            <w:r w:rsidRPr="00782BF9">
              <w:rPr>
                <w:noProof/>
                <w:lang w:val="bg-BG"/>
              </w:rPr>
              <w:t> Брой</w:t>
            </w:r>
          </w:p>
        </w:tc>
        <w:tc>
          <w:tcPr>
            <w:tcW w:w="1108" w:type="dxa"/>
            <w:tcBorders>
              <w:top w:val="nil"/>
              <w:left w:val="nil"/>
              <w:bottom w:val="single" w:sz="4" w:space="0" w:color="auto"/>
              <w:right w:val="single" w:sz="4" w:space="0" w:color="auto"/>
            </w:tcBorders>
            <w:shd w:val="clear" w:color="auto" w:fill="C6EFCE"/>
            <w:vAlign w:val="center"/>
          </w:tcPr>
          <w:p w14:paraId="5AF3104F" w14:textId="77777777" w:rsidR="00CE3BAD" w:rsidRPr="00782BF9" w:rsidRDefault="006B5475">
            <w:pPr>
              <w:pStyle w:val="P68B1DB1-Normal10"/>
              <w:spacing w:after="0" w:line="240" w:lineRule="auto"/>
              <w:rPr>
                <w:rFonts w:eastAsia="Times New Roman"/>
                <w:noProof/>
                <w:lang w:val="bg-BG"/>
              </w:rPr>
            </w:pPr>
            <w:r w:rsidRPr="00782BF9">
              <w:rPr>
                <w:noProof/>
                <w:lang w:val="bg-BG"/>
              </w:rPr>
              <w:t>15</w:t>
            </w:r>
          </w:p>
        </w:tc>
        <w:tc>
          <w:tcPr>
            <w:tcW w:w="1123" w:type="dxa"/>
            <w:tcBorders>
              <w:top w:val="nil"/>
              <w:left w:val="nil"/>
              <w:bottom w:val="single" w:sz="4" w:space="0" w:color="auto"/>
              <w:right w:val="single" w:sz="4" w:space="0" w:color="auto"/>
            </w:tcBorders>
            <w:shd w:val="clear" w:color="auto" w:fill="C6EFCE"/>
            <w:vAlign w:val="center"/>
          </w:tcPr>
          <w:p w14:paraId="39C58556" w14:textId="0A55AB2E" w:rsidR="00CE3BAD" w:rsidRPr="00782BF9" w:rsidRDefault="006B5475">
            <w:pPr>
              <w:pStyle w:val="P68B1DB1-Normal10"/>
              <w:spacing w:after="0" w:line="240" w:lineRule="auto"/>
              <w:rPr>
                <w:rFonts w:eastAsia="Times New Roman"/>
                <w:noProof/>
                <w:lang w:val="bg-BG"/>
              </w:rPr>
            </w:pPr>
            <w:r w:rsidRPr="00782BF9">
              <w:rPr>
                <w:noProof/>
                <w:lang w:val="bg-BG"/>
              </w:rPr>
              <w:t>29</w:t>
            </w:r>
          </w:p>
        </w:tc>
        <w:tc>
          <w:tcPr>
            <w:tcW w:w="806" w:type="dxa"/>
            <w:tcBorders>
              <w:top w:val="nil"/>
              <w:left w:val="nil"/>
              <w:bottom w:val="single" w:sz="4" w:space="0" w:color="auto"/>
              <w:right w:val="single" w:sz="4" w:space="0" w:color="auto"/>
            </w:tcBorders>
            <w:shd w:val="clear" w:color="auto" w:fill="C6EFCE"/>
            <w:vAlign w:val="center"/>
          </w:tcPr>
          <w:p w14:paraId="6998F787"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tcPr>
          <w:p w14:paraId="2C5CD43B" w14:textId="77777777" w:rsidR="00CE3BAD" w:rsidRPr="00782BF9" w:rsidRDefault="006B5475">
            <w:pPr>
              <w:pStyle w:val="P68B1DB1-Normal10"/>
              <w:spacing w:after="0" w:line="240" w:lineRule="auto"/>
              <w:rPr>
                <w:rFonts w:eastAsia="Times New Roman"/>
                <w:noProof/>
                <w:lang w:val="bg-BG"/>
              </w:rPr>
            </w:pPr>
            <w:r w:rsidRPr="00782BF9">
              <w:rPr>
                <w:noProof/>
                <w:lang w:val="bg-BG"/>
              </w:rPr>
              <w:t>2022</w:t>
            </w:r>
          </w:p>
        </w:tc>
        <w:tc>
          <w:tcPr>
            <w:tcW w:w="4425" w:type="dxa"/>
            <w:tcBorders>
              <w:top w:val="nil"/>
              <w:left w:val="nil"/>
              <w:bottom w:val="single" w:sz="4" w:space="0" w:color="auto"/>
              <w:right w:val="single" w:sz="4" w:space="0" w:color="auto"/>
            </w:tcBorders>
            <w:shd w:val="clear" w:color="auto" w:fill="C6EFCE"/>
            <w:vAlign w:val="center"/>
          </w:tcPr>
          <w:p w14:paraId="00469B47" w14:textId="253EE831" w:rsidR="00CE3BAD" w:rsidRPr="00782BF9" w:rsidRDefault="006B5475">
            <w:pPr>
              <w:pStyle w:val="P68B1DB1-Normal10"/>
              <w:spacing w:after="0" w:line="240" w:lineRule="auto"/>
              <w:rPr>
                <w:rFonts w:eastAsia="Times New Roman"/>
                <w:noProof/>
                <w:lang w:val="bg-BG"/>
              </w:rPr>
            </w:pPr>
            <w:r w:rsidRPr="00782BF9">
              <w:rPr>
                <w:noProof/>
                <w:lang w:val="bg-BG"/>
              </w:rPr>
              <w:t xml:space="preserve">14 допълнителни национални лаборатории се създават в консорциуми, състоящи се от висши учебни заведения, научноизследователски институти, дружества и други публични участници (като Националната служба за безопасност на хранителната верига и Унгарската метеорологична служба). Националните лаборатории се организират около научноизследователски теми в тематичните области на безопасно общество и околна среда; здравеопазване; промишленост и цифровизация. Лабораториите се създават с цел да допринесат за укрепването на унгарската иновационна екосистема. </w:t>
            </w:r>
          </w:p>
        </w:tc>
      </w:tr>
      <w:tr w:rsidR="00CE3BAD" w:rsidRPr="00782BF9" w14:paraId="5BDD95A8" w14:textId="77777777">
        <w:trPr>
          <w:trHeight w:val="1852"/>
        </w:trPr>
        <w:tc>
          <w:tcPr>
            <w:tcW w:w="1013" w:type="dxa"/>
            <w:tcBorders>
              <w:top w:val="nil"/>
              <w:left w:val="single" w:sz="4" w:space="0" w:color="auto"/>
              <w:bottom w:val="single" w:sz="4" w:space="0" w:color="auto"/>
              <w:right w:val="single" w:sz="4" w:space="0" w:color="auto"/>
            </w:tcBorders>
            <w:shd w:val="clear" w:color="auto" w:fill="C6EFCE"/>
            <w:vAlign w:val="center"/>
          </w:tcPr>
          <w:p w14:paraId="64F606C6" w14:textId="3C198D42" w:rsidR="00CE3BAD" w:rsidRPr="00782BF9" w:rsidRDefault="006B5475">
            <w:pPr>
              <w:pStyle w:val="P68B1DB1-Normal10"/>
              <w:spacing w:after="0" w:line="240" w:lineRule="auto"/>
              <w:rPr>
                <w:rFonts w:eastAsia="Times New Roman"/>
                <w:noProof/>
                <w:lang w:val="bg-BG"/>
              </w:rPr>
            </w:pPr>
            <w:r w:rsidRPr="00782BF9">
              <w:rPr>
                <w:noProof/>
                <w:lang w:val="bg-BG"/>
              </w:rPr>
              <w:t xml:space="preserve"> 49</w:t>
            </w:r>
          </w:p>
        </w:tc>
        <w:tc>
          <w:tcPr>
            <w:tcW w:w="1773" w:type="dxa"/>
            <w:tcBorders>
              <w:top w:val="nil"/>
              <w:left w:val="nil"/>
              <w:bottom w:val="single" w:sz="4" w:space="0" w:color="auto"/>
              <w:right w:val="single" w:sz="4" w:space="0" w:color="auto"/>
            </w:tcBorders>
            <w:shd w:val="clear" w:color="auto" w:fill="C6EFCE"/>
            <w:vAlign w:val="center"/>
          </w:tcPr>
          <w:p w14:paraId="4D6ECDFE" w14:textId="3A9651FF" w:rsidR="00CE3BAD" w:rsidRPr="00782BF9" w:rsidRDefault="006B5475">
            <w:pPr>
              <w:pStyle w:val="P68B1DB1-Normal10"/>
              <w:spacing w:after="0" w:line="240" w:lineRule="auto"/>
              <w:rPr>
                <w:rFonts w:eastAsia="Times New Roman"/>
                <w:noProof/>
                <w:lang w:val="bg-BG"/>
              </w:rPr>
            </w:pPr>
            <w:r w:rsidRPr="00782BF9">
              <w:rPr>
                <w:noProof/>
                <w:lang w:val="bg-BG"/>
              </w:rPr>
              <w:t>C2.I6 Създаване на национални лаборатории за научноизследователска и развойна дейност</w:t>
            </w:r>
          </w:p>
        </w:tc>
        <w:tc>
          <w:tcPr>
            <w:tcW w:w="1155" w:type="dxa"/>
            <w:tcBorders>
              <w:top w:val="nil"/>
              <w:left w:val="nil"/>
              <w:bottom w:val="single" w:sz="4" w:space="0" w:color="auto"/>
              <w:right w:val="single" w:sz="4" w:space="0" w:color="auto"/>
            </w:tcBorders>
            <w:shd w:val="clear" w:color="auto" w:fill="C6EFCE"/>
            <w:vAlign w:val="center"/>
          </w:tcPr>
          <w:p w14:paraId="2EE170FA" w14:textId="77777777"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498" w:type="dxa"/>
            <w:tcBorders>
              <w:top w:val="nil"/>
              <w:left w:val="nil"/>
              <w:bottom w:val="single" w:sz="4" w:space="0" w:color="auto"/>
              <w:right w:val="single" w:sz="4" w:space="0" w:color="auto"/>
            </w:tcBorders>
            <w:shd w:val="clear" w:color="auto" w:fill="C6EFCE"/>
            <w:vAlign w:val="center"/>
          </w:tcPr>
          <w:p w14:paraId="19B7E949" w14:textId="77777777" w:rsidR="00CE3BAD" w:rsidRPr="00782BF9" w:rsidRDefault="006B5475">
            <w:pPr>
              <w:pStyle w:val="P68B1DB1-Normal10"/>
              <w:spacing w:after="0" w:line="240" w:lineRule="auto"/>
              <w:rPr>
                <w:rFonts w:eastAsia="Times New Roman"/>
                <w:noProof/>
                <w:lang w:val="bg-BG"/>
              </w:rPr>
            </w:pPr>
            <w:r w:rsidRPr="00782BF9">
              <w:rPr>
                <w:noProof/>
                <w:lang w:val="bg-BG"/>
              </w:rPr>
              <w:t>Доклад за работата на националните лаборатории</w:t>
            </w:r>
          </w:p>
        </w:tc>
        <w:tc>
          <w:tcPr>
            <w:tcW w:w="1482" w:type="dxa"/>
            <w:tcBorders>
              <w:top w:val="nil"/>
              <w:left w:val="nil"/>
              <w:bottom w:val="single" w:sz="4" w:space="0" w:color="auto"/>
              <w:right w:val="single" w:sz="4" w:space="0" w:color="auto"/>
            </w:tcBorders>
            <w:shd w:val="clear" w:color="auto" w:fill="C6EFCE"/>
            <w:vAlign w:val="center"/>
          </w:tcPr>
          <w:p w14:paraId="3F7D4D6B" w14:textId="77777777" w:rsidR="00CE3BAD" w:rsidRPr="00782BF9" w:rsidRDefault="006B5475">
            <w:pPr>
              <w:pStyle w:val="P68B1DB1-Normal10"/>
              <w:spacing w:after="0" w:line="240" w:lineRule="auto"/>
              <w:rPr>
                <w:rFonts w:eastAsia="Times New Roman"/>
                <w:noProof/>
                <w:lang w:val="bg-BG"/>
              </w:rPr>
            </w:pPr>
            <w:r w:rsidRPr="00782BF9">
              <w:rPr>
                <w:noProof/>
                <w:lang w:val="bg-BG"/>
              </w:rPr>
              <w:t>Публикуване на доклада от Националната агенция за научни изследвания, развитие и иновации</w:t>
            </w:r>
          </w:p>
        </w:tc>
        <w:tc>
          <w:tcPr>
            <w:tcW w:w="1019" w:type="dxa"/>
            <w:tcBorders>
              <w:top w:val="nil"/>
              <w:left w:val="nil"/>
              <w:bottom w:val="single" w:sz="4" w:space="0" w:color="auto"/>
              <w:right w:val="single" w:sz="4" w:space="0" w:color="auto"/>
            </w:tcBorders>
            <w:shd w:val="clear" w:color="auto" w:fill="C6EFCE"/>
            <w:vAlign w:val="center"/>
          </w:tcPr>
          <w:p w14:paraId="450FC8AE" w14:textId="77777777" w:rsidR="00CE3BAD" w:rsidRPr="00782BF9" w:rsidRDefault="00CE3BAD">
            <w:pPr>
              <w:spacing w:after="0" w:line="240" w:lineRule="auto"/>
              <w:rPr>
                <w:rFonts w:eastAsia="Calibri" w:cstheme="minorHAnsi"/>
                <w:noProof/>
                <w:sz w:val="18"/>
                <w:lang w:val="bg-BG"/>
              </w:rPr>
            </w:pPr>
          </w:p>
        </w:tc>
        <w:tc>
          <w:tcPr>
            <w:tcW w:w="1108" w:type="dxa"/>
            <w:tcBorders>
              <w:top w:val="nil"/>
              <w:left w:val="nil"/>
              <w:bottom w:val="single" w:sz="4" w:space="0" w:color="auto"/>
              <w:right w:val="single" w:sz="4" w:space="0" w:color="auto"/>
            </w:tcBorders>
            <w:shd w:val="clear" w:color="auto" w:fill="C6EFCE"/>
            <w:vAlign w:val="center"/>
          </w:tcPr>
          <w:p w14:paraId="099287A4" w14:textId="77777777" w:rsidR="00CE3BAD" w:rsidRPr="00782BF9" w:rsidRDefault="00CE3BAD">
            <w:pPr>
              <w:spacing w:after="0" w:line="240" w:lineRule="auto"/>
              <w:rPr>
                <w:rFonts w:eastAsia="Times New Roman" w:cstheme="minorHAnsi"/>
                <w:noProof/>
                <w:sz w:val="18"/>
                <w:lang w:val="bg-BG"/>
              </w:rPr>
            </w:pPr>
          </w:p>
        </w:tc>
        <w:tc>
          <w:tcPr>
            <w:tcW w:w="1123" w:type="dxa"/>
            <w:tcBorders>
              <w:top w:val="nil"/>
              <w:left w:val="nil"/>
              <w:bottom w:val="single" w:sz="4" w:space="0" w:color="auto"/>
              <w:right w:val="single" w:sz="4" w:space="0" w:color="auto"/>
            </w:tcBorders>
            <w:shd w:val="clear" w:color="auto" w:fill="C6EFCE"/>
            <w:vAlign w:val="center"/>
          </w:tcPr>
          <w:p w14:paraId="556A5C8B" w14:textId="77777777" w:rsidR="00CE3BAD" w:rsidRPr="00782BF9" w:rsidRDefault="00CE3BAD">
            <w:pPr>
              <w:spacing w:after="0" w:line="240" w:lineRule="auto"/>
              <w:rPr>
                <w:rFonts w:eastAsia="Calibri" w:cstheme="minorHAnsi"/>
                <w:noProof/>
                <w:sz w:val="18"/>
                <w:lang w:val="bg-BG"/>
              </w:rPr>
            </w:pPr>
          </w:p>
        </w:tc>
        <w:tc>
          <w:tcPr>
            <w:tcW w:w="806" w:type="dxa"/>
            <w:tcBorders>
              <w:top w:val="nil"/>
              <w:left w:val="nil"/>
              <w:bottom w:val="single" w:sz="4" w:space="0" w:color="auto"/>
              <w:right w:val="single" w:sz="4" w:space="0" w:color="auto"/>
            </w:tcBorders>
            <w:shd w:val="clear" w:color="auto" w:fill="C6EFCE"/>
            <w:vAlign w:val="center"/>
          </w:tcPr>
          <w:p w14:paraId="6C6D22A6" w14:textId="77777777" w:rsidR="00CE3BAD" w:rsidRPr="00782BF9" w:rsidRDefault="006B5475">
            <w:pPr>
              <w:pStyle w:val="P68B1DB1-Normal10"/>
              <w:spacing w:after="0" w:line="240" w:lineRule="auto"/>
              <w:rPr>
                <w:rFonts w:eastAsia="Times New Roman"/>
                <w:noProof/>
                <w:lang w:val="bg-BG"/>
              </w:rPr>
            </w:pPr>
            <w:r w:rsidRPr="00782BF9">
              <w:rPr>
                <w:noProof/>
                <w:lang w:val="bg-BG"/>
              </w:rPr>
              <w:t>Т2 Г.</w:t>
            </w:r>
          </w:p>
        </w:tc>
        <w:tc>
          <w:tcPr>
            <w:tcW w:w="789" w:type="dxa"/>
            <w:tcBorders>
              <w:top w:val="nil"/>
              <w:left w:val="nil"/>
              <w:bottom w:val="single" w:sz="4" w:space="0" w:color="auto"/>
              <w:right w:val="single" w:sz="4" w:space="0" w:color="auto"/>
            </w:tcBorders>
            <w:shd w:val="clear" w:color="auto" w:fill="C6EFCE"/>
            <w:vAlign w:val="center"/>
          </w:tcPr>
          <w:p w14:paraId="31D7388F" w14:textId="77777777" w:rsidR="00CE3BAD" w:rsidRPr="00782BF9" w:rsidRDefault="006B5475">
            <w:pPr>
              <w:pStyle w:val="P68B1DB1-Normal10"/>
              <w:spacing w:after="0" w:line="240" w:lineRule="auto"/>
              <w:rPr>
                <w:rFonts w:eastAsia="Times New Roman"/>
                <w:noProof/>
                <w:lang w:val="bg-BG"/>
              </w:rPr>
            </w:pPr>
            <w:r w:rsidRPr="00782BF9">
              <w:rPr>
                <w:noProof/>
                <w:lang w:val="bg-BG"/>
              </w:rPr>
              <w:t>2026</w:t>
            </w:r>
          </w:p>
        </w:tc>
        <w:tc>
          <w:tcPr>
            <w:tcW w:w="4425" w:type="dxa"/>
            <w:tcBorders>
              <w:top w:val="nil"/>
              <w:left w:val="nil"/>
              <w:bottom w:val="single" w:sz="4" w:space="0" w:color="auto"/>
              <w:right w:val="single" w:sz="4" w:space="0" w:color="auto"/>
            </w:tcBorders>
            <w:shd w:val="clear" w:color="auto" w:fill="C6EFCE"/>
            <w:vAlign w:val="center"/>
          </w:tcPr>
          <w:p w14:paraId="28A1A256" w14:textId="0C8E62CB" w:rsidR="00CE3BAD" w:rsidRPr="00782BF9" w:rsidRDefault="006B5475">
            <w:pPr>
              <w:pStyle w:val="P68B1DB1-Normal10"/>
              <w:spacing w:after="0" w:line="240" w:lineRule="auto"/>
              <w:rPr>
                <w:rFonts w:eastAsia="Times New Roman"/>
                <w:noProof/>
                <w:lang w:val="bg-BG"/>
              </w:rPr>
            </w:pPr>
            <w:r w:rsidRPr="00782BF9">
              <w:rPr>
                <w:noProof/>
                <w:lang w:val="bg-BG"/>
              </w:rPr>
              <w:t xml:space="preserve">Националната агенция за научни изследвания, развитие и иновации изготвя и публикува доклад за работата на националните лаборатории, създадени по тази мярка. Докладът предоставя информация за дейностите на съответните национални лаборатории, включително най-малко следните елементи: i) дейностите и резултатите на лабораториите в областта на научните изследвания, в които те са били активни, включително глобалното предизвикателство, на което са се изправили на национално равнище, ii) състава на консорциумите (публични и частни партньори) и iii) как тези национални лаборатории са допринесли за укрепването на унгарската иновационна екосистема. В доклада също така се прави оценка на ефективността на националните лаборатории за подпомагане на научноизследователските и иновационните дейности в икономиката и се отправят препоръки за подобряване на подкрепата за научните изследвания. </w:t>
            </w:r>
          </w:p>
        </w:tc>
      </w:tr>
    </w:tbl>
    <w:p w14:paraId="5EC334C2" w14:textId="77777777" w:rsidR="00CE3BAD" w:rsidRPr="00782BF9" w:rsidRDefault="00CE3BAD">
      <w:pPr>
        <w:tabs>
          <w:tab w:val="left" w:pos="850"/>
        </w:tabs>
        <w:spacing w:before="360" w:after="120" w:line="240" w:lineRule="auto"/>
        <w:jc w:val="both"/>
        <w:outlineLvl w:val="0"/>
        <w:rPr>
          <w:rFonts w:ascii="Times New Roman" w:hAnsi="Times New Roman" w:cs="Times New Roman"/>
          <w:b/>
          <w:smallCaps/>
          <w:noProof/>
          <w:sz w:val="24"/>
          <w:lang w:val="bg-BG"/>
        </w:rPr>
        <w:sectPr w:rsidR="00CE3BAD" w:rsidRPr="00782BF9" w:rsidSect="005105E0">
          <w:headerReference w:type="even" r:id="rId45"/>
          <w:headerReference w:type="default" r:id="rId46"/>
          <w:footerReference w:type="even" r:id="rId47"/>
          <w:footerReference w:type="default" r:id="rId48"/>
          <w:headerReference w:type="first" r:id="rId49"/>
          <w:footerReference w:type="first" r:id="rId50"/>
          <w:pgSz w:w="16839" w:h="11907" w:orient="landscape"/>
          <w:pgMar w:top="1417" w:right="1134" w:bottom="1417" w:left="1134" w:header="709" w:footer="709" w:gutter="0"/>
          <w:cols w:space="720"/>
          <w:docGrid w:linePitch="360"/>
        </w:sectPr>
      </w:pPr>
    </w:p>
    <w:p w14:paraId="598A790D" w14:textId="4AEB2373" w:rsidR="00CE3BAD" w:rsidRPr="00782BF9" w:rsidRDefault="006B5475">
      <w:pPr>
        <w:pStyle w:val="Heading2"/>
        <w:spacing w:after="120"/>
        <w:ind w:left="0" w:firstLine="0"/>
        <w:rPr>
          <w:smallCaps/>
          <w:noProof/>
          <w:lang w:val="bg-BG"/>
        </w:rPr>
      </w:pPr>
      <w:r w:rsidRPr="00782BF9">
        <w:rPr>
          <w:noProof/>
          <w:lang w:val="bg-BG"/>
        </w:rPr>
        <w:t>В. В</w:t>
      </w:r>
      <w:r w:rsidRPr="00782BF9">
        <w:rPr>
          <w:smallCaps/>
          <w:noProof/>
          <w:lang w:val="bg-BG"/>
        </w:rPr>
        <w:t>КОМПОНЕНТ 3</w:t>
      </w:r>
      <w:r w:rsidRPr="00782BF9">
        <w:rPr>
          <w:noProof/>
          <w:lang w:val="bg-BG"/>
        </w:rPr>
        <w:t xml:space="preserve">: </w:t>
      </w:r>
      <w:r w:rsidRPr="00782BF9">
        <w:rPr>
          <w:smallCaps/>
          <w:noProof/>
          <w:lang w:val="bg-BG"/>
        </w:rPr>
        <w:t>НАВАКСВАНЕ НА НАСЕЛЕНИТЕ МЕСТА</w:t>
      </w:r>
    </w:p>
    <w:p w14:paraId="3052DB90" w14:textId="77777777" w:rsidR="00CE3BAD" w:rsidRPr="00782BF9" w:rsidRDefault="00CE3BAD">
      <w:pPr>
        <w:pStyle w:val="Text1"/>
        <w:rPr>
          <w:noProof/>
          <w:lang w:val="bg-BG"/>
        </w:rPr>
      </w:pPr>
    </w:p>
    <w:p w14:paraId="75BDF61B" w14:textId="66FAE056" w:rsidR="00CE3BAD" w:rsidRPr="00782BF9" w:rsidRDefault="006B5475">
      <w:pPr>
        <w:pStyle w:val="P68B1DB1-Normal5"/>
        <w:spacing w:after="120" w:line="240" w:lineRule="auto"/>
        <w:jc w:val="both"/>
        <w:rPr>
          <w:rFonts w:cs="Times New Roman"/>
          <w:noProof/>
          <w:lang w:val="bg-BG"/>
        </w:rPr>
      </w:pPr>
      <w:r w:rsidRPr="00782BF9">
        <w:rPr>
          <w:noProof/>
          <w:lang w:val="bg-BG"/>
        </w:rPr>
        <w:t xml:space="preserve">Този компонент от унгарския план за възстановяване и устойчивост е насочен към социално-икономическите и териториалните предизвикателства, които бяха засилени от пандемията от COVID-19, особено в най-бедните селища, и разглежда въпроси като липсата на достъп до пазара на труда и обществените услуги, недостига на специалисти в областта на първичните здравни грижи и в по-общ план бедността. </w:t>
      </w:r>
    </w:p>
    <w:p w14:paraId="6460BF82" w14:textId="25DDCC6B" w:rsidR="00CE3BAD" w:rsidRPr="00782BF9" w:rsidRDefault="006B5475">
      <w:pPr>
        <w:pStyle w:val="P68B1DB1-Normal5"/>
        <w:spacing w:after="120" w:line="240" w:lineRule="auto"/>
        <w:jc w:val="both"/>
        <w:rPr>
          <w:rFonts w:cs="Times New Roman"/>
          <w:noProof/>
          <w:lang w:val="bg-BG"/>
        </w:rPr>
      </w:pPr>
      <w:r w:rsidRPr="00782BF9">
        <w:rPr>
          <w:noProof/>
          <w:lang w:val="bg-BG"/>
        </w:rPr>
        <w:t xml:space="preserve">Основната цел на този компонент е да се предоставят основни услуги на жителите на 300-те населени места в най-неравностойно положение в Унгария (както е определено в Решение 1404/2019 на правителството (VII.05.) и в Решение 1057/2021 на правителството. (II.19.)) чрез интегрирана намеса в областта на социалната политика. Обхватът на мерките в този компонент е неразделна част от по-широката програма за догонване. Компонентът допринася за жилищната част на принцип 19 от Европейския стълб на социалните права и за принцип 20 относно достъпа до основни услуги. </w:t>
      </w:r>
    </w:p>
    <w:p w14:paraId="13975F00" w14:textId="47FDE64D" w:rsidR="00CE3BAD" w:rsidRPr="00782BF9" w:rsidRDefault="006B5475">
      <w:pPr>
        <w:pStyle w:val="P68B1DB1-Normal5"/>
        <w:spacing w:after="120" w:line="240" w:lineRule="auto"/>
        <w:jc w:val="both"/>
        <w:rPr>
          <w:rFonts w:cs="Times New Roman"/>
          <w:noProof/>
          <w:lang w:val="bg-BG"/>
        </w:rPr>
      </w:pPr>
      <w:r w:rsidRPr="00782BF9">
        <w:rPr>
          <w:noProof/>
          <w:lang w:val="bg-BG"/>
        </w:rPr>
        <w:t>За тази цел компонентът има за цел i) изграждането и обновяването на социални жилища, за да се подобри достъпът до подходящи жилищни условия; II) създаване на социални слънчеви електроцентрали; III) насърчаване на заетостта и развитието на умения въз основа на местните особености и укрепването на местната икономическа култура; и iv) постигане на по-добри резултати от обучението чрез насочена към общността педагогика.</w:t>
      </w:r>
    </w:p>
    <w:p w14:paraId="312439C6" w14:textId="6A003185" w:rsidR="00CE3BAD" w:rsidRPr="00782BF9" w:rsidRDefault="006B5475">
      <w:pPr>
        <w:pStyle w:val="P68B1DB1-Normal5"/>
        <w:spacing w:after="120" w:line="240" w:lineRule="auto"/>
        <w:jc w:val="both"/>
        <w:rPr>
          <w:rFonts w:cs="Times New Roman"/>
          <w:noProof/>
          <w:lang w:val="bg-BG"/>
        </w:rPr>
      </w:pPr>
      <w:r w:rsidRPr="00782BF9">
        <w:rPr>
          <w:noProof/>
          <w:lang w:val="bg-BG"/>
        </w:rPr>
        <w:t>Компонентът допринася за изпълнението на специфичните за всяка държава препоръки за подобряване на адекватността на социалното подпомагане и гарантиране на достъп до основни услуги, качествено образование и подходящо жилищно настаняване за всички (специфични за всяка държава препоръки 2 през 2020 г. и 3 през 2022 г.), за гарантиране на интеграцията на пазара на труда на най-уязвимите групи (специфични за всяка държава препоръки 2 през 2019 г. и 3 през 2022 г.) и за насочване на инвестициите към екологичния и цифровия преход (специфични за всяка държава препоръки 3 през 2020 г. и 6 през 2022 г.).</w:t>
      </w:r>
    </w:p>
    <w:p w14:paraId="55C9324D" w14:textId="77777777" w:rsidR="00CE3BAD" w:rsidRPr="00782BF9" w:rsidRDefault="006B5475">
      <w:pPr>
        <w:pStyle w:val="P68B1DB1-Normal5"/>
        <w:spacing w:after="120" w:line="240" w:lineRule="auto"/>
        <w:jc w:val="both"/>
        <w:rPr>
          <w:rFonts w:cs="Times New Roman"/>
          <w:noProof/>
          <w:lang w:val="bg-BG"/>
        </w:rPr>
      </w:pPr>
      <w:r w:rsidRPr="00782BF9">
        <w:rPr>
          <w:noProof/>
          <w:lang w:val="bg-BG"/>
        </w:rPr>
        <w:t>Очаква се, че нито една мярка в този компонент не нанася значителни вреди на екологичните цели по смисъла на член 17 от Регламент (ЕС) 2020/852, като се вземе предвид описанието на мерките и стъпките за смекчаване, определени в плана за възстановяване и устойчивост в съответствие с Техническите насоки съгласно принципа за ненанасяне на значителни вреди (2021/C58/01).</w:t>
      </w:r>
    </w:p>
    <w:p w14:paraId="461D64E8" w14:textId="77777777" w:rsidR="00CE3BAD" w:rsidRPr="00782BF9" w:rsidRDefault="006B5475">
      <w:pPr>
        <w:pStyle w:val="Heading2"/>
        <w:spacing w:after="120"/>
        <w:ind w:left="0" w:firstLine="0"/>
        <w:rPr>
          <w:b w:val="0"/>
          <w:noProof/>
          <w:lang w:val="bg-BG"/>
        </w:rPr>
      </w:pPr>
      <w:r w:rsidRPr="00782BF9">
        <w:rPr>
          <w:noProof/>
          <w:lang w:val="bg-BG"/>
        </w:rPr>
        <w:t>В.1. Описание на реформите и инвестициите за безвъзмездна финансова подкрепа</w:t>
      </w:r>
    </w:p>
    <w:p w14:paraId="70B4E288" w14:textId="7BEC184A" w:rsidR="00CE3BAD" w:rsidRPr="00782BF9" w:rsidRDefault="006B5475">
      <w:pPr>
        <w:pStyle w:val="P68B1DB1-Normal15"/>
        <w:spacing w:after="120" w:line="240" w:lineRule="auto"/>
        <w:jc w:val="both"/>
        <w:rPr>
          <w:rFonts w:cs="Times New Roman"/>
          <w:noProof/>
          <w:lang w:val="bg-BG"/>
        </w:rPr>
      </w:pPr>
      <w:r w:rsidRPr="00782BF9">
        <w:rPr>
          <w:noProof/>
          <w:lang w:val="bg-BG"/>
        </w:rPr>
        <w:t>C3.R1: Създаване на рамкови условия за ефективна интегрирана подкрепа за населените места в най-неравностойно положение</w:t>
      </w:r>
    </w:p>
    <w:p w14:paraId="66637BD5"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мярката е да се подкрепи ефективното и прозрачно изпълнение на програмата за догонване на населените места, която има за цел да се развият най-необлагодетелстваните населени места в Унгария и да се преодолеят основните социално-икономически предизвикателства пред техните жители. </w:t>
      </w:r>
    </w:p>
    <w:p w14:paraId="1192811C" w14:textId="6498BE91"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се състои от две действия за създаване на рамкови условия за изпълнението и мониторинга на програмата за наваксване на плащанията. Първо, неправителствените организации, изпълняващи различните елементи на програмата, се избират чрез прозрачна процедура въз основа на критерии, свързани с професионалния опит, капацитета и заслугите. Процедурният правилник се публикува на специалния уебсайт на Програмата. Второ, създава се тематичен мониторингов комитет за програмата за догонване на населените места, който да прави преглед на резултатите и да дава препоръки за по-нататъшно повишаване на ефективността на програмата. Обхватът на прегледа на мониторинговия комитет обхваща съответните интервенции — от национални и европейски източници на финансиране (включително елементи от ЕСФ + и ЕФРР), които подкрепят целите на програмата в 300-те населени места в най-неравностойно положение. За тази цел съставът на мониторинговия комитет включва компетентни министерства и органи, представители на общините, организации на гражданското общество, работещи в областта на социалното приобщаване и приобщаването на ромите. Организациите на гражданското общество се подбират въз основа на професионален опит, капацитет и заслуги. Мониторинговият комитет заседава редовно, най-малко веднъж на три месеца. Неговите документи, включително протоколите, се публикуват на специалния уебсайт на програмата.</w:t>
      </w:r>
    </w:p>
    <w:p w14:paraId="3C6FC3C6"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трябва да приключи до 31 март 2023 г.</w:t>
      </w:r>
    </w:p>
    <w:p w14:paraId="1288A382" w14:textId="77777777" w:rsidR="00CE3BAD" w:rsidRPr="00782BF9" w:rsidRDefault="00CE3BAD">
      <w:pPr>
        <w:spacing w:after="120" w:line="240" w:lineRule="auto"/>
        <w:jc w:val="both"/>
        <w:rPr>
          <w:rFonts w:ascii="Times New Roman" w:hAnsi="Times New Roman" w:cs="Times New Roman"/>
          <w:b/>
          <w:noProof/>
          <w:color w:val="000000"/>
          <w:sz w:val="24"/>
          <w:shd w:val="clear" w:color="auto" w:fill="FFFFFF"/>
          <w:lang w:val="bg-BG"/>
        </w:rPr>
      </w:pPr>
    </w:p>
    <w:p w14:paraId="3A432392" w14:textId="41A78DCF" w:rsidR="00CE3BAD" w:rsidRPr="00782BF9" w:rsidRDefault="00BA2254">
      <w:pPr>
        <w:pStyle w:val="P68B1DB1-Normal15"/>
        <w:spacing w:after="120" w:line="240" w:lineRule="auto"/>
        <w:jc w:val="both"/>
        <w:rPr>
          <w:rFonts w:cs="Times New Roman"/>
          <w:noProof/>
          <w:lang w:val="bg-BG"/>
        </w:rPr>
      </w:pPr>
      <w:r w:rsidRPr="00782BF9">
        <w:rPr>
          <w:noProof/>
          <w:lang w:val="bg-BG"/>
        </w:rPr>
        <w:t>C</w:t>
      </w:r>
      <w:r w:rsidR="006B5475" w:rsidRPr="00782BF9">
        <w:rPr>
          <w:noProof/>
          <w:lang w:val="bg-BG"/>
        </w:rPr>
        <w:t>3.</w:t>
      </w:r>
      <w:r w:rsidRPr="00782BF9">
        <w:rPr>
          <w:noProof/>
          <w:lang w:val="bg-BG"/>
        </w:rPr>
        <w:t>I</w:t>
      </w:r>
      <w:r w:rsidR="006B5475" w:rsidRPr="00782BF9">
        <w:rPr>
          <w:noProof/>
          <w:lang w:val="bg-BG"/>
        </w:rPr>
        <w:t>1: Строителство и обновяване на социални жилища, подобряване на жилищните условия</w:t>
      </w:r>
    </w:p>
    <w:p w14:paraId="3CB86BE2"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инвестицията е да се подобрят качеството на живот и жилищните условия на хората, живеещи в общините в най-неравностойно положение, избрани в рамките на програмата за догонване на населените места, и да се намали жилищната бедност в съответствие с Европейския стълб на социалните права. </w:t>
      </w:r>
    </w:p>
    <w:p w14:paraId="0A0FA0C3" w14:textId="54C647E3"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Мярката се състои в закупуване и реновиране на най-малко 1 600 жилища, както и в изграждане на 400 нови къщи и отдаването им под наем като социални жилища. Изграждането на нови къщи се извършва възможно най-централизирано в рамките на дадена община, за да се използват разширени къщи и празни парцели земя. Не се предоставят социални жилища в изолирани райони или извън населения район на дадена община. Нови и обновени къщи за социални цели могат да бъдат разположени извън целевите общини в малък брой случаи, в несегрегирани райони с по-добър достъп до заетост и услуги, но в тези случаи социалният жилищен фонд се разпределя на хора, живеещи в тези 300 целеви общини, които могат да кандидатстват за жилища под наем чрез открита покана за представяне на кандидатури и могат доброволно да се преместят в жилище извън населеното място. </w:t>
      </w:r>
    </w:p>
    <w:p w14:paraId="1496FC49" w14:textId="7102DE79" w:rsidR="00CE3BAD" w:rsidRPr="00782BF9" w:rsidRDefault="006B5475">
      <w:pPr>
        <w:pStyle w:val="P68B1DB1-Normal4"/>
        <w:spacing w:after="120" w:line="240" w:lineRule="auto"/>
        <w:jc w:val="both"/>
        <w:rPr>
          <w:rFonts w:cs="Times New Roman"/>
          <w:noProof/>
          <w:lang w:val="bg-BG"/>
        </w:rPr>
      </w:pPr>
      <w:r w:rsidRPr="00782BF9">
        <w:rPr>
          <w:noProof/>
          <w:lang w:val="bg-BG"/>
        </w:rPr>
        <w:t>Като част от мярката се изготвя и публикува план за намеса. Този план предоставя насоки относно избора на жилища, които да бъдат ремонтирани, и новите социални жилища, които ще бъдат построени. Планът взема предвид проучванията, проведени за определяне на нуждите, а подборът на проекти предотвратява по-нататъшните рискове от сегрегация и противодейства на съществуващите рискове от сегрегация.</w:t>
      </w:r>
    </w:p>
    <w:p w14:paraId="7F592CC5" w14:textId="68159BF0" w:rsidR="00CE3BAD" w:rsidRPr="00782BF9" w:rsidRDefault="006B5475">
      <w:pPr>
        <w:pStyle w:val="P68B1DB1-Normal4"/>
        <w:spacing w:after="120" w:line="240" w:lineRule="auto"/>
        <w:jc w:val="both"/>
        <w:rPr>
          <w:rFonts w:cs="Times New Roman"/>
          <w:noProof/>
          <w:lang w:val="bg-BG"/>
        </w:rPr>
      </w:pPr>
      <w:r w:rsidRPr="00782BF9">
        <w:rPr>
          <w:noProof/>
          <w:lang w:val="bg-BG"/>
        </w:rPr>
        <w:t>Ремонтните работи включват интервенции като обновяване на поне една отопляема стая и една баня на жилище, както и подготовка на безопасни пунктове за събиране на електроенергия, огради на сгради, контрол на гризачите и използване на инсектицид. Тези жилища след ремонта и новопостроените жилища са собственост на организациите, изпълняващи програмата за наваксване в продължение на най-малко 20 години, и се управляват от агенция за социално жилищно настаняване по силата на договор за обществени услуги. Агенцията за социално жилищно настаняване, която се избира чрез открита тръжна процедура, разпределя жилището на отговарящите на условията наематели под формата на наета собственост чрез система за възлагане на обществени поръчки. Новите сгради трябва да отговарят на изискванията за сгради с почти нулево потребление на енергия.</w:t>
      </w:r>
    </w:p>
    <w:p w14:paraId="1B1780DF"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30 юни 2026 г.</w:t>
      </w:r>
    </w:p>
    <w:p w14:paraId="429D7300" w14:textId="77777777" w:rsidR="00CE3BAD" w:rsidRPr="00782BF9" w:rsidRDefault="00CE3BAD">
      <w:pPr>
        <w:spacing w:after="120" w:line="240" w:lineRule="auto"/>
        <w:jc w:val="both"/>
        <w:rPr>
          <w:rFonts w:ascii="Times New Roman" w:hAnsi="Times New Roman" w:cs="Times New Roman"/>
          <w:b/>
          <w:noProof/>
          <w:color w:val="000000"/>
          <w:sz w:val="24"/>
          <w:shd w:val="clear" w:color="auto" w:fill="FFFFFF"/>
          <w:lang w:val="bg-BG"/>
        </w:rPr>
      </w:pPr>
    </w:p>
    <w:p w14:paraId="6FB7B5DD" w14:textId="42D3B6A1" w:rsidR="00CE3BAD" w:rsidRPr="00782BF9" w:rsidRDefault="00BA2254">
      <w:pPr>
        <w:pStyle w:val="P68B1DB1-Normal15"/>
        <w:spacing w:after="120" w:line="240" w:lineRule="auto"/>
        <w:jc w:val="both"/>
        <w:rPr>
          <w:rFonts w:cs="Times New Roman"/>
          <w:noProof/>
          <w:lang w:val="bg-BG"/>
        </w:rPr>
      </w:pPr>
      <w:r w:rsidRPr="00782BF9">
        <w:rPr>
          <w:noProof/>
          <w:lang w:val="bg-BG"/>
        </w:rPr>
        <w:t>C</w:t>
      </w:r>
      <w:r w:rsidR="006B5475" w:rsidRPr="00782BF9">
        <w:rPr>
          <w:noProof/>
          <w:lang w:val="bg-BG"/>
        </w:rPr>
        <w:t>3.</w:t>
      </w:r>
      <w:r w:rsidRPr="00782BF9">
        <w:rPr>
          <w:noProof/>
          <w:lang w:val="bg-BG"/>
        </w:rPr>
        <w:t>I</w:t>
      </w:r>
      <w:r w:rsidR="006B5475" w:rsidRPr="00782BF9">
        <w:rPr>
          <w:noProof/>
          <w:lang w:val="bg-BG"/>
        </w:rPr>
        <w:t>2: Производство и използване на енергия от възобновяеми източници в общини в неравностойно положение</w:t>
      </w:r>
    </w:p>
    <w:p w14:paraId="75C8CABB" w14:textId="536EEC35"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инвестицията е да се изградят фотоволтаични електроцентрали в рамките на или в близост до общините в най-неравностойно положение, избрани в рамките на програмата за догонване. Производственият капацитет е собственост на организациите, изпълняващи програмата за презаселване, в продължение на най-малко 20 години. Нетните приходи, генерирани от новите електроцентрали, се използват за финансиране на различни социални трансфери в натура за домакинства, живеещи в енергийна бедност, по-специално семейства с деца на възраст под три години, като например поне едно отоплявано помещение с електрическо отопление. Групите се избират чрез открита процедура за подбор. В резултат на тези инвестиции се очаква условията на живот на домакинствата с ниски доходи да се подобрят. Освен това новото електрическо отопление трябва да замени отоплението с изкопаеми горива и поради това се очаква мярката да подобри и качеството на въздуха в целевите населени места.</w:t>
      </w:r>
    </w:p>
    <w:p w14:paraId="3316540E"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В случаите, когато мрежовият капацитет не позволява инвестицията да се осъществи в административната област на целевите общини, фотоволтаични електроцентрали могат да бъдат изградени и извън целевите общини, ако това е технически обосновано, при условие че генерираните приходи се използват за субсидиране на отоплението на домакинствата в целевите общини.</w:t>
      </w:r>
    </w:p>
    <w:p w14:paraId="7AA37B1E"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Инвестицията води до инсталиране на капацитет за производство на енергия от възобновяеми източници от най-малко 25 000 kWp за подпомагане на годишните нужди от електроенергия на най-малко 5 000 уязвими семейства.</w:t>
      </w:r>
    </w:p>
    <w:p w14:paraId="6CB72C86" w14:textId="17EBDEF5"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31 декември 2025 г.</w:t>
      </w:r>
    </w:p>
    <w:p w14:paraId="4ED51CB1" w14:textId="77777777" w:rsidR="00CE3BAD" w:rsidRPr="00782BF9" w:rsidRDefault="00CE3BAD">
      <w:pPr>
        <w:spacing w:after="120" w:line="240" w:lineRule="auto"/>
        <w:jc w:val="both"/>
        <w:rPr>
          <w:rFonts w:ascii="Times New Roman" w:hAnsi="Times New Roman" w:cs="Times New Roman"/>
          <w:noProof/>
          <w:sz w:val="24"/>
          <w:lang w:val="bg-BG"/>
        </w:rPr>
      </w:pPr>
    </w:p>
    <w:p w14:paraId="4A340FFC" w14:textId="7A177DAE" w:rsidR="00CE3BAD" w:rsidRPr="00782BF9" w:rsidRDefault="00BA2254">
      <w:pPr>
        <w:pStyle w:val="P68B1DB1-Normal15"/>
        <w:spacing w:after="120" w:line="240" w:lineRule="auto"/>
        <w:jc w:val="both"/>
        <w:rPr>
          <w:rFonts w:cs="Times New Roman"/>
          <w:noProof/>
          <w:lang w:val="bg-BG"/>
        </w:rPr>
      </w:pPr>
      <w:r w:rsidRPr="00782BF9">
        <w:rPr>
          <w:noProof/>
          <w:lang w:val="bg-BG"/>
        </w:rPr>
        <w:t>C</w:t>
      </w:r>
      <w:r w:rsidR="006B5475" w:rsidRPr="00782BF9">
        <w:rPr>
          <w:noProof/>
          <w:lang w:val="bg-BG"/>
        </w:rPr>
        <w:t>3.</w:t>
      </w:r>
      <w:r w:rsidRPr="00782BF9">
        <w:rPr>
          <w:noProof/>
          <w:lang w:val="bg-BG"/>
        </w:rPr>
        <w:t>I</w:t>
      </w:r>
      <w:r w:rsidR="006B5475" w:rsidRPr="00782BF9">
        <w:rPr>
          <w:noProof/>
          <w:lang w:val="bg-BG"/>
        </w:rPr>
        <w:t>3: Насърчаване на заетостта и развитието на умения въз основа на местните особености</w:t>
      </w:r>
    </w:p>
    <w:p w14:paraId="4A560166" w14:textId="3EBFB958"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мярката е да се насърчи местното икономическо развитие и да се създадат местни икономически структури, насочени към хората, живеещи в 300-те общини в най-неравностойно положение. Това следва да допринесе за намаляване на уязвимостта на пазара на труда на хората, живеещи в тези селища, за увеличаване на тяхната интеграция на пазара на труда и за подобряване на възможностите за работа в целевите общини. Мярката използва широк набор от инструменти за интервенции в областта на икономическото развитие, основани на планове за действие и стратегии за икономическо развитие, произтичащи от местни диагнози. Стартирането на интервенции за икономическо развитие се основава на социалната работа на място и на мрежата от местни социални помощници. </w:t>
      </w:r>
    </w:p>
    <w:p w14:paraId="60809180" w14:textId="21B6F8CB"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Тази инвестиция се състои от участието на най-малко 10 000 души в програми за трудова социализация. Тези програми включват обучение, лично наставничество, персонализирани услуги и най-малко шестмесечен трудов стаж. По-конкретно, тези програми подкрепят интеграцията на хората в трудоспособна възраст, живеещи в общините в неравностойно положение, на отворения пазар на труда с дейности за обучение, като им предоставят интензивни и всеобхватни наставничество, за да навлязат и да останат на работа. В резултат на мярката се очаква уменията и пригодността за заетост на участниците в програмата да се подобрят, като по този начин се допринесе за заетостта на групите в неравностойно положение. </w:t>
      </w:r>
    </w:p>
    <w:p w14:paraId="18A33CFC" w14:textId="66306F5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30 юни 2026 г.</w:t>
      </w:r>
    </w:p>
    <w:p w14:paraId="6B2C5935" w14:textId="77777777" w:rsidR="00CE3BAD" w:rsidRPr="00782BF9" w:rsidRDefault="00CE3BAD">
      <w:pPr>
        <w:spacing w:after="120" w:line="240" w:lineRule="auto"/>
        <w:jc w:val="both"/>
        <w:rPr>
          <w:rFonts w:ascii="Times New Roman" w:hAnsi="Times New Roman" w:cs="Times New Roman"/>
          <w:noProof/>
          <w:lang w:val="bg-BG"/>
        </w:rPr>
      </w:pPr>
    </w:p>
    <w:p w14:paraId="122558CC" w14:textId="12D59933" w:rsidR="00CE3BAD" w:rsidRPr="00782BF9" w:rsidRDefault="00BA2254">
      <w:pPr>
        <w:pStyle w:val="P68B1DB1-Normal15"/>
        <w:spacing w:after="120" w:line="240" w:lineRule="auto"/>
        <w:jc w:val="both"/>
        <w:rPr>
          <w:rFonts w:cs="Times New Roman"/>
          <w:noProof/>
          <w:lang w:val="bg-BG"/>
        </w:rPr>
      </w:pPr>
      <w:r w:rsidRPr="00782BF9">
        <w:rPr>
          <w:noProof/>
          <w:lang w:val="bg-BG"/>
        </w:rPr>
        <w:t>C</w:t>
      </w:r>
      <w:r w:rsidR="006B5475" w:rsidRPr="00782BF9">
        <w:rPr>
          <w:noProof/>
          <w:lang w:val="bg-BG"/>
        </w:rPr>
        <w:t>3.</w:t>
      </w:r>
      <w:r w:rsidRPr="00782BF9">
        <w:rPr>
          <w:noProof/>
          <w:lang w:val="bg-BG"/>
        </w:rPr>
        <w:t>I</w:t>
      </w:r>
      <w:r w:rsidR="006B5475" w:rsidRPr="00782BF9">
        <w:rPr>
          <w:noProof/>
          <w:lang w:val="bg-BG"/>
        </w:rPr>
        <w:t>4: Педагогика, ориентирана към общността</w:t>
      </w:r>
    </w:p>
    <w:p w14:paraId="54E5BB53" w14:textId="63D5EB67" w:rsidR="00CE3BAD" w:rsidRPr="00782BF9" w:rsidRDefault="006B5475">
      <w:pPr>
        <w:pStyle w:val="P68B1DB1-Normal4"/>
        <w:spacing w:after="120" w:line="240" w:lineRule="auto"/>
        <w:jc w:val="both"/>
        <w:rPr>
          <w:noProof/>
          <w:lang w:val="bg-BG"/>
        </w:rPr>
      </w:pPr>
      <w:r w:rsidRPr="00782BF9">
        <w:rPr>
          <w:noProof/>
          <w:lang w:val="bg-BG"/>
        </w:rPr>
        <w:t>Целта на мярката е да се подобрят учебните резултати и процентът на участие в образованието в най-необлагодетелстваните райони чрез предоставяне на целенасочена подкрепа на учениците и включване на техните семейства в училищния живот.</w:t>
      </w:r>
    </w:p>
    <w:p w14:paraId="0C505086" w14:textId="69555455" w:rsidR="00CE3BAD" w:rsidRPr="00782BF9" w:rsidRDefault="006B5475">
      <w:pPr>
        <w:pStyle w:val="P68B1DB1-Normal4"/>
        <w:spacing w:after="120" w:line="240" w:lineRule="auto"/>
        <w:jc w:val="both"/>
        <w:rPr>
          <w:noProof/>
          <w:lang w:val="bg-BG"/>
        </w:rPr>
      </w:pPr>
      <w:r w:rsidRPr="00782BF9">
        <w:rPr>
          <w:noProof/>
          <w:lang w:val="bg-BG"/>
        </w:rPr>
        <w:t xml:space="preserve">Тази мярка осигурява приобщаващо педагогическо развитие в най-малко 100 публични образователни институции в общините в най-неравностойно положение, избрани в рамките на програмата за догонване на населените места. Подкрепата включва социални диагнози за публичните образователни институции, разширени училищни програми и стипендии за средно образование в образователни направления, които водят до „матура“ (диплома за средно образование). Мярката предотвратява по-нататъшната образователна сегрегация и противодейства на съществуващата образователна сегрегация. </w:t>
      </w:r>
    </w:p>
    <w:p w14:paraId="002DD157" w14:textId="77777777" w:rsidR="00CE3BAD" w:rsidRPr="00782BF9" w:rsidRDefault="006B5475">
      <w:pPr>
        <w:pStyle w:val="P68B1DB1-Normal4"/>
        <w:spacing w:after="120" w:line="240" w:lineRule="auto"/>
        <w:jc w:val="both"/>
        <w:rPr>
          <w:noProof/>
          <w:lang w:val="bg-BG"/>
        </w:rPr>
      </w:pPr>
      <w:r w:rsidRPr="00782BF9">
        <w:rPr>
          <w:noProof/>
          <w:lang w:val="bg-BG"/>
        </w:rPr>
        <w:t>Изпълнението на инвестицията трябва да приключи до 30 юни 2026 г.</w:t>
      </w:r>
    </w:p>
    <w:p w14:paraId="78C4B3F8" w14:textId="77777777" w:rsidR="00CE3BAD" w:rsidRPr="00782BF9" w:rsidRDefault="00CE3BAD">
      <w:pPr>
        <w:spacing w:after="120" w:line="240" w:lineRule="auto"/>
        <w:rPr>
          <w:rFonts w:ascii="Times New Roman" w:hAnsi="Times New Roman"/>
          <w:noProof/>
          <w:sz w:val="24"/>
          <w:lang w:val="bg-BG"/>
        </w:rPr>
        <w:sectPr w:rsidR="00CE3BAD" w:rsidRPr="00782BF9" w:rsidSect="005105E0">
          <w:headerReference w:type="even" r:id="rId51"/>
          <w:headerReference w:type="default" r:id="rId52"/>
          <w:footerReference w:type="even" r:id="rId53"/>
          <w:footerReference w:type="default" r:id="rId54"/>
          <w:headerReference w:type="first" r:id="rId55"/>
          <w:footerReference w:type="first" r:id="rId56"/>
          <w:pgSz w:w="11907" w:h="16839"/>
          <w:pgMar w:top="1134" w:right="1417" w:bottom="1134" w:left="1417" w:header="709" w:footer="709" w:gutter="0"/>
          <w:cols w:space="720"/>
          <w:docGrid w:linePitch="360"/>
        </w:sectPr>
      </w:pPr>
    </w:p>
    <w:p w14:paraId="04C94052" w14:textId="77777777" w:rsidR="00CE3BAD" w:rsidRPr="00782BF9" w:rsidRDefault="006B5475">
      <w:pPr>
        <w:pStyle w:val="Heading2"/>
        <w:spacing w:after="120"/>
        <w:ind w:left="0" w:firstLine="0"/>
        <w:rPr>
          <w:noProof/>
          <w:lang w:val="bg-BG"/>
        </w:rPr>
      </w:pPr>
      <w:r w:rsidRPr="00782BF9">
        <w:rPr>
          <w:noProof/>
          <w:lang w:val="bg-BG"/>
        </w:rPr>
        <w:t xml:space="preserve">В.2. </w:t>
      </w:r>
      <w:r w:rsidRPr="00782BF9">
        <w:rPr>
          <w:noProof/>
          <w:lang w:val="bg-BG"/>
        </w:rPr>
        <w:tab/>
        <w:t>Ключови етапи, цели, показатели и график за мониторинг и изпълнение на безвъзмездната финансова подкрепа</w:t>
      </w:r>
    </w:p>
    <w:tbl>
      <w:tblPr>
        <w:tblW w:w="16302" w:type="dxa"/>
        <w:tblInd w:w="-743" w:type="dxa"/>
        <w:tblLook w:val="04A0" w:firstRow="1" w:lastRow="0" w:firstColumn="1" w:lastColumn="0" w:noHBand="0" w:noVBand="1"/>
      </w:tblPr>
      <w:tblGrid>
        <w:gridCol w:w="1006"/>
        <w:gridCol w:w="1501"/>
        <w:gridCol w:w="1009"/>
        <w:gridCol w:w="1944"/>
        <w:gridCol w:w="1518"/>
        <w:gridCol w:w="1062"/>
        <w:gridCol w:w="1049"/>
        <w:gridCol w:w="993"/>
        <w:gridCol w:w="1166"/>
        <w:gridCol w:w="790"/>
        <w:gridCol w:w="4264"/>
      </w:tblGrid>
      <w:tr w:rsidR="00CE3BAD" w:rsidRPr="00782BF9" w14:paraId="2997F08C" w14:textId="77777777">
        <w:trPr>
          <w:trHeight w:val="313"/>
          <w:tblHeader/>
        </w:trPr>
        <w:tc>
          <w:tcPr>
            <w:tcW w:w="10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B537F2" w14:textId="77777777" w:rsidR="00CE3BAD" w:rsidRPr="00782BF9" w:rsidRDefault="006B5475">
            <w:pPr>
              <w:pStyle w:val="P68B1DB1-Normal9"/>
              <w:spacing w:after="0" w:line="240" w:lineRule="auto"/>
              <w:jc w:val="center"/>
              <w:rPr>
                <w:noProof/>
                <w:lang w:val="bg-BG"/>
              </w:rPr>
            </w:pPr>
            <w:r w:rsidRPr="00782BF9">
              <w:rPr>
                <w:noProof/>
                <w:lang w:val="bg-BG"/>
              </w:rPr>
              <w:t>Пореден номер</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30148F" w14:textId="77777777" w:rsidR="00CE3BAD" w:rsidRPr="00782BF9" w:rsidRDefault="006B5475">
            <w:pPr>
              <w:pStyle w:val="P68B1DB1-Normal9"/>
              <w:spacing w:after="0" w:line="240" w:lineRule="auto"/>
              <w:jc w:val="center"/>
              <w:rPr>
                <w:noProof/>
                <w:lang w:val="bg-BG"/>
              </w:rPr>
            </w:pPr>
            <w:r w:rsidRPr="00782BF9">
              <w:rPr>
                <w:noProof/>
                <w:lang w:val="bg-BG"/>
              </w:rPr>
              <w:t>Свързана мярка (реформа или инвестиции)</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917D07" w14:textId="6F0A036D" w:rsidR="00CE3BAD" w:rsidRPr="00782BF9" w:rsidRDefault="006B5475">
            <w:pPr>
              <w:pStyle w:val="P68B1DB1-Normal9"/>
              <w:spacing w:after="0" w:line="240" w:lineRule="auto"/>
              <w:jc w:val="center"/>
              <w:rPr>
                <w:noProof/>
                <w:lang w:val="bg-BG"/>
              </w:rPr>
            </w:pPr>
            <w:r w:rsidRPr="00782BF9">
              <w:rPr>
                <w:noProof/>
                <w:lang w:val="bg-BG"/>
              </w:rPr>
              <w:t>Ключов етап</w:t>
            </w:r>
            <w:r w:rsidRPr="00782BF9">
              <w:rPr>
                <w:noProof/>
                <w:lang w:val="bg-BG"/>
              </w:rPr>
              <w:br/>
              <w:t>/Цел</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764F88" w14:textId="77777777" w:rsidR="00CE3BAD" w:rsidRPr="00782BF9" w:rsidRDefault="006B5475">
            <w:pPr>
              <w:pStyle w:val="P68B1DB1-Normal9"/>
              <w:spacing w:after="0" w:line="240" w:lineRule="auto"/>
              <w:jc w:val="center"/>
              <w:rPr>
                <w:noProof/>
                <w:lang w:val="bg-BG"/>
              </w:rPr>
            </w:pPr>
            <w:r w:rsidRPr="00782BF9">
              <w:rPr>
                <w:noProof/>
                <w:lang w:val="bg-BG"/>
              </w:rPr>
              <w:t>Име</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D5F403" w14:textId="77777777" w:rsidR="00CE3BAD" w:rsidRPr="00782BF9" w:rsidRDefault="006B5475">
            <w:pPr>
              <w:pStyle w:val="P68B1DB1-Normal10"/>
              <w:spacing w:after="0" w:line="240" w:lineRule="auto"/>
              <w:jc w:val="center"/>
              <w:rPr>
                <w:b/>
                <w:noProof/>
                <w:lang w:val="bg-BG"/>
              </w:rPr>
            </w:pPr>
            <w:r w:rsidRPr="00782BF9">
              <w:rPr>
                <w:b/>
                <w:noProof/>
                <w:lang w:val="bg-BG"/>
              </w:rPr>
              <w:t>Качествени индикатори</w:t>
            </w:r>
            <w:r w:rsidRPr="00782BF9">
              <w:rPr>
                <w:noProof/>
                <w:lang w:val="bg-BG"/>
              </w:rPr>
              <w:t xml:space="preserve"> </w:t>
            </w:r>
            <w:r w:rsidRPr="00782BF9">
              <w:rPr>
                <w:noProof/>
                <w:lang w:val="bg-BG"/>
              </w:rPr>
              <w:br/>
            </w:r>
            <w:r w:rsidRPr="00782BF9">
              <w:rPr>
                <w:b/>
                <w:noProof/>
                <w:lang w:val="bg-BG"/>
              </w:rPr>
              <w:t>(за ключовите етапи)</w:t>
            </w:r>
          </w:p>
        </w:tc>
        <w:tc>
          <w:tcPr>
            <w:tcW w:w="317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CFF0E99" w14:textId="77777777" w:rsidR="00CE3BAD" w:rsidRPr="00782BF9" w:rsidRDefault="006B5475">
            <w:pPr>
              <w:pStyle w:val="P68B1DB1-Normal10"/>
              <w:spacing w:after="0" w:line="240" w:lineRule="auto"/>
              <w:jc w:val="center"/>
              <w:rPr>
                <w:b/>
                <w:noProof/>
                <w:lang w:val="bg-BG"/>
              </w:rPr>
            </w:pPr>
            <w:r w:rsidRPr="00782BF9">
              <w:rPr>
                <w:b/>
                <w:noProof/>
                <w:lang w:val="bg-BG"/>
              </w:rPr>
              <w:t>Количествени индикатори</w:t>
            </w:r>
            <w:r w:rsidRPr="00782BF9">
              <w:rPr>
                <w:noProof/>
                <w:lang w:val="bg-BG"/>
              </w:rPr>
              <w:t xml:space="preserve"> </w:t>
            </w:r>
            <w:r w:rsidRPr="00782BF9">
              <w:rPr>
                <w:noProof/>
                <w:lang w:val="bg-BG"/>
              </w:rPr>
              <w:br/>
            </w:r>
            <w:r w:rsidRPr="00782BF9">
              <w:rPr>
                <w:b/>
                <w:noProof/>
                <w:lang w:val="bg-BG"/>
              </w:rPr>
              <w:t>(за целите)</w:t>
            </w:r>
          </w:p>
        </w:tc>
        <w:tc>
          <w:tcPr>
            <w:tcW w:w="1597" w:type="dxa"/>
            <w:gridSpan w:val="2"/>
            <w:tcBorders>
              <w:top w:val="single" w:sz="4" w:space="0" w:color="auto"/>
              <w:left w:val="nil"/>
              <w:bottom w:val="single" w:sz="4" w:space="0" w:color="auto"/>
              <w:right w:val="single" w:sz="4" w:space="0" w:color="auto"/>
            </w:tcBorders>
            <w:shd w:val="clear" w:color="auto" w:fill="BDD7EE"/>
            <w:vAlign w:val="center"/>
            <w:hideMark/>
          </w:tcPr>
          <w:p w14:paraId="3FDFF8EC" w14:textId="77777777" w:rsidR="00CE3BAD" w:rsidRPr="00782BF9" w:rsidRDefault="006B5475">
            <w:pPr>
              <w:pStyle w:val="P68B1DB1-Normal10"/>
              <w:spacing w:after="0" w:line="240" w:lineRule="auto"/>
              <w:jc w:val="center"/>
              <w:rPr>
                <w:b/>
                <w:noProof/>
                <w:lang w:val="bg-BG"/>
              </w:rPr>
            </w:pPr>
            <w:r w:rsidRPr="00782BF9">
              <w:rPr>
                <w:b/>
                <w:noProof/>
                <w:lang w:val="bg-BG"/>
              </w:rPr>
              <w:t>Примерен график за приключване</w:t>
            </w:r>
            <w:r w:rsidRPr="00782BF9">
              <w:rPr>
                <w:noProof/>
                <w:lang w:val="bg-BG"/>
              </w:rPr>
              <w:t xml:space="preserve"> </w:t>
            </w:r>
            <w:r w:rsidRPr="00782BF9">
              <w:rPr>
                <w:noProof/>
                <w:lang w:val="bg-BG"/>
              </w:rPr>
              <w:br/>
            </w:r>
          </w:p>
        </w:tc>
        <w:tc>
          <w:tcPr>
            <w:tcW w:w="44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E5D3A72" w14:textId="77777777" w:rsidR="00CE3BAD" w:rsidRPr="00782BF9" w:rsidRDefault="006B5475">
            <w:pPr>
              <w:pStyle w:val="P68B1DB1-Normal9"/>
              <w:spacing w:after="0" w:line="240" w:lineRule="auto"/>
              <w:jc w:val="center"/>
              <w:rPr>
                <w:noProof/>
                <w:lang w:val="bg-BG"/>
              </w:rPr>
            </w:pPr>
            <w:r w:rsidRPr="00782BF9">
              <w:rPr>
                <w:noProof/>
                <w:lang w:val="bg-BG"/>
              </w:rPr>
              <w:t>Описание на всеки ключов етап и цел</w:t>
            </w:r>
          </w:p>
        </w:tc>
      </w:tr>
      <w:tr w:rsidR="00CE3BAD" w:rsidRPr="00782BF9" w14:paraId="71666CB4" w14:textId="77777777">
        <w:trPr>
          <w:trHeight w:val="478"/>
          <w:tblHeader/>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44F3E920" w14:textId="77777777" w:rsidR="00CE3BAD" w:rsidRPr="00782BF9" w:rsidRDefault="00CE3BAD">
            <w:pPr>
              <w:spacing w:after="0" w:line="240" w:lineRule="auto"/>
              <w:rPr>
                <w:b/>
                <w:noProof/>
                <w:sz w:val="18"/>
                <w:lang w:val="bg-BG"/>
              </w:rPr>
            </w:pPr>
          </w:p>
        </w:tc>
        <w:tc>
          <w:tcPr>
            <w:tcW w:w="1509" w:type="dxa"/>
            <w:vMerge/>
            <w:tcBorders>
              <w:left w:val="single" w:sz="4" w:space="0" w:color="auto"/>
              <w:right w:val="single" w:sz="4" w:space="0" w:color="auto"/>
            </w:tcBorders>
            <w:vAlign w:val="center"/>
            <w:hideMark/>
          </w:tcPr>
          <w:p w14:paraId="5C43484A" w14:textId="77777777" w:rsidR="00CE3BAD" w:rsidRPr="00782BF9" w:rsidRDefault="00CE3BAD">
            <w:pPr>
              <w:spacing w:after="0" w:line="240" w:lineRule="auto"/>
              <w:rPr>
                <w:b/>
                <w:noProof/>
                <w:sz w:val="18"/>
                <w:lang w:val="bg-BG"/>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1C392CA8" w14:textId="77777777" w:rsidR="00CE3BAD" w:rsidRPr="00782BF9" w:rsidRDefault="00CE3BAD">
            <w:pPr>
              <w:spacing w:after="0" w:line="240" w:lineRule="auto"/>
              <w:rPr>
                <w:b/>
                <w:noProof/>
                <w:sz w:val="18"/>
                <w:lang w:val="bg-BG"/>
              </w:rPr>
            </w:pPr>
          </w:p>
        </w:tc>
        <w:tc>
          <w:tcPr>
            <w:tcW w:w="1984" w:type="dxa"/>
            <w:vMerge/>
            <w:tcBorders>
              <w:left w:val="single" w:sz="4" w:space="0" w:color="auto"/>
              <w:right w:val="single" w:sz="4" w:space="0" w:color="auto"/>
            </w:tcBorders>
            <w:vAlign w:val="center"/>
            <w:hideMark/>
          </w:tcPr>
          <w:p w14:paraId="5872E07A" w14:textId="77777777" w:rsidR="00CE3BAD" w:rsidRPr="00782BF9" w:rsidRDefault="00CE3BAD">
            <w:pPr>
              <w:spacing w:after="0" w:line="240" w:lineRule="auto"/>
              <w:rPr>
                <w:b/>
                <w:noProof/>
                <w:sz w:val="18"/>
                <w:lang w:val="bg-BG"/>
              </w:rPr>
            </w:pPr>
          </w:p>
        </w:tc>
        <w:tc>
          <w:tcPr>
            <w:tcW w:w="1540" w:type="dxa"/>
            <w:vMerge/>
            <w:tcBorders>
              <w:top w:val="single" w:sz="4" w:space="0" w:color="auto"/>
              <w:left w:val="single" w:sz="4" w:space="0" w:color="auto"/>
              <w:bottom w:val="single" w:sz="4" w:space="0" w:color="auto"/>
            </w:tcBorders>
            <w:vAlign w:val="center"/>
            <w:hideMark/>
          </w:tcPr>
          <w:p w14:paraId="4A1A920B" w14:textId="77777777" w:rsidR="00CE3BAD" w:rsidRPr="00782BF9" w:rsidRDefault="00CE3BAD">
            <w:pPr>
              <w:spacing w:after="0" w:line="240" w:lineRule="auto"/>
              <w:rPr>
                <w:b/>
                <w:noProof/>
                <w:sz w:val="18"/>
                <w:lang w:val="bg-BG"/>
              </w:rPr>
            </w:pPr>
          </w:p>
        </w:tc>
        <w:tc>
          <w:tcPr>
            <w:tcW w:w="1075"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8619525" w14:textId="77777777" w:rsidR="00CE3BAD" w:rsidRPr="00782BF9" w:rsidRDefault="006B5475">
            <w:pPr>
              <w:pStyle w:val="P68B1DB1-Normal9"/>
              <w:spacing w:after="0" w:line="240" w:lineRule="auto"/>
              <w:jc w:val="center"/>
              <w:rPr>
                <w:noProof/>
                <w:lang w:val="bg-BG"/>
              </w:rPr>
            </w:pPr>
            <w:r w:rsidRPr="00782BF9">
              <w:rPr>
                <w:noProof/>
                <w:lang w:val="bg-BG"/>
              </w:rPr>
              <w:t>Единица мярка</w:t>
            </w:r>
          </w:p>
        </w:tc>
        <w:tc>
          <w:tcPr>
            <w:tcW w:w="1072" w:type="dxa"/>
            <w:tcBorders>
              <w:top w:val="single" w:sz="4" w:space="0" w:color="auto"/>
              <w:left w:val="nil"/>
              <w:bottom w:val="single" w:sz="4" w:space="0" w:color="auto"/>
              <w:right w:val="single" w:sz="4" w:space="0" w:color="auto"/>
            </w:tcBorders>
            <w:shd w:val="clear" w:color="auto" w:fill="BDD7EE"/>
            <w:vAlign w:val="center"/>
            <w:hideMark/>
          </w:tcPr>
          <w:p w14:paraId="52A3B4E3" w14:textId="77777777" w:rsidR="00CE3BAD" w:rsidRPr="00782BF9" w:rsidRDefault="006B5475">
            <w:pPr>
              <w:pStyle w:val="P68B1DB1-Normal9"/>
              <w:spacing w:after="0" w:line="240" w:lineRule="auto"/>
              <w:jc w:val="center"/>
              <w:rPr>
                <w:noProof/>
                <w:lang w:val="bg-BG"/>
              </w:rPr>
            </w:pPr>
            <w:r w:rsidRPr="00782BF9">
              <w:rPr>
                <w:noProof/>
                <w:lang w:val="bg-BG"/>
              </w:rPr>
              <w:t xml:space="preserve">Базова линия </w:t>
            </w:r>
          </w:p>
        </w:tc>
        <w:tc>
          <w:tcPr>
            <w:tcW w:w="1030" w:type="dxa"/>
            <w:tcBorders>
              <w:top w:val="single" w:sz="4" w:space="0" w:color="auto"/>
              <w:left w:val="nil"/>
              <w:bottom w:val="single" w:sz="4" w:space="0" w:color="auto"/>
              <w:right w:val="single" w:sz="4" w:space="0" w:color="auto"/>
            </w:tcBorders>
            <w:shd w:val="clear" w:color="auto" w:fill="BDD7EE"/>
            <w:vAlign w:val="center"/>
            <w:hideMark/>
          </w:tcPr>
          <w:p w14:paraId="6D5F3976" w14:textId="77777777" w:rsidR="00CE3BAD" w:rsidRPr="00782BF9" w:rsidRDefault="006B5475">
            <w:pPr>
              <w:pStyle w:val="P68B1DB1-Normal9"/>
              <w:spacing w:after="0" w:line="240" w:lineRule="auto"/>
              <w:jc w:val="center"/>
              <w:rPr>
                <w:noProof/>
                <w:lang w:val="bg-BG"/>
              </w:rPr>
            </w:pPr>
            <w:r w:rsidRPr="00782BF9">
              <w:rPr>
                <w:noProof/>
                <w:lang w:val="bg-BG"/>
              </w:rPr>
              <w:t xml:space="preserve">Цел </w:t>
            </w:r>
          </w:p>
        </w:tc>
        <w:tc>
          <w:tcPr>
            <w:tcW w:w="806" w:type="dxa"/>
            <w:tcBorders>
              <w:top w:val="single" w:sz="4" w:space="0" w:color="auto"/>
              <w:left w:val="nil"/>
              <w:bottom w:val="single" w:sz="4" w:space="0" w:color="auto"/>
              <w:right w:val="single" w:sz="4" w:space="0" w:color="auto"/>
            </w:tcBorders>
            <w:shd w:val="clear" w:color="auto" w:fill="BDD7EE"/>
            <w:vAlign w:val="center"/>
            <w:hideMark/>
          </w:tcPr>
          <w:p w14:paraId="792C4B44" w14:textId="77777777" w:rsidR="00CE3BAD" w:rsidRPr="00782BF9" w:rsidRDefault="006B5475">
            <w:pPr>
              <w:pStyle w:val="P68B1DB1-Normal9"/>
              <w:spacing w:after="0" w:line="240" w:lineRule="auto"/>
              <w:jc w:val="center"/>
              <w:rPr>
                <w:noProof/>
                <w:lang w:val="bg-BG"/>
              </w:rPr>
            </w:pPr>
            <w:r w:rsidRPr="00782BF9">
              <w:rPr>
                <w:noProof/>
                <w:lang w:val="bg-BG"/>
              </w:rPr>
              <w:t>Тримесечие</w:t>
            </w:r>
          </w:p>
        </w:tc>
        <w:tc>
          <w:tcPr>
            <w:tcW w:w="791" w:type="dxa"/>
            <w:tcBorders>
              <w:top w:val="single" w:sz="4" w:space="0" w:color="auto"/>
              <w:left w:val="nil"/>
              <w:bottom w:val="single" w:sz="4" w:space="0" w:color="auto"/>
              <w:right w:val="single" w:sz="4" w:space="0" w:color="auto"/>
            </w:tcBorders>
            <w:shd w:val="clear" w:color="auto" w:fill="BDD7EE"/>
            <w:vAlign w:val="center"/>
            <w:hideMark/>
          </w:tcPr>
          <w:p w14:paraId="33506305" w14:textId="77777777" w:rsidR="00CE3BAD" w:rsidRPr="00782BF9" w:rsidRDefault="006B5475">
            <w:pPr>
              <w:pStyle w:val="P68B1DB1-Normal9"/>
              <w:spacing w:after="0" w:line="240" w:lineRule="auto"/>
              <w:jc w:val="center"/>
              <w:rPr>
                <w:noProof/>
                <w:lang w:val="bg-BG"/>
              </w:rPr>
            </w:pPr>
            <w:r w:rsidRPr="00782BF9">
              <w:rPr>
                <w:noProof/>
                <w:lang w:val="bg-BG"/>
              </w:rPr>
              <w:t>Година</w:t>
            </w:r>
          </w:p>
        </w:tc>
        <w:tc>
          <w:tcPr>
            <w:tcW w:w="4459" w:type="dxa"/>
            <w:vMerge/>
            <w:tcBorders>
              <w:top w:val="single" w:sz="4" w:space="0" w:color="auto"/>
              <w:bottom w:val="single" w:sz="4" w:space="0" w:color="auto"/>
              <w:right w:val="single" w:sz="4" w:space="0" w:color="auto"/>
            </w:tcBorders>
            <w:vAlign w:val="center"/>
            <w:hideMark/>
          </w:tcPr>
          <w:p w14:paraId="2DF37F46" w14:textId="77777777" w:rsidR="00CE3BAD" w:rsidRPr="00782BF9" w:rsidRDefault="00CE3BAD">
            <w:pPr>
              <w:spacing w:after="0" w:line="240" w:lineRule="auto"/>
              <w:rPr>
                <w:b/>
                <w:noProof/>
                <w:sz w:val="18"/>
                <w:lang w:val="bg-BG"/>
              </w:rPr>
            </w:pPr>
          </w:p>
        </w:tc>
      </w:tr>
      <w:tr w:rsidR="00CE3BAD" w:rsidRPr="00782BF9" w14:paraId="2F0B3729" w14:textId="77777777">
        <w:trPr>
          <w:trHeight w:val="274"/>
        </w:trPr>
        <w:tc>
          <w:tcPr>
            <w:tcW w:w="101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1653226" w14:textId="311AF174" w:rsidR="00CE3BAD" w:rsidRPr="00782BF9" w:rsidRDefault="006B5475">
            <w:pPr>
              <w:pStyle w:val="P68B1DB1-Normal10"/>
              <w:spacing w:after="0" w:line="240" w:lineRule="auto"/>
              <w:rPr>
                <w:noProof/>
                <w:lang w:val="bg-BG"/>
              </w:rPr>
            </w:pPr>
            <w:r w:rsidRPr="00782BF9">
              <w:rPr>
                <w:noProof/>
                <w:lang w:val="bg-BG"/>
              </w:rPr>
              <w:t>50</w:t>
            </w:r>
          </w:p>
        </w:tc>
        <w:tc>
          <w:tcPr>
            <w:tcW w:w="1509" w:type="dxa"/>
            <w:tcBorders>
              <w:top w:val="single" w:sz="4" w:space="0" w:color="auto"/>
              <w:left w:val="nil"/>
              <w:bottom w:val="single" w:sz="4" w:space="0" w:color="auto"/>
              <w:right w:val="single" w:sz="4" w:space="0" w:color="auto"/>
            </w:tcBorders>
            <w:shd w:val="clear" w:color="auto" w:fill="C6EFCE"/>
            <w:vAlign w:val="center"/>
            <w:hideMark/>
          </w:tcPr>
          <w:p w14:paraId="22419FEB" w14:textId="2F24E85D" w:rsidR="00CE3BAD" w:rsidRPr="00782BF9" w:rsidRDefault="006B5475">
            <w:pPr>
              <w:pStyle w:val="P68B1DB1-Normal10"/>
              <w:spacing w:after="0" w:line="240" w:lineRule="auto"/>
              <w:rPr>
                <w:noProof/>
                <w:lang w:val="bg-BG"/>
              </w:rPr>
            </w:pPr>
            <w:r w:rsidRPr="00782BF9">
              <w:rPr>
                <w:noProof/>
                <w:lang w:val="bg-BG"/>
              </w:rPr>
              <w:t>C3.R1 Създаване на рамкови условия за ефективна интегрирана подкрепа за населените места в най-неравностойно положение</w:t>
            </w:r>
          </w:p>
        </w:tc>
        <w:tc>
          <w:tcPr>
            <w:tcW w:w="1023" w:type="dxa"/>
            <w:tcBorders>
              <w:top w:val="single" w:sz="4" w:space="0" w:color="auto"/>
              <w:left w:val="nil"/>
              <w:bottom w:val="single" w:sz="4" w:space="0" w:color="auto"/>
              <w:right w:val="single" w:sz="4" w:space="0" w:color="auto"/>
            </w:tcBorders>
            <w:shd w:val="clear" w:color="auto" w:fill="C6EFCE"/>
            <w:vAlign w:val="center"/>
            <w:hideMark/>
          </w:tcPr>
          <w:p w14:paraId="4AA0B21E" w14:textId="77777777" w:rsidR="00CE3BAD" w:rsidRPr="00782BF9" w:rsidRDefault="006B5475">
            <w:pPr>
              <w:pStyle w:val="P68B1DB1-Normal10"/>
              <w:spacing w:after="0" w:line="240" w:lineRule="auto"/>
              <w:rPr>
                <w:noProof/>
                <w:lang w:val="bg-BG"/>
              </w:rPr>
            </w:pPr>
            <w:r w:rsidRPr="00782BF9">
              <w:rPr>
                <w:noProof/>
                <w:lang w:val="bg-BG"/>
              </w:rPr>
              <w:t>Ключов етап</w:t>
            </w:r>
          </w:p>
        </w:tc>
        <w:tc>
          <w:tcPr>
            <w:tcW w:w="1984" w:type="dxa"/>
            <w:tcBorders>
              <w:top w:val="single" w:sz="4" w:space="0" w:color="auto"/>
              <w:left w:val="nil"/>
              <w:bottom w:val="single" w:sz="4" w:space="0" w:color="auto"/>
              <w:right w:val="single" w:sz="4" w:space="0" w:color="auto"/>
            </w:tcBorders>
            <w:shd w:val="clear" w:color="auto" w:fill="C6EFCE"/>
            <w:vAlign w:val="center"/>
            <w:hideMark/>
          </w:tcPr>
          <w:p w14:paraId="11DE13A3" w14:textId="7822D235" w:rsidR="00CE3BAD" w:rsidRPr="00782BF9" w:rsidRDefault="006B5475">
            <w:pPr>
              <w:pStyle w:val="P68B1DB1-Normal10"/>
              <w:spacing w:after="0" w:line="240" w:lineRule="auto"/>
              <w:rPr>
                <w:noProof/>
                <w:lang w:val="bg-BG"/>
              </w:rPr>
            </w:pPr>
            <w:r w:rsidRPr="00782BF9">
              <w:rPr>
                <w:noProof/>
                <w:lang w:val="bg-BG"/>
              </w:rPr>
              <w:t>Прозрачен подбор на организациите, които изпълняват различните елементи на програмата за догонване</w:t>
            </w:r>
          </w:p>
        </w:tc>
        <w:tc>
          <w:tcPr>
            <w:tcW w:w="1540" w:type="dxa"/>
            <w:tcBorders>
              <w:top w:val="single" w:sz="4" w:space="0" w:color="auto"/>
              <w:left w:val="nil"/>
              <w:bottom w:val="single" w:sz="4" w:space="0" w:color="auto"/>
              <w:right w:val="single" w:sz="4" w:space="0" w:color="auto"/>
            </w:tcBorders>
            <w:shd w:val="clear" w:color="auto" w:fill="C6EFCE"/>
            <w:vAlign w:val="center"/>
            <w:hideMark/>
          </w:tcPr>
          <w:p w14:paraId="0FA41136" w14:textId="77777777" w:rsidR="00CE3BAD" w:rsidRPr="00782BF9" w:rsidRDefault="006B5475">
            <w:pPr>
              <w:pStyle w:val="P68B1DB1-Normal10"/>
              <w:spacing w:after="0" w:line="240" w:lineRule="auto"/>
              <w:rPr>
                <w:noProof/>
                <w:lang w:val="bg-BG"/>
              </w:rPr>
            </w:pPr>
            <w:r w:rsidRPr="00782BF9">
              <w:rPr>
                <w:noProof/>
                <w:lang w:val="bg-BG"/>
              </w:rPr>
              <w:t xml:space="preserve">Публикуване на процедурния правилник за подбор на организации изпълнители </w:t>
            </w:r>
          </w:p>
        </w:tc>
        <w:tc>
          <w:tcPr>
            <w:tcW w:w="1075" w:type="dxa"/>
            <w:tcBorders>
              <w:top w:val="nil"/>
              <w:left w:val="nil"/>
              <w:bottom w:val="single" w:sz="4" w:space="0" w:color="auto"/>
              <w:right w:val="single" w:sz="4" w:space="0" w:color="auto"/>
            </w:tcBorders>
            <w:shd w:val="clear" w:color="auto" w:fill="C6EFCE"/>
            <w:vAlign w:val="center"/>
            <w:hideMark/>
          </w:tcPr>
          <w:p w14:paraId="2434F28D" w14:textId="77777777" w:rsidR="00CE3BAD" w:rsidRPr="00782BF9" w:rsidRDefault="00CE3BAD">
            <w:pPr>
              <w:spacing w:after="0" w:line="240" w:lineRule="auto"/>
              <w:rPr>
                <w:noProof/>
                <w:sz w:val="18"/>
                <w:lang w:val="bg-BG"/>
              </w:rPr>
            </w:pPr>
          </w:p>
        </w:tc>
        <w:tc>
          <w:tcPr>
            <w:tcW w:w="1072" w:type="dxa"/>
            <w:tcBorders>
              <w:top w:val="nil"/>
              <w:left w:val="nil"/>
              <w:bottom w:val="single" w:sz="4" w:space="0" w:color="auto"/>
              <w:right w:val="single" w:sz="4" w:space="0" w:color="auto"/>
            </w:tcBorders>
            <w:shd w:val="clear" w:color="auto" w:fill="C6EFCE"/>
            <w:vAlign w:val="center"/>
            <w:hideMark/>
          </w:tcPr>
          <w:p w14:paraId="1E49CBF7" w14:textId="77777777" w:rsidR="00CE3BAD" w:rsidRPr="00782BF9" w:rsidRDefault="00CE3BAD">
            <w:pPr>
              <w:spacing w:after="0" w:line="240" w:lineRule="auto"/>
              <w:rPr>
                <w:noProof/>
                <w:sz w:val="18"/>
                <w:lang w:val="bg-BG"/>
              </w:rPr>
            </w:pPr>
          </w:p>
        </w:tc>
        <w:tc>
          <w:tcPr>
            <w:tcW w:w="1030" w:type="dxa"/>
            <w:tcBorders>
              <w:top w:val="nil"/>
              <w:left w:val="nil"/>
              <w:bottom w:val="single" w:sz="4" w:space="0" w:color="auto"/>
              <w:right w:val="single" w:sz="4" w:space="0" w:color="auto"/>
            </w:tcBorders>
            <w:shd w:val="clear" w:color="auto" w:fill="C6EFCE"/>
            <w:vAlign w:val="center"/>
            <w:hideMark/>
          </w:tcPr>
          <w:p w14:paraId="102273D0" w14:textId="77777777" w:rsidR="00CE3BAD" w:rsidRPr="00782BF9" w:rsidRDefault="00CE3BAD">
            <w:pPr>
              <w:spacing w:after="0" w:line="240" w:lineRule="auto"/>
              <w:rPr>
                <w:noProof/>
                <w:sz w:val="18"/>
                <w:lang w:val="bg-BG"/>
              </w:rPr>
            </w:pPr>
          </w:p>
        </w:tc>
        <w:tc>
          <w:tcPr>
            <w:tcW w:w="806" w:type="dxa"/>
            <w:tcBorders>
              <w:top w:val="nil"/>
              <w:left w:val="nil"/>
              <w:bottom w:val="single" w:sz="4" w:space="0" w:color="auto"/>
              <w:right w:val="single" w:sz="4" w:space="0" w:color="auto"/>
            </w:tcBorders>
            <w:shd w:val="clear" w:color="auto" w:fill="C6EFCE"/>
            <w:vAlign w:val="center"/>
            <w:hideMark/>
          </w:tcPr>
          <w:p w14:paraId="14C1A511" w14:textId="77777777" w:rsidR="00CE3BAD" w:rsidRPr="00782BF9" w:rsidRDefault="006B5475">
            <w:pPr>
              <w:pStyle w:val="P68B1DB1-Normal10"/>
              <w:spacing w:after="0" w:line="240" w:lineRule="auto"/>
              <w:rPr>
                <w:noProof/>
                <w:lang w:val="bg-BG"/>
              </w:rPr>
            </w:pPr>
            <w:r w:rsidRPr="00782BF9">
              <w:rPr>
                <w:noProof/>
                <w:lang w:val="bg-BG"/>
              </w:rPr>
              <w:t xml:space="preserve">Т4 Г. </w:t>
            </w:r>
          </w:p>
        </w:tc>
        <w:tc>
          <w:tcPr>
            <w:tcW w:w="791" w:type="dxa"/>
            <w:tcBorders>
              <w:top w:val="nil"/>
              <w:left w:val="nil"/>
              <w:bottom w:val="single" w:sz="4" w:space="0" w:color="auto"/>
              <w:right w:val="single" w:sz="4" w:space="0" w:color="auto"/>
            </w:tcBorders>
            <w:shd w:val="clear" w:color="auto" w:fill="C6EFCE"/>
            <w:vAlign w:val="center"/>
            <w:hideMark/>
          </w:tcPr>
          <w:p w14:paraId="63E640FC" w14:textId="77777777" w:rsidR="00CE3BAD" w:rsidRPr="00782BF9" w:rsidRDefault="006B5475">
            <w:pPr>
              <w:pStyle w:val="P68B1DB1-Normal10"/>
              <w:spacing w:after="0" w:line="240" w:lineRule="auto"/>
              <w:rPr>
                <w:noProof/>
                <w:lang w:val="bg-BG"/>
              </w:rPr>
            </w:pPr>
            <w:r w:rsidRPr="00782BF9">
              <w:rPr>
                <w:noProof/>
                <w:lang w:val="bg-BG"/>
              </w:rPr>
              <w:t>2021</w:t>
            </w:r>
          </w:p>
        </w:tc>
        <w:tc>
          <w:tcPr>
            <w:tcW w:w="4459" w:type="dxa"/>
            <w:tcBorders>
              <w:top w:val="single" w:sz="4" w:space="0" w:color="auto"/>
              <w:left w:val="nil"/>
              <w:bottom w:val="single" w:sz="4" w:space="0" w:color="auto"/>
              <w:right w:val="single" w:sz="4" w:space="0" w:color="auto"/>
            </w:tcBorders>
            <w:shd w:val="clear" w:color="auto" w:fill="C6EFCE"/>
            <w:vAlign w:val="center"/>
            <w:hideMark/>
          </w:tcPr>
          <w:p w14:paraId="1357EC26" w14:textId="5D6CD447" w:rsidR="00CE3BAD" w:rsidRPr="00782BF9" w:rsidRDefault="006B5475">
            <w:pPr>
              <w:pStyle w:val="P68B1DB1-Normal10"/>
              <w:spacing w:after="0" w:line="240" w:lineRule="auto"/>
              <w:jc w:val="both"/>
              <w:rPr>
                <w:noProof/>
                <w:lang w:val="bg-BG"/>
              </w:rPr>
            </w:pPr>
            <w:r w:rsidRPr="00782BF9">
              <w:rPr>
                <w:noProof/>
                <w:lang w:val="bg-BG"/>
              </w:rPr>
              <w:t>Процедурният правилник гарантира прозрачен подбор на неправителствени организации и други организации, които изпълняват различните елементи на програмата за догонване. Процедурният правилник се публикува на специалния уебсайт на Програмата за догонване. Подборът се основава на критерии, свързани с професионалния опит, капацитета и качествата.</w:t>
            </w:r>
          </w:p>
        </w:tc>
      </w:tr>
      <w:tr w:rsidR="00CE3BAD" w:rsidRPr="00782BF9" w14:paraId="61243079" w14:textId="77777777">
        <w:trPr>
          <w:trHeight w:val="274"/>
        </w:trPr>
        <w:tc>
          <w:tcPr>
            <w:tcW w:w="1013" w:type="dxa"/>
            <w:tcBorders>
              <w:top w:val="single" w:sz="4" w:space="0" w:color="auto"/>
              <w:left w:val="single" w:sz="4" w:space="0" w:color="auto"/>
              <w:bottom w:val="single" w:sz="4" w:space="0" w:color="auto"/>
              <w:right w:val="single" w:sz="4" w:space="0" w:color="auto"/>
            </w:tcBorders>
            <w:shd w:val="clear" w:color="auto" w:fill="C6EFCE"/>
            <w:vAlign w:val="center"/>
          </w:tcPr>
          <w:p w14:paraId="5C4FF310" w14:textId="71ADCCF3" w:rsidR="00CE3BAD" w:rsidRPr="00782BF9" w:rsidRDefault="006B5475">
            <w:pPr>
              <w:pStyle w:val="P68B1DB1-Normal10"/>
              <w:spacing w:after="0" w:line="240" w:lineRule="auto"/>
              <w:rPr>
                <w:noProof/>
                <w:lang w:val="bg-BG"/>
              </w:rPr>
            </w:pPr>
            <w:r w:rsidRPr="00782BF9">
              <w:rPr>
                <w:noProof/>
                <w:lang w:val="bg-BG"/>
              </w:rPr>
              <w:t>51</w:t>
            </w:r>
          </w:p>
        </w:tc>
        <w:tc>
          <w:tcPr>
            <w:tcW w:w="1509" w:type="dxa"/>
            <w:tcBorders>
              <w:top w:val="single" w:sz="4" w:space="0" w:color="auto"/>
              <w:left w:val="nil"/>
              <w:bottom w:val="single" w:sz="4" w:space="0" w:color="auto"/>
              <w:right w:val="single" w:sz="4" w:space="0" w:color="auto"/>
            </w:tcBorders>
            <w:shd w:val="clear" w:color="auto" w:fill="C6EFCE"/>
            <w:vAlign w:val="center"/>
          </w:tcPr>
          <w:p w14:paraId="022C9E7C" w14:textId="19405D3C" w:rsidR="00CE3BAD" w:rsidRPr="00782BF9" w:rsidRDefault="006B5475">
            <w:pPr>
              <w:pStyle w:val="P68B1DB1-Normal10"/>
              <w:spacing w:after="0" w:line="240" w:lineRule="auto"/>
              <w:rPr>
                <w:noProof/>
                <w:lang w:val="bg-BG"/>
              </w:rPr>
            </w:pPr>
            <w:r w:rsidRPr="00782BF9">
              <w:rPr>
                <w:noProof/>
                <w:lang w:val="bg-BG"/>
              </w:rPr>
              <w:t>C3.R1 Създаване на рамкови условия за ефективна интегрирана подкрепа за населените места в най-неравностойно положение</w:t>
            </w:r>
          </w:p>
        </w:tc>
        <w:tc>
          <w:tcPr>
            <w:tcW w:w="1023" w:type="dxa"/>
            <w:tcBorders>
              <w:top w:val="single" w:sz="4" w:space="0" w:color="auto"/>
              <w:left w:val="nil"/>
              <w:bottom w:val="single" w:sz="4" w:space="0" w:color="auto"/>
              <w:right w:val="single" w:sz="4" w:space="0" w:color="auto"/>
            </w:tcBorders>
            <w:shd w:val="clear" w:color="auto" w:fill="C6EFCE"/>
            <w:vAlign w:val="center"/>
          </w:tcPr>
          <w:p w14:paraId="04C89D38" w14:textId="77777777" w:rsidR="00CE3BAD" w:rsidRPr="00782BF9" w:rsidRDefault="006B5475">
            <w:pPr>
              <w:pStyle w:val="P68B1DB1-Normal10"/>
              <w:spacing w:after="0" w:line="240" w:lineRule="auto"/>
              <w:rPr>
                <w:noProof/>
                <w:lang w:val="bg-BG"/>
              </w:rPr>
            </w:pPr>
            <w:r w:rsidRPr="00782BF9">
              <w:rPr>
                <w:noProof/>
                <w:lang w:val="bg-BG"/>
              </w:rPr>
              <w:t>Ключов етап</w:t>
            </w:r>
          </w:p>
        </w:tc>
        <w:tc>
          <w:tcPr>
            <w:tcW w:w="1984" w:type="dxa"/>
            <w:tcBorders>
              <w:top w:val="single" w:sz="4" w:space="0" w:color="auto"/>
              <w:left w:val="nil"/>
              <w:bottom w:val="single" w:sz="4" w:space="0" w:color="auto"/>
              <w:right w:val="single" w:sz="4" w:space="0" w:color="auto"/>
            </w:tcBorders>
            <w:shd w:val="clear" w:color="auto" w:fill="C6EFCE"/>
            <w:vAlign w:val="center"/>
          </w:tcPr>
          <w:p w14:paraId="1F441A3B" w14:textId="77777777" w:rsidR="00CE3BAD" w:rsidRPr="00782BF9" w:rsidRDefault="006B5475">
            <w:pPr>
              <w:pStyle w:val="P68B1DB1-Normal10"/>
              <w:spacing w:after="0" w:line="240" w:lineRule="auto"/>
              <w:rPr>
                <w:noProof/>
                <w:lang w:val="bg-BG"/>
              </w:rPr>
            </w:pPr>
            <w:r w:rsidRPr="00782BF9">
              <w:rPr>
                <w:noProof/>
                <w:lang w:val="bg-BG"/>
              </w:rPr>
              <w:t>Създаване на мониторингов комитет за подпомагане на населените места в най-неравностойно положение</w:t>
            </w:r>
          </w:p>
        </w:tc>
        <w:tc>
          <w:tcPr>
            <w:tcW w:w="1540" w:type="dxa"/>
            <w:tcBorders>
              <w:top w:val="single" w:sz="4" w:space="0" w:color="auto"/>
              <w:left w:val="nil"/>
              <w:bottom w:val="single" w:sz="4" w:space="0" w:color="auto"/>
              <w:right w:val="single" w:sz="4" w:space="0" w:color="auto"/>
            </w:tcBorders>
            <w:shd w:val="clear" w:color="auto" w:fill="C6EFCE"/>
            <w:vAlign w:val="center"/>
          </w:tcPr>
          <w:p w14:paraId="12AF0C57" w14:textId="77777777" w:rsidR="00CE3BAD" w:rsidRPr="00782BF9" w:rsidRDefault="00CE3BAD">
            <w:pPr>
              <w:spacing w:after="0" w:line="240" w:lineRule="auto"/>
              <w:rPr>
                <w:noProof/>
                <w:sz w:val="18"/>
                <w:lang w:val="bg-BG"/>
              </w:rPr>
            </w:pPr>
          </w:p>
        </w:tc>
        <w:tc>
          <w:tcPr>
            <w:tcW w:w="1075" w:type="dxa"/>
            <w:tcBorders>
              <w:top w:val="nil"/>
              <w:left w:val="nil"/>
              <w:bottom w:val="single" w:sz="4" w:space="0" w:color="auto"/>
              <w:right w:val="single" w:sz="4" w:space="0" w:color="auto"/>
            </w:tcBorders>
            <w:shd w:val="clear" w:color="auto" w:fill="C6EFCE"/>
            <w:vAlign w:val="center"/>
          </w:tcPr>
          <w:p w14:paraId="607911B3" w14:textId="77777777" w:rsidR="00CE3BAD" w:rsidRPr="00782BF9" w:rsidRDefault="00CE3BAD">
            <w:pPr>
              <w:spacing w:after="0" w:line="240" w:lineRule="auto"/>
              <w:rPr>
                <w:noProof/>
                <w:sz w:val="18"/>
                <w:lang w:val="bg-BG"/>
              </w:rPr>
            </w:pPr>
          </w:p>
        </w:tc>
        <w:tc>
          <w:tcPr>
            <w:tcW w:w="1072" w:type="dxa"/>
            <w:tcBorders>
              <w:top w:val="nil"/>
              <w:left w:val="nil"/>
              <w:bottom w:val="single" w:sz="4" w:space="0" w:color="auto"/>
              <w:right w:val="single" w:sz="4" w:space="0" w:color="auto"/>
            </w:tcBorders>
            <w:shd w:val="clear" w:color="auto" w:fill="C6EFCE"/>
            <w:vAlign w:val="center"/>
          </w:tcPr>
          <w:p w14:paraId="1FA8E90B" w14:textId="77777777" w:rsidR="00CE3BAD" w:rsidRPr="00782BF9" w:rsidRDefault="00CE3BAD">
            <w:pPr>
              <w:spacing w:after="0" w:line="240" w:lineRule="auto"/>
              <w:rPr>
                <w:noProof/>
                <w:sz w:val="18"/>
                <w:lang w:val="bg-BG"/>
              </w:rPr>
            </w:pPr>
          </w:p>
        </w:tc>
        <w:tc>
          <w:tcPr>
            <w:tcW w:w="1030" w:type="dxa"/>
            <w:tcBorders>
              <w:top w:val="nil"/>
              <w:left w:val="nil"/>
              <w:bottom w:val="single" w:sz="4" w:space="0" w:color="auto"/>
              <w:right w:val="single" w:sz="4" w:space="0" w:color="auto"/>
            </w:tcBorders>
            <w:shd w:val="clear" w:color="auto" w:fill="C6EFCE"/>
            <w:vAlign w:val="center"/>
          </w:tcPr>
          <w:p w14:paraId="2E010119" w14:textId="77777777" w:rsidR="00CE3BAD" w:rsidRPr="00782BF9" w:rsidRDefault="00CE3BAD">
            <w:pPr>
              <w:spacing w:after="0" w:line="240" w:lineRule="auto"/>
              <w:rPr>
                <w:noProof/>
                <w:sz w:val="18"/>
                <w:lang w:val="bg-BG"/>
              </w:rPr>
            </w:pPr>
          </w:p>
        </w:tc>
        <w:tc>
          <w:tcPr>
            <w:tcW w:w="806" w:type="dxa"/>
            <w:tcBorders>
              <w:top w:val="nil"/>
              <w:left w:val="nil"/>
              <w:bottom w:val="single" w:sz="4" w:space="0" w:color="auto"/>
              <w:right w:val="single" w:sz="4" w:space="0" w:color="auto"/>
            </w:tcBorders>
            <w:shd w:val="clear" w:color="auto" w:fill="C6EFCE"/>
            <w:vAlign w:val="center"/>
          </w:tcPr>
          <w:p w14:paraId="7793D519" w14:textId="77777777" w:rsidR="00CE3BAD" w:rsidRPr="00782BF9" w:rsidRDefault="006B5475">
            <w:pPr>
              <w:pStyle w:val="P68B1DB1-Normal10"/>
              <w:spacing w:after="0" w:line="240" w:lineRule="auto"/>
              <w:rPr>
                <w:noProof/>
                <w:lang w:val="bg-BG"/>
              </w:rPr>
            </w:pPr>
            <w:r w:rsidRPr="00782BF9">
              <w:rPr>
                <w:noProof/>
                <w:lang w:val="bg-BG"/>
              </w:rPr>
              <w:t>Т1 Г.</w:t>
            </w:r>
          </w:p>
        </w:tc>
        <w:tc>
          <w:tcPr>
            <w:tcW w:w="791" w:type="dxa"/>
            <w:tcBorders>
              <w:top w:val="nil"/>
              <w:left w:val="nil"/>
              <w:bottom w:val="single" w:sz="4" w:space="0" w:color="auto"/>
              <w:right w:val="single" w:sz="4" w:space="0" w:color="auto"/>
            </w:tcBorders>
            <w:shd w:val="clear" w:color="auto" w:fill="C6EFCE"/>
            <w:vAlign w:val="center"/>
          </w:tcPr>
          <w:p w14:paraId="7D63290C" w14:textId="77777777" w:rsidR="00CE3BAD" w:rsidRPr="00782BF9" w:rsidRDefault="006B5475">
            <w:pPr>
              <w:pStyle w:val="P68B1DB1-Normal10"/>
              <w:spacing w:after="0" w:line="240" w:lineRule="auto"/>
              <w:rPr>
                <w:noProof/>
                <w:lang w:val="bg-BG"/>
              </w:rPr>
            </w:pPr>
            <w:r w:rsidRPr="00782BF9">
              <w:rPr>
                <w:noProof/>
                <w:lang w:val="bg-BG"/>
              </w:rPr>
              <w:t>2023</w:t>
            </w:r>
          </w:p>
        </w:tc>
        <w:tc>
          <w:tcPr>
            <w:tcW w:w="4459" w:type="dxa"/>
            <w:tcBorders>
              <w:top w:val="single" w:sz="4" w:space="0" w:color="auto"/>
              <w:left w:val="nil"/>
              <w:bottom w:val="single" w:sz="4" w:space="0" w:color="auto"/>
              <w:right w:val="single" w:sz="4" w:space="0" w:color="auto"/>
            </w:tcBorders>
            <w:shd w:val="clear" w:color="auto" w:fill="C6EFCE"/>
            <w:vAlign w:val="center"/>
          </w:tcPr>
          <w:p w14:paraId="602AB30F" w14:textId="2F4C79CE" w:rsidR="00CE3BAD" w:rsidRPr="00782BF9" w:rsidRDefault="006B5475">
            <w:pPr>
              <w:pStyle w:val="P68B1DB1-Normal10"/>
              <w:spacing w:after="0" w:line="240" w:lineRule="auto"/>
              <w:jc w:val="both"/>
              <w:rPr>
                <w:noProof/>
                <w:lang w:val="bg-BG"/>
              </w:rPr>
            </w:pPr>
            <w:r w:rsidRPr="00782BF9">
              <w:rPr>
                <w:noProof/>
                <w:lang w:val="bg-BG"/>
              </w:rPr>
              <w:t>Създава се тематичен мониторингов комитет за програмата за наваксване на средства, включително нейните елементи по ЕСФ + и ЕФРР, евентуално заедно с други подобни програми за социално приобщаване. Комитетът прави преглед на резултатите и дава препоръки за по-нататъшно повишаване на ефективността на програмата. Членовете на мониторинговия комитет включват компетентни министерства и органи, представители на общините, организации на гражданското общество, работещи в областта на социалното приобщаване и приобщаването на ромите. Организациите на гражданското общество се подбират въз основа на професионален опит, капацитет и заслуги. Мониторинговият комитет заседава най-малко веднъж на три месеца. Неговите документи, включително протоколите, се публикуват на специалния уебсайт на програмата.</w:t>
            </w:r>
          </w:p>
        </w:tc>
      </w:tr>
      <w:tr w:rsidR="00CE3BAD" w:rsidRPr="00782BF9" w14:paraId="489F0A53" w14:textId="77777777">
        <w:trPr>
          <w:trHeight w:val="1344"/>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44646C9F" w14:textId="339C7001" w:rsidR="00CE3BAD" w:rsidRPr="00782BF9" w:rsidRDefault="006B5475">
            <w:pPr>
              <w:pStyle w:val="P68B1DB1-Normal10"/>
              <w:spacing w:after="0" w:line="240" w:lineRule="auto"/>
              <w:rPr>
                <w:noProof/>
                <w:lang w:val="bg-BG"/>
              </w:rPr>
            </w:pPr>
            <w:r w:rsidRPr="00782BF9">
              <w:rPr>
                <w:noProof/>
                <w:lang w:val="bg-BG"/>
              </w:rPr>
              <w:t>52</w:t>
            </w:r>
          </w:p>
        </w:tc>
        <w:tc>
          <w:tcPr>
            <w:tcW w:w="1509" w:type="dxa"/>
            <w:tcBorders>
              <w:top w:val="single" w:sz="4" w:space="0" w:color="auto"/>
              <w:left w:val="nil"/>
              <w:bottom w:val="single" w:sz="4" w:space="0" w:color="auto"/>
              <w:right w:val="single" w:sz="4" w:space="0" w:color="auto"/>
            </w:tcBorders>
            <w:shd w:val="clear" w:color="auto" w:fill="C6EFCE"/>
            <w:vAlign w:val="center"/>
            <w:hideMark/>
          </w:tcPr>
          <w:p w14:paraId="5BA7E15B" w14:textId="64C02131" w:rsidR="00CE3BAD" w:rsidRPr="00782BF9" w:rsidRDefault="006B5475">
            <w:pPr>
              <w:pStyle w:val="P68B1DB1-Normal10"/>
              <w:spacing w:after="0" w:line="240" w:lineRule="auto"/>
              <w:rPr>
                <w:noProof/>
                <w:lang w:val="bg-BG"/>
              </w:rPr>
            </w:pPr>
            <w:r w:rsidRPr="00782BF9">
              <w:rPr>
                <w:noProof/>
                <w:lang w:val="bg-BG"/>
              </w:rPr>
              <w:t>C3.I1 Строителство и обновяване на социални жилища, подобряване на жилищните условия</w:t>
            </w:r>
          </w:p>
        </w:tc>
        <w:tc>
          <w:tcPr>
            <w:tcW w:w="1023" w:type="dxa"/>
            <w:tcBorders>
              <w:top w:val="nil"/>
              <w:left w:val="nil"/>
              <w:bottom w:val="single" w:sz="4" w:space="0" w:color="auto"/>
              <w:right w:val="single" w:sz="4" w:space="0" w:color="auto"/>
            </w:tcBorders>
            <w:shd w:val="clear" w:color="auto" w:fill="C6EFCE"/>
            <w:vAlign w:val="center"/>
            <w:hideMark/>
          </w:tcPr>
          <w:p w14:paraId="527D58D8" w14:textId="77777777" w:rsidR="00CE3BAD" w:rsidRPr="00782BF9" w:rsidRDefault="006B5475">
            <w:pPr>
              <w:pStyle w:val="P68B1DB1-Normal10"/>
              <w:spacing w:after="0" w:line="240" w:lineRule="auto"/>
              <w:rPr>
                <w:noProof/>
                <w:lang w:val="bg-BG"/>
              </w:rPr>
            </w:pPr>
            <w:r w:rsidRPr="00782BF9">
              <w:rPr>
                <w:noProof/>
                <w:lang w:val="bg-BG"/>
              </w:rPr>
              <w:t>Ключов етап</w:t>
            </w:r>
          </w:p>
        </w:tc>
        <w:tc>
          <w:tcPr>
            <w:tcW w:w="1984" w:type="dxa"/>
            <w:tcBorders>
              <w:top w:val="single" w:sz="4" w:space="0" w:color="auto"/>
              <w:left w:val="nil"/>
              <w:bottom w:val="single" w:sz="4" w:space="0" w:color="auto"/>
              <w:right w:val="single" w:sz="4" w:space="0" w:color="auto"/>
            </w:tcBorders>
            <w:shd w:val="clear" w:color="auto" w:fill="C6EFCE"/>
            <w:vAlign w:val="center"/>
            <w:hideMark/>
          </w:tcPr>
          <w:p w14:paraId="2DC628D1" w14:textId="77777777" w:rsidR="00CE3BAD" w:rsidRPr="00782BF9" w:rsidRDefault="006B5475">
            <w:pPr>
              <w:pStyle w:val="P68B1DB1-Normal10"/>
              <w:spacing w:after="0" w:line="240" w:lineRule="auto"/>
              <w:rPr>
                <w:noProof/>
                <w:lang w:val="bg-BG"/>
              </w:rPr>
            </w:pPr>
            <w:r w:rsidRPr="00782BF9">
              <w:rPr>
                <w:noProof/>
                <w:lang w:val="bg-BG"/>
              </w:rPr>
              <w:t>Приемане на план за интервенция, основан на диагнози за засегнатите населени места</w:t>
            </w:r>
          </w:p>
        </w:tc>
        <w:tc>
          <w:tcPr>
            <w:tcW w:w="1540" w:type="dxa"/>
            <w:tcBorders>
              <w:top w:val="nil"/>
              <w:left w:val="nil"/>
              <w:bottom w:val="single" w:sz="4" w:space="0" w:color="auto"/>
              <w:right w:val="single" w:sz="4" w:space="0" w:color="auto"/>
            </w:tcBorders>
            <w:shd w:val="clear" w:color="auto" w:fill="C6EFCE"/>
            <w:vAlign w:val="center"/>
            <w:hideMark/>
          </w:tcPr>
          <w:p w14:paraId="2618A54E" w14:textId="77777777" w:rsidR="00CE3BAD" w:rsidRPr="00782BF9" w:rsidRDefault="006B5475">
            <w:pPr>
              <w:pStyle w:val="P68B1DB1-Normal10"/>
              <w:spacing w:after="0" w:line="240" w:lineRule="auto"/>
              <w:rPr>
                <w:noProof/>
                <w:lang w:val="bg-BG"/>
              </w:rPr>
            </w:pPr>
            <w:r w:rsidRPr="00782BF9">
              <w:rPr>
                <w:noProof/>
                <w:lang w:val="bg-BG"/>
              </w:rPr>
              <w:t>Публикуване на плана за намеса на специалния уебсайт</w:t>
            </w:r>
          </w:p>
        </w:tc>
        <w:tc>
          <w:tcPr>
            <w:tcW w:w="1075" w:type="dxa"/>
            <w:tcBorders>
              <w:top w:val="nil"/>
              <w:left w:val="nil"/>
              <w:bottom w:val="single" w:sz="4" w:space="0" w:color="auto"/>
              <w:right w:val="single" w:sz="4" w:space="0" w:color="auto"/>
            </w:tcBorders>
            <w:shd w:val="clear" w:color="auto" w:fill="C6EFCE"/>
            <w:vAlign w:val="center"/>
            <w:hideMark/>
          </w:tcPr>
          <w:p w14:paraId="1A8A70D6" w14:textId="77777777" w:rsidR="00CE3BAD" w:rsidRPr="00782BF9" w:rsidRDefault="006B5475">
            <w:pPr>
              <w:pStyle w:val="P68B1DB1-Normal10"/>
              <w:spacing w:after="0" w:line="240" w:lineRule="auto"/>
              <w:rPr>
                <w:noProof/>
                <w:lang w:val="bg-BG"/>
              </w:rPr>
            </w:pPr>
            <w:r w:rsidRPr="00782BF9">
              <w:rPr>
                <w:noProof/>
                <w:lang w:val="bg-BG"/>
              </w:rPr>
              <w:t xml:space="preserve"> </w:t>
            </w:r>
          </w:p>
        </w:tc>
        <w:tc>
          <w:tcPr>
            <w:tcW w:w="1072" w:type="dxa"/>
            <w:tcBorders>
              <w:top w:val="nil"/>
              <w:left w:val="nil"/>
              <w:bottom w:val="single" w:sz="4" w:space="0" w:color="auto"/>
              <w:right w:val="single" w:sz="4" w:space="0" w:color="auto"/>
            </w:tcBorders>
            <w:shd w:val="clear" w:color="auto" w:fill="C6EFCE"/>
            <w:vAlign w:val="center"/>
            <w:hideMark/>
          </w:tcPr>
          <w:p w14:paraId="4C1790DE" w14:textId="77777777" w:rsidR="00CE3BAD" w:rsidRPr="00782BF9" w:rsidRDefault="006B5475">
            <w:pPr>
              <w:pStyle w:val="P68B1DB1-Normal10"/>
              <w:spacing w:after="0" w:line="240" w:lineRule="auto"/>
              <w:rPr>
                <w:noProof/>
                <w:lang w:val="bg-BG"/>
              </w:rPr>
            </w:pPr>
            <w:r w:rsidRPr="00782BF9">
              <w:rPr>
                <w:noProof/>
                <w:lang w:val="bg-BG"/>
              </w:rPr>
              <w:t xml:space="preserve"> </w:t>
            </w:r>
          </w:p>
        </w:tc>
        <w:tc>
          <w:tcPr>
            <w:tcW w:w="1030" w:type="dxa"/>
            <w:tcBorders>
              <w:top w:val="nil"/>
              <w:left w:val="nil"/>
              <w:bottom w:val="single" w:sz="4" w:space="0" w:color="auto"/>
              <w:right w:val="single" w:sz="4" w:space="0" w:color="auto"/>
            </w:tcBorders>
            <w:shd w:val="clear" w:color="auto" w:fill="C6EFCE"/>
            <w:vAlign w:val="center"/>
            <w:hideMark/>
          </w:tcPr>
          <w:p w14:paraId="3F1D674B" w14:textId="77777777" w:rsidR="00CE3BAD" w:rsidRPr="00782BF9" w:rsidRDefault="006B5475">
            <w:pPr>
              <w:pStyle w:val="P68B1DB1-Normal10"/>
              <w:spacing w:after="0" w:line="240" w:lineRule="auto"/>
              <w:rPr>
                <w:noProof/>
                <w:lang w:val="bg-BG"/>
              </w:rPr>
            </w:pPr>
            <w:r w:rsidRPr="00782BF9">
              <w:rPr>
                <w:noProof/>
                <w:lang w:val="bg-BG"/>
              </w:rPr>
              <w:t xml:space="preserve"> </w:t>
            </w:r>
          </w:p>
        </w:tc>
        <w:tc>
          <w:tcPr>
            <w:tcW w:w="806" w:type="dxa"/>
            <w:tcBorders>
              <w:top w:val="nil"/>
              <w:left w:val="nil"/>
              <w:bottom w:val="single" w:sz="4" w:space="0" w:color="auto"/>
              <w:right w:val="single" w:sz="4" w:space="0" w:color="auto"/>
            </w:tcBorders>
            <w:shd w:val="clear" w:color="auto" w:fill="C6EFCE"/>
            <w:vAlign w:val="center"/>
            <w:hideMark/>
          </w:tcPr>
          <w:p w14:paraId="66108F7F" w14:textId="26F33B32" w:rsidR="00CE3BAD" w:rsidRPr="00782BF9" w:rsidRDefault="006B5475">
            <w:pPr>
              <w:pStyle w:val="P68B1DB1-Normal10"/>
              <w:spacing w:after="0" w:line="240" w:lineRule="auto"/>
              <w:rPr>
                <w:noProof/>
                <w:lang w:val="bg-BG"/>
              </w:rPr>
            </w:pPr>
            <w:r w:rsidRPr="00782BF9">
              <w:rPr>
                <w:noProof/>
                <w:lang w:val="bg-BG"/>
              </w:rPr>
              <w:t>Т2 Г.</w:t>
            </w:r>
          </w:p>
        </w:tc>
        <w:tc>
          <w:tcPr>
            <w:tcW w:w="791" w:type="dxa"/>
            <w:tcBorders>
              <w:top w:val="nil"/>
              <w:left w:val="nil"/>
              <w:bottom w:val="single" w:sz="4" w:space="0" w:color="auto"/>
              <w:right w:val="single" w:sz="4" w:space="0" w:color="auto"/>
            </w:tcBorders>
            <w:shd w:val="clear" w:color="auto" w:fill="C6EFCE"/>
            <w:vAlign w:val="center"/>
            <w:hideMark/>
          </w:tcPr>
          <w:p w14:paraId="245DE084" w14:textId="77777777" w:rsidR="00CE3BAD" w:rsidRPr="00782BF9" w:rsidRDefault="006B5475">
            <w:pPr>
              <w:pStyle w:val="P68B1DB1-Normal10"/>
              <w:spacing w:after="0" w:line="240" w:lineRule="auto"/>
              <w:rPr>
                <w:noProof/>
                <w:lang w:val="bg-BG"/>
              </w:rPr>
            </w:pPr>
            <w:r w:rsidRPr="00782BF9">
              <w:rPr>
                <w:noProof/>
                <w:lang w:val="bg-BG"/>
              </w:rPr>
              <w:t>2022</w:t>
            </w:r>
          </w:p>
        </w:tc>
        <w:tc>
          <w:tcPr>
            <w:tcW w:w="4459" w:type="dxa"/>
            <w:tcBorders>
              <w:top w:val="single" w:sz="4" w:space="0" w:color="auto"/>
              <w:left w:val="nil"/>
              <w:bottom w:val="single" w:sz="4" w:space="0" w:color="auto"/>
              <w:right w:val="single" w:sz="4" w:space="0" w:color="auto"/>
            </w:tcBorders>
            <w:shd w:val="clear" w:color="auto" w:fill="C6EFCE"/>
            <w:vAlign w:val="bottom"/>
            <w:hideMark/>
          </w:tcPr>
          <w:p w14:paraId="407AF894" w14:textId="77777777" w:rsidR="00CE3BAD" w:rsidRPr="00782BF9" w:rsidRDefault="006B5475">
            <w:pPr>
              <w:pStyle w:val="P68B1DB1-Normal10"/>
              <w:spacing w:after="0" w:line="240" w:lineRule="auto"/>
              <w:jc w:val="both"/>
              <w:rPr>
                <w:noProof/>
                <w:lang w:val="bg-BG"/>
              </w:rPr>
            </w:pPr>
            <w:r w:rsidRPr="00782BF9">
              <w:rPr>
                <w:noProof/>
                <w:lang w:val="bg-BG"/>
              </w:rPr>
              <w:t xml:space="preserve">Основният организатор на програмата за наваксване приема план за намеса, за да се определят нуждите от обновяване и населените места, където ще бъдат построени или закупени нови социални жилища. Нови и обновени къщи за социални цели могат по изключение да бъдат разположени извън 300-те общини в най-неравностойно положение (в несегрегирани райони с по-добър достъп до заетост и услуги), но в тези случаи социалният жилищен фонд се разпределя на хора, живеещи в тези 300 целеви общини, които могат да кандидатстват за жилища под наем чрез открита покана за представяне на кандидатури и могат доброволно да се преместят в жилище извън населеното място. В плана се вземат предвид проучванията, проведени с цел картографиране на нуждите, а подборът на проекти не поражда риск от отделяне. Планът се публикува на специалния уебсайт на програмата за догонване. </w:t>
            </w:r>
          </w:p>
        </w:tc>
      </w:tr>
      <w:tr w:rsidR="00CE3BAD" w:rsidRPr="00782BF9" w14:paraId="0F507B05" w14:textId="77777777">
        <w:trPr>
          <w:trHeight w:val="416"/>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185BF3B6" w14:textId="1381953B" w:rsidR="00CE3BAD" w:rsidRPr="00782BF9" w:rsidRDefault="006B5475">
            <w:pPr>
              <w:pStyle w:val="P68B1DB1-Normal10"/>
              <w:spacing w:after="0" w:line="240" w:lineRule="auto"/>
              <w:rPr>
                <w:noProof/>
                <w:lang w:val="bg-BG"/>
              </w:rPr>
            </w:pPr>
            <w:r w:rsidRPr="00782BF9">
              <w:rPr>
                <w:noProof/>
                <w:lang w:val="bg-BG"/>
              </w:rPr>
              <w:t>53</w:t>
            </w:r>
          </w:p>
        </w:tc>
        <w:tc>
          <w:tcPr>
            <w:tcW w:w="1509" w:type="dxa"/>
            <w:tcBorders>
              <w:top w:val="nil"/>
              <w:left w:val="nil"/>
              <w:bottom w:val="single" w:sz="4" w:space="0" w:color="auto"/>
              <w:right w:val="single" w:sz="4" w:space="0" w:color="auto"/>
            </w:tcBorders>
            <w:shd w:val="clear" w:color="auto" w:fill="C6EFCE"/>
            <w:vAlign w:val="center"/>
            <w:hideMark/>
          </w:tcPr>
          <w:p w14:paraId="1AA153A1" w14:textId="63F2F897" w:rsidR="00CE3BAD" w:rsidRPr="00782BF9" w:rsidRDefault="006B5475">
            <w:pPr>
              <w:pStyle w:val="P68B1DB1-Normal10"/>
              <w:spacing w:after="0" w:line="240" w:lineRule="auto"/>
              <w:rPr>
                <w:noProof/>
                <w:lang w:val="bg-BG"/>
              </w:rPr>
            </w:pPr>
            <w:r w:rsidRPr="00782BF9">
              <w:rPr>
                <w:noProof/>
                <w:lang w:val="bg-BG"/>
              </w:rPr>
              <w:t>C3.I1 Строителство и обновяване на социални жилища, подобряване на жилищните условия</w:t>
            </w:r>
          </w:p>
        </w:tc>
        <w:tc>
          <w:tcPr>
            <w:tcW w:w="1023" w:type="dxa"/>
            <w:tcBorders>
              <w:top w:val="nil"/>
              <w:left w:val="nil"/>
              <w:bottom w:val="single" w:sz="4" w:space="0" w:color="auto"/>
              <w:right w:val="single" w:sz="4" w:space="0" w:color="auto"/>
            </w:tcBorders>
            <w:shd w:val="clear" w:color="auto" w:fill="C6EFCE"/>
            <w:vAlign w:val="center"/>
            <w:hideMark/>
          </w:tcPr>
          <w:p w14:paraId="3A11F80B" w14:textId="77777777" w:rsidR="00CE3BAD" w:rsidRPr="00782BF9" w:rsidRDefault="006B5475">
            <w:pPr>
              <w:pStyle w:val="P68B1DB1-Normal10"/>
              <w:spacing w:after="0" w:line="240" w:lineRule="auto"/>
              <w:rPr>
                <w:noProof/>
                <w:lang w:val="bg-BG"/>
              </w:rPr>
            </w:pPr>
            <w:r w:rsidRPr="00782BF9">
              <w:rPr>
                <w:noProof/>
                <w:lang w:val="bg-BG"/>
              </w:rPr>
              <w:t xml:space="preserve">Целеви </w:t>
            </w:r>
          </w:p>
        </w:tc>
        <w:tc>
          <w:tcPr>
            <w:tcW w:w="1984" w:type="dxa"/>
            <w:tcBorders>
              <w:top w:val="nil"/>
              <w:left w:val="nil"/>
              <w:bottom w:val="single" w:sz="4" w:space="0" w:color="auto"/>
              <w:right w:val="single" w:sz="4" w:space="0" w:color="auto"/>
            </w:tcBorders>
            <w:shd w:val="clear" w:color="auto" w:fill="C6EFCE"/>
            <w:vAlign w:val="center"/>
            <w:hideMark/>
          </w:tcPr>
          <w:p w14:paraId="5E658C72" w14:textId="77777777" w:rsidR="00CE3BAD" w:rsidRPr="00782BF9" w:rsidRDefault="006B5475">
            <w:pPr>
              <w:pStyle w:val="P68B1DB1-Normal10"/>
              <w:spacing w:after="0" w:line="240" w:lineRule="auto"/>
              <w:rPr>
                <w:noProof/>
                <w:lang w:val="bg-BG"/>
              </w:rPr>
            </w:pPr>
            <w:r w:rsidRPr="00782BF9">
              <w:rPr>
                <w:noProof/>
                <w:lang w:val="bg-BG"/>
              </w:rPr>
              <w:t>Обновяване на жилища</w:t>
            </w:r>
          </w:p>
        </w:tc>
        <w:tc>
          <w:tcPr>
            <w:tcW w:w="1540" w:type="dxa"/>
            <w:tcBorders>
              <w:top w:val="nil"/>
              <w:left w:val="nil"/>
              <w:bottom w:val="single" w:sz="4" w:space="0" w:color="auto"/>
              <w:right w:val="single" w:sz="4" w:space="0" w:color="auto"/>
            </w:tcBorders>
            <w:shd w:val="clear" w:color="auto" w:fill="C6EFCE"/>
            <w:vAlign w:val="center"/>
            <w:hideMark/>
          </w:tcPr>
          <w:p w14:paraId="78C9D212" w14:textId="77777777" w:rsidR="00CE3BAD" w:rsidRPr="00782BF9" w:rsidRDefault="00CE3BAD">
            <w:pPr>
              <w:spacing w:after="0" w:line="240" w:lineRule="auto"/>
              <w:rPr>
                <w:noProof/>
                <w:sz w:val="18"/>
                <w:lang w:val="bg-BG"/>
              </w:rPr>
            </w:pPr>
          </w:p>
        </w:tc>
        <w:tc>
          <w:tcPr>
            <w:tcW w:w="1075" w:type="dxa"/>
            <w:tcBorders>
              <w:top w:val="nil"/>
              <w:left w:val="nil"/>
              <w:bottom w:val="single" w:sz="4" w:space="0" w:color="auto"/>
              <w:right w:val="single" w:sz="4" w:space="0" w:color="auto"/>
            </w:tcBorders>
            <w:shd w:val="clear" w:color="auto" w:fill="C6EFCE"/>
            <w:vAlign w:val="center"/>
            <w:hideMark/>
          </w:tcPr>
          <w:p w14:paraId="718CE284" w14:textId="77777777" w:rsidR="00CE3BAD" w:rsidRPr="00782BF9" w:rsidRDefault="006B5475">
            <w:pPr>
              <w:pStyle w:val="P68B1DB1-Normal10"/>
              <w:spacing w:after="0" w:line="240" w:lineRule="auto"/>
              <w:rPr>
                <w:noProof/>
                <w:lang w:val="bg-BG"/>
              </w:rPr>
            </w:pPr>
            <w:r w:rsidRPr="00782BF9">
              <w:rPr>
                <w:noProof/>
                <w:lang w:val="bg-BG"/>
              </w:rPr>
              <w:t>Брой</w:t>
            </w:r>
          </w:p>
        </w:tc>
        <w:tc>
          <w:tcPr>
            <w:tcW w:w="1072" w:type="dxa"/>
            <w:tcBorders>
              <w:top w:val="nil"/>
              <w:left w:val="nil"/>
              <w:bottom w:val="single" w:sz="4" w:space="0" w:color="auto"/>
              <w:right w:val="single" w:sz="4" w:space="0" w:color="auto"/>
            </w:tcBorders>
            <w:shd w:val="clear" w:color="auto" w:fill="C6EFCE"/>
            <w:vAlign w:val="center"/>
            <w:hideMark/>
          </w:tcPr>
          <w:p w14:paraId="44DAC409" w14:textId="77777777" w:rsidR="00CE3BAD" w:rsidRPr="00782BF9" w:rsidRDefault="006B5475">
            <w:pPr>
              <w:pStyle w:val="P68B1DB1-Normal10"/>
              <w:spacing w:after="0" w:line="240" w:lineRule="auto"/>
              <w:rPr>
                <w:noProof/>
                <w:lang w:val="bg-BG"/>
              </w:rPr>
            </w:pPr>
            <w:r w:rsidRPr="00782BF9">
              <w:rPr>
                <w:noProof/>
                <w:lang w:val="bg-BG"/>
              </w:rPr>
              <w:t>0</w:t>
            </w:r>
          </w:p>
        </w:tc>
        <w:tc>
          <w:tcPr>
            <w:tcW w:w="1030" w:type="dxa"/>
            <w:tcBorders>
              <w:top w:val="nil"/>
              <w:left w:val="nil"/>
              <w:bottom w:val="single" w:sz="4" w:space="0" w:color="auto"/>
              <w:right w:val="single" w:sz="4" w:space="0" w:color="auto"/>
            </w:tcBorders>
            <w:shd w:val="clear" w:color="auto" w:fill="C6EFCE"/>
            <w:vAlign w:val="center"/>
            <w:hideMark/>
          </w:tcPr>
          <w:p w14:paraId="179F5E45" w14:textId="77777777" w:rsidR="00CE3BAD" w:rsidRPr="00782BF9" w:rsidRDefault="006B5475">
            <w:pPr>
              <w:pStyle w:val="P68B1DB1-Normal10"/>
              <w:spacing w:after="0" w:line="240" w:lineRule="auto"/>
              <w:rPr>
                <w:noProof/>
                <w:lang w:val="bg-BG"/>
              </w:rPr>
            </w:pPr>
            <w:r w:rsidRPr="00782BF9">
              <w:rPr>
                <w:noProof/>
                <w:lang w:val="bg-BG"/>
              </w:rPr>
              <w:t>800</w:t>
            </w:r>
          </w:p>
        </w:tc>
        <w:tc>
          <w:tcPr>
            <w:tcW w:w="806" w:type="dxa"/>
            <w:tcBorders>
              <w:top w:val="nil"/>
              <w:left w:val="nil"/>
              <w:bottom w:val="single" w:sz="4" w:space="0" w:color="auto"/>
              <w:right w:val="single" w:sz="4" w:space="0" w:color="auto"/>
            </w:tcBorders>
            <w:shd w:val="clear" w:color="auto" w:fill="C6EFCE"/>
            <w:vAlign w:val="center"/>
            <w:hideMark/>
          </w:tcPr>
          <w:p w14:paraId="57F03E1A" w14:textId="77777777" w:rsidR="00CE3BAD" w:rsidRPr="00782BF9" w:rsidRDefault="006B5475">
            <w:pPr>
              <w:pStyle w:val="P68B1DB1-Normal10"/>
              <w:spacing w:after="0" w:line="240" w:lineRule="auto"/>
              <w:rPr>
                <w:noProof/>
                <w:lang w:val="bg-BG"/>
              </w:rPr>
            </w:pPr>
            <w:r w:rsidRPr="00782BF9">
              <w:rPr>
                <w:noProof/>
                <w:lang w:val="bg-BG"/>
              </w:rPr>
              <w:t xml:space="preserve">Т4 Г. </w:t>
            </w:r>
          </w:p>
        </w:tc>
        <w:tc>
          <w:tcPr>
            <w:tcW w:w="791" w:type="dxa"/>
            <w:tcBorders>
              <w:top w:val="nil"/>
              <w:left w:val="nil"/>
              <w:bottom w:val="single" w:sz="4" w:space="0" w:color="auto"/>
              <w:right w:val="single" w:sz="4" w:space="0" w:color="auto"/>
            </w:tcBorders>
            <w:shd w:val="clear" w:color="auto" w:fill="C6EFCE"/>
            <w:vAlign w:val="center"/>
            <w:hideMark/>
          </w:tcPr>
          <w:p w14:paraId="368B5EC3" w14:textId="77777777" w:rsidR="00CE3BAD" w:rsidRPr="00782BF9" w:rsidRDefault="006B5475">
            <w:pPr>
              <w:pStyle w:val="P68B1DB1-Normal10"/>
              <w:spacing w:after="0" w:line="240" w:lineRule="auto"/>
              <w:rPr>
                <w:noProof/>
                <w:lang w:val="bg-BG"/>
              </w:rPr>
            </w:pPr>
            <w:r w:rsidRPr="00782BF9">
              <w:rPr>
                <w:noProof/>
                <w:lang w:val="bg-BG"/>
              </w:rPr>
              <w:t>2024</w:t>
            </w:r>
          </w:p>
        </w:tc>
        <w:tc>
          <w:tcPr>
            <w:tcW w:w="4459" w:type="dxa"/>
            <w:tcBorders>
              <w:top w:val="nil"/>
              <w:left w:val="nil"/>
              <w:bottom w:val="single" w:sz="4" w:space="0" w:color="auto"/>
              <w:right w:val="single" w:sz="4" w:space="0" w:color="auto"/>
            </w:tcBorders>
            <w:shd w:val="clear" w:color="auto" w:fill="C6EFCE"/>
            <w:vAlign w:val="bottom"/>
            <w:hideMark/>
          </w:tcPr>
          <w:p w14:paraId="1BBF2739" w14:textId="1E418880" w:rsidR="00CE3BAD" w:rsidRPr="00782BF9" w:rsidRDefault="006B5475">
            <w:pPr>
              <w:pStyle w:val="P68B1DB1-Normal10"/>
              <w:spacing w:after="0" w:line="240" w:lineRule="auto"/>
              <w:jc w:val="both"/>
              <w:rPr>
                <w:noProof/>
                <w:lang w:val="bg-BG"/>
              </w:rPr>
            </w:pPr>
            <w:r w:rsidRPr="00782BF9">
              <w:rPr>
                <w:noProof/>
                <w:lang w:val="bg-BG"/>
              </w:rPr>
              <w:t>Закупуване и обновяване на най-малко 800 жилища, избрани в съответствие с публикувания план за намеса, и отдаването им под наем като социални жилища. Това включва интервенции като обновяване на поне една отопляема стая и една баня на жилище, както и подготовка на безопасни пунктове за събиране на електроенергия, огради за сгради, контрол на гризачите, инсектицид. Тези жилища след ремонта са собственост на организациите, изпълняващи програмата за наваксване, в продължение на най-малко 20 години и се управляват от агенция за социално жилищно настаняване по силата на договор за обществени услуги. Агенцията за социално жилищно настаняване разпределя жилищния фонд на отговарящите на условията наематели под формата на отдадени под наем имоти чрез система за възлагане на обществени поръчки.</w:t>
            </w:r>
          </w:p>
        </w:tc>
      </w:tr>
      <w:tr w:rsidR="00CE3BAD" w:rsidRPr="00782BF9" w14:paraId="6E7B13C7" w14:textId="77777777">
        <w:trPr>
          <w:trHeight w:val="283"/>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1D8C22F8" w14:textId="6D46BB1E" w:rsidR="00CE3BAD" w:rsidRPr="00782BF9" w:rsidRDefault="006B5475">
            <w:pPr>
              <w:pStyle w:val="P68B1DB1-Normal10"/>
              <w:spacing w:after="0" w:line="240" w:lineRule="auto"/>
              <w:rPr>
                <w:noProof/>
                <w:lang w:val="bg-BG"/>
              </w:rPr>
            </w:pPr>
            <w:r w:rsidRPr="00782BF9">
              <w:rPr>
                <w:noProof/>
                <w:lang w:val="bg-BG"/>
              </w:rPr>
              <w:t>54</w:t>
            </w:r>
          </w:p>
        </w:tc>
        <w:tc>
          <w:tcPr>
            <w:tcW w:w="1509" w:type="dxa"/>
            <w:tcBorders>
              <w:top w:val="single" w:sz="4" w:space="0" w:color="auto"/>
              <w:left w:val="nil"/>
              <w:bottom w:val="single" w:sz="4" w:space="0" w:color="auto"/>
              <w:right w:val="single" w:sz="4" w:space="0" w:color="auto"/>
            </w:tcBorders>
            <w:shd w:val="clear" w:color="auto" w:fill="C6EFCE"/>
            <w:vAlign w:val="center"/>
            <w:hideMark/>
          </w:tcPr>
          <w:p w14:paraId="242647C2" w14:textId="42E303FF" w:rsidR="00CE3BAD" w:rsidRPr="00782BF9" w:rsidRDefault="006B5475">
            <w:pPr>
              <w:pStyle w:val="P68B1DB1-Normal10"/>
              <w:spacing w:after="0" w:line="240" w:lineRule="auto"/>
              <w:rPr>
                <w:noProof/>
                <w:lang w:val="bg-BG"/>
              </w:rPr>
            </w:pPr>
            <w:r w:rsidRPr="00782BF9">
              <w:rPr>
                <w:noProof/>
                <w:lang w:val="bg-BG"/>
              </w:rPr>
              <w:t>C3.I1 Строителство и обновяване на социални жилища, подобряване на жилищните условия</w:t>
            </w:r>
          </w:p>
        </w:tc>
        <w:tc>
          <w:tcPr>
            <w:tcW w:w="1023" w:type="dxa"/>
            <w:tcBorders>
              <w:top w:val="nil"/>
              <w:left w:val="nil"/>
              <w:bottom w:val="single" w:sz="4" w:space="0" w:color="auto"/>
              <w:right w:val="single" w:sz="4" w:space="0" w:color="auto"/>
            </w:tcBorders>
            <w:shd w:val="clear" w:color="auto" w:fill="C6EFCE"/>
            <w:vAlign w:val="center"/>
            <w:hideMark/>
          </w:tcPr>
          <w:p w14:paraId="6B9B91C6" w14:textId="77777777" w:rsidR="00CE3BAD" w:rsidRPr="00782BF9" w:rsidRDefault="006B5475">
            <w:pPr>
              <w:pStyle w:val="P68B1DB1-Normal10"/>
              <w:spacing w:after="0" w:line="240" w:lineRule="auto"/>
              <w:rPr>
                <w:noProof/>
                <w:lang w:val="bg-BG"/>
              </w:rPr>
            </w:pPr>
            <w:r w:rsidRPr="00782BF9">
              <w:rPr>
                <w:noProof/>
                <w:lang w:val="bg-BG"/>
              </w:rPr>
              <w:t>Целеви</w:t>
            </w:r>
          </w:p>
        </w:tc>
        <w:tc>
          <w:tcPr>
            <w:tcW w:w="1984" w:type="dxa"/>
            <w:tcBorders>
              <w:top w:val="nil"/>
              <w:left w:val="nil"/>
              <w:bottom w:val="single" w:sz="4" w:space="0" w:color="auto"/>
              <w:right w:val="single" w:sz="4" w:space="0" w:color="auto"/>
            </w:tcBorders>
            <w:shd w:val="clear" w:color="auto" w:fill="C6EFCE"/>
            <w:vAlign w:val="center"/>
            <w:hideMark/>
          </w:tcPr>
          <w:p w14:paraId="4A3450E4" w14:textId="77777777" w:rsidR="00CE3BAD" w:rsidRPr="00782BF9" w:rsidRDefault="006B5475">
            <w:pPr>
              <w:pStyle w:val="P68B1DB1-Normal10"/>
              <w:spacing w:after="0" w:line="240" w:lineRule="auto"/>
              <w:rPr>
                <w:noProof/>
                <w:lang w:val="bg-BG"/>
              </w:rPr>
            </w:pPr>
            <w:r w:rsidRPr="00782BF9">
              <w:rPr>
                <w:noProof/>
                <w:lang w:val="bg-BG"/>
              </w:rPr>
              <w:t>Обновяване на допълнителни жилища</w:t>
            </w:r>
          </w:p>
        </w:tc>
        <w:tc>
          <w:tcPr>
            <w:tcW w:w="1540" w:type="dxa"/>
            <w:tcBorders>
              <w:top w:val="nil"/>
              <w:left w:val="nil"/>
              <w:bottom w:val="single" w:sz="4" w:space="0" w:color="auto"/>
              <w:right w:val="single" w:sz="4" w:space="0" w:color="auto"/>
            </w:tcBorders>
            <w:shd w:val="clear" w:color="auto" w:fill="C6EFCE"/>
            <w:vAlign w:val="center"/>
            <w:hideMark/>
          </w:tcPr>
          <w:p w14:paraId="54100D53" w14:textId="77777777" w:rsidR="00CE3BAD" w:rsidRPr="00782BF9" w:rsidRDefault="00CE3BAD">
            <w:pPr>
              <w:spacing w:after="0" w:line="240" w:lineRule="auto"/>
              <w:rPr>
                <w:noProof/>
                <w:sz w:val="18"/>
                <w:lang w:val="bg-BG"/>
              </w:rPr>
            </w:pPr>
          </w:p>
        </w:tc>
        <w:tc>
          <w:tcPr>
            <w:tcW w:w="1075" w:type="dxa"/>
            <w:tcBorders>
              <w:top w:val="nil"/>
              <w:left w:val="nil"/>
              <w:bottom w:val="single" w:sz="4" w:space="0" w:color="auto"/>
              <w:right w:val="single" w:sz="4" w:space="0" w:color="auto"/>
            </w:tcBorders>
            <w:shd w:val="clear" w:color="auto" w:fill="C6EFCE"/>
            <w:vAlign w:val="center"/>
            <w:hideMark/>
          </w:tcPr>
          <w:p w14:paraId="06DC0278" w14:textId="77777777" w:rsidR="00CE3BAD" w:rsidRPr="00782BF9" w:rsidRDefault="006B5475">
            <w:pPr>
              <w:pStyle w:val="P68B1DB1-Normal10"/>
              <w:spacing w:after="0" w:line="240" w:lineRule="auto"/>
              <w:rPr>
                <w:noProof/>
                <w:lang w:val="bg-BG"/>
              </w:rPr>
            </w:pPr>
            <w:r w:rsidRPr="00782BF9">
              <w:rPr>
                <w:noProof/>
                <w:lang w:val="bg-BG"/>
              </w:rPr>
              <w:t>Брой</w:t>
            </w:r>
          </w:p>
        </w:tc>
        <w:tc>
          <w:tcPr>
            <w:tcW w:w="1072" w:type="dxa"/>
            <w:tcBorders>
              <w:top w:val="nil"/>
              <w:left w:val="nil"/>
              <w:bottom w:val="single" w:sz="4" w:space="0" w:color="auto"/>
              <w:right w:val="single" w:sz="4" w:space="0" w:color="auto"/>
            </w:tcBorders>
            <w:shd w:val="clear" w:color="auto" w:fill="C6EFCE"/>
            <w:vAlign w:val="center"/>
            <w:hideMark/>
          </w:tcPr>
          <w:p w14:paraId="41577CDA" w14:textId="77777777" w:rsidR="00CE3BAD" w:rsidRPr="00782BF9" w:rsidRDefault="006B5475">
            <w:pPr>
              <w:pStyle w:val="P68B1DB1-Normal10"/>
              <w:spacing w:after="0" w:line="240" w:lineRule="auto"/>
              <w:rPr>
                <w:noProof/>
                <w:lang w:val="bg-BG"/>
              </w:rPr>
            </w:pPr>
            <w:r w:rsidRPr="00782BF9">
              <w:rPr>
                <w:noProof/>
                <w:lang w:val="bg-BG"/>
              </w:rPr>
              <w:t>800</w:t>
            </w:r>
          </w:p>
        </w:tc>
        <w:tc>
          <w:tcPr>
            <w:tcW w:w="1030" w:type="dxa"/>
            <w:tcBorders>
              <w:top w:val="nil"/>
              <w:left w:val="nil"/>
              <w:bottom w:val="single" w:sz="4" w:space="0" w:color="auto"/>
              <w:right w:val="single" w:sz="4" w:space="0" w:color="auto"/>
            </w:tcBorders>
            <w:shd w:val="clear" w:color="auto" w:fill="C6EFCE"/>
            <w:vAlign w:val="center"/>
            <w:hideMark/>
          </w:tcPr>
          <w:p w14:paraId="545D8711" w14:textId="218AF43D" w:rsidR="00CE3BAD" w:rsidRPr="00782BF9" w:rsidRDefault="006B5475">
            <w:pPr>
              <w:pStyle w:val="P68B1DB1-Normal10"/>
              <w:spacing w:after="0" w:line="240" w:lineRule="auto"/>
              <w:rPr>
                <w:noProof/>
                <w:lang w:val="bg-BG"/>
              </w:rPr>
            </w:pPr>
            <w:r w:rsidRPr="00782BF9">
              <w:rPr>
                <w:noProof/>
                <w:lang w:val="bg-BG"/>
              </w:rPr>
              <w:t>1</w:t>
            </w:r>
            <w:r w:rsidRPr="00782BF9">
              <w:rPr>
                <w:noProof/>
                <w:color w:val="006100"/>
                <w:lang w:val="bg-BG"/>
              </w:rPr>
              <w:t xml:space="preserve"> </w:t>
            </w:r>
            <w:r w:rsidRPr="00782BF9">
              <w:rPr>
                <w:noProof/>
                <w:lang w:val="bg-BG"/>
              </w:rPr>
              <w:t>600</w:t>
            </w:r>
          </w:p>
        </w:tc>
        <w:tc>
          <w:tcPr>
            <w:tcW w:w="806" w:type="dxa"/>
            <w:tcBorders>
              <w:top w:val="nil"/>
              <w:left w:val="nil"/>
              <w:bottom w:val="single" w:sz="4" w:space="0" w:color="auto"/>
              <w:right w:val="single" w:sz="4" w:space="0" w:color="auto"/>
            </w:tcBorders>
            <w:shd w:val="clear" w:color="auto" w:fill="C6EFCE"/>
            <w:vAlign w:val="center"/>
            <w:hideMark/>
          </w:tcPr>
          <w:p w14:paraId="23138925" w14:textId="77777777" w:rsidR="00CE3BAD" w:rsidRPr="00782BF9" w:rsidRDefault="006B5475">
            <w:pPr>
              <w:pStyle w:val="P68B1DB1-Normal10"/>
              <w:spacing w:after="0" w:line="240" w:lineRule="auto"/>
              <w:rPr>
                <w:noProof/>
                <w:lang w:val="bg-BG"/>
              </w:rPr>
            </w:pPr>
            <w:r w:rsidRPr="00782BF9">
              <w:rPr>
                <w:noProof/>
                <w:lang w:val="bg-BG"/>
              </w:rPr>
              <w:t>Т2 Г.</w:t>
            </w:r>
          </w:p>
        </w:tc>
        <w:tc>
          <w:tcPr>
            <w:tcW w:w="791" w:type="dxa"/>
            <w:tcBorders>
              <w:top w:val="nil"/>
              <w:left w:val="nil"/>
              <w:bottom w:val="single" w:sz="4" w:space="0" w:color="auto"/>
              <w:right w:val="single" w:sz="4" w:space="0" w:color="auto"/>
            </w:tcBorders>
            <w:shd w:val="clear" w:color="auto" w:fill="C6EFCE"/>
            <w:vAlign w:val="center"/>
            <w:hideMark/>
          </w:tcPr>
          <w:p w14:paraId="3F810E7B" w14:textId="77777777" w:rsidR="00CE3BAD" w:rsidRPr="00782BF9" w:rsidRDefault="006B5475">
            <w:pPr>
              <w:pStyle w:val="P68B1DB1-Normal10"/>
              <w:spacing w:after="0" w:line="240" w:lineRule="auto"/>
              <w:rPr>
                <w:noProof/>
                <w:lang w:val="bg-BG"/>
              </w:rPr>
            </w:pPr>
            <w:r w:rsidRPr="00782BF9">
              <w:rPr>
                <w:noProof/>
                <w:lang w:val="bg-BG"/>
              </w:rPr>
              <w:t>2026</w:t>
            </w:r>
          </w:p>
        </w:tc>
        <w:tc>
          <w:tcPr>
            <w:tcW w:w="4459" w:type="dxa"/>
            <w:tcBorders>
              <w:top w:val="nil"/>
              <w:left w:val="nil"/>
              <w:bottom w:val="single" w:sz="4" w:space="0" w:color="auto"/>
              <w:right w:val="single" w:sz="4" w:space="0" w:color="auto"/>
            </w:tcBorders>
            <w:shd w:val="clear" w:color="auto" w:fill="C6EFCE"/>
            <w:vAlign w:val="center"/>
            <w:hideMark/>
          </w:tcPr>
          <w:p w14:paraId="55156DCF" w14:textId="4D856110" w:rsidR="00CE3BAD" w:rsidRPr="00782BF9" w:rsidRDefault="006B5475">
            <w:pPr>
              <w:pStyle w:val="P68B1DB1-Normal10"/>
              <w:spacing w:after="0" w:line="240" w:lineRule="auto"/>
              <w:jc w:val="both"/>
              <w:rPr>
                <w:noProof/>
                <w:lang w:val="bg-BG"/>
              </w:rPr>
            </w:pPr>
            <w:r w:rsidRPr="00782BF9">
              <w:rPr>
                <w:noProof/>
                <w:lang w:val="bg-BG"/>
              </w:rPr>
              <w:t>Закупуване и обновяване на най-малко 800 допълнителни жилища, избрани в съответствие с публикувания план за намеса. Това включва интервенции като обновяване на поне една отопляема стая, една баня на жилище, подготовка на безопасни пунктове за събиране на електроенергия, огради за сгради, контрол на гризачите, инсектицид. Тези жилища след ремонта се притежават, управляват и отдават под наем на допустими наематели в съответствие със спецификациите в ключов етап 53.</w:t>
            </w:r>
          </w:p>
          <w:p w14:paraId="322271F8" w14:textId="77777777" w:rsidR="00CE3BAD" w:rsidRPr="00782BF9" w:rsidRDefault="00CE3BAD">
            <w:pPr>
              <w:spacing w:after="0" w:line="240" w:lineRule="auto"/>
              <w:rPr>
                <w:noProof/>
                <w:sz w:val="18"/>
                <w:lang w:val="bg-BG"/>
              </w:rPr>
            </w:pPr>
          </w:p>
        </w:tc>
      </w:tr>
      <w:tr w:rsidR="00CE3BAD" w:rsidRPr="00782BF9" w14:paraId="2A60F802" w14:textId="77777777">
        <w:trPr>
          <w:trHeight w:val="1550"/>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02B2AD96" w14:textId="10E983B3" w:rsidR="00CE3BAD" w:rsidRPr="00782BF9" w:rsidRDefault="006B5475">
            <w:pPr>
              <w:pStyle w:val="P68B1DB1-Normal10"/>
              <w:spacing w:after="0" w:line="240" w:lineRule="auto"/>
              <w:rPr>
                <w:noProof/>
                <w:lang w:val="bg-BG"/>
              </w:rPr>
            </w:pPr>
            <w:r w:rsidRPr="00782BF9">
              <w:rPr>
                <w:noProof/>
                <w:lang w:val="bg-BG"/>
              </w:rPr>
              <w:t>55</w:t>
            </w:r>
          </w:p>
        </w:tc>
        <w:tc>
          <w:tcPr>
            <w:tcW w:w="1509" w:type="dxa"/>
            <w:tcBorders>
              <w:top w:val="single" w:sz="4" w:space="0" w:color="auto"/>
              <w:left w:val="nil"/>
              <w:bottom w:val="single" w:sz="4" w:space="0" w:color="auto"/>
              <w:right w:val="single" w:sz="4" w:space="0" w:color="auto"/>
            </w:tcBorders>
            <w:shd w:val="clear" w:color="auto" w:fill="C6EFCE"/>
            <w:vAlign w:val="center"/>
            <w:hideMark/>
          </w:tcPr>
          <w:p w14:paraId="1BBA0360" w14:textId="30AECB99" w:rsidR="00CE3BAD" w:rsidRPr="00782BF9" w:rsidRDefault="006B5475">
            <w:pPr>
              <w:pStyle w:val="P68B1DB1-Normal10"/>
              <w:spacing w:after="0" w:line="240" w:lineRule="auto"/>
              <w:rPr>
                <w:noProof/>
                <w:lang w:val="bg-BG"/>
              </w:rPr>
            </w:pPr>
            <w:r w:rsidRPr="00782BF9">
              <w:rPr>
                <w:noProof/>
                <w:lang w:val="bg-BG"/>
              </w:rPr>
              <w:t>C3.I1 Строителство и обновяване на социални жилища, подобряване на жилищните условия</w:t>
            </w:r>
          </w:p>
        </w:tc>
        <w:tc>
          <w:tcPr>
            <w:tcW w:w="1023" w:type="dxa"/>
            <w:tcBorders>
              <w:top w:val="nil"/>
              <w:left w:val="nil"/>
              <w:bottom w:val="single" w:sz="4" w:space="0" w:color="auto"/>
              <w:right w:val="single" w:sz="4" w:space="0" w:color="auto"/>
            </w:tcBorders>
            <w:shd w:val="clear" w:color="auto" w:fill="C6EFCE"/>
            <w:vAlign w:val="center"/>
            <w:hideMark/>
          </w:tcPr>
          <w:p w14:paraId="4A202FFA" w14:textId="77777777" w:rsidR="00CE3BAD" w:rsidRPr="00782BF9" w:rsidRDefault="006B5475">
            <w:pPr>
              <w:pStyle w:val="P68B1DB1-Normal10"/>
              <w:spacing w:after="0" w:line="240" w:lineRule="auto"/>
              <w:rPr>
                <w:noProof/>
                <w:lang w:val="bg-BG"/>
              </w:rPr>
            </w:pPr>
            <w:r w:rsidRPr="00782BF9">
              <w:rPr>
                <w:noProof/>
                <w:lang w:val="bg-BG"/>
              </w:rPr>
              <w:t>Целеви</w:t>
            </w:r>
          </w:p>
        </w:tc>
        <w:tc>
          <w:tcPr>
            <w:tcW w:w="1984" w:type="dxa"/>
            <w:tcBorders>
              <w:top w:val="single" w:sz="4" w:space="0" w:color="auto"/>
              <w:left w:val="nil"/>
              <w:bottom w:val="single" w:sz="4" w:space="0" w:color="auto"/>
              <w:right w:val="single" w:sz="4" w:space="0" w:color="auto"/>
            </w:tcBorders>
            <w:shd w:val="clear" w:color="auto" w:fill="C6EFCE"/>
            <w:vAlign w:val="center"/>
            <w:hideMark/>
          </w:tcPr>
          <w:p w14:paraId="4FDD59D8" w14:textId="77777777" w:rsidR="00CE3BAD" w:rsidRPr="00782BF9" w:rsidRDefault="006B5475">
            <w:pPr>
              <w:pStyle w:val="P68B1DB1-Normal10"/>
              <w:spacing w:after="0" w:line="240" w:lineRule="auto"/>
              <w:rPr>
                <w:noProof/>
                <w:lang w:val="bg-BG"/>
              </w:rPr>
            </w:pPr>
            <w:r w:rsidRPr="00782BF9">
              <w:rPr>
                <w:noProof/>
                <w:lang w:val="bg-BG"/>
              </w:rPr>
              <w:t>Изграждане на нови социални жилища</w:t>
            </w:r>
          </w:p>
        </w:tc>
        <w:tc>
          <w:tcPr>
            <w:tcW w:w="1540" w:type="dxa"/>
            <w:tcBorders>
              <w:top w:val="nil"/>
              <w:left w:val="nil"/>
              <w:bottom w:val="single" w:sz="4" w:space="0" w:color="auto"/>
              <w:right w:val="single" w:sz="4" w:space="0" w:color="auto"/>
            </w:tcBorders>
            <w:shd w:val="clear" w:color="auto" w:fill="C6EFCE"/>
            <w:vAlign w:val="bottom"/>
            <w:hideMark/>
          </w:tcPr>
          <w:p w14:paraId="79CC8D01" w14:textId="77777777" w:rsidR="00CE3BAD" w:rsidRPr="00782BF9" w:rsidRDefault="00CE3BAD">
            <w:pPr>
              <w:spacing w:after="0" w:line="240" w:lineRule="auto"/>
              <w:rPr>
                <w:noProof/>
                <w:sz w:val="18"/>
                <w:lang w:val="bg-BG"/>
              </w:rPr>
            </w:pPr>
          </w:p>
        </w:tc>
        <w:tc>
          <w:tcPr>
            <w:tcW w:w="1075" w:type="dxa"/>
            <w:tcBorders>
              <w:top w:val="nil"/>
              <w:left w:val="nil"/>
              <w:bottom w:val="single" w:sz="4" w:space="0" w:color="auto"/>
              <w:right w:val="single" w:sz="4" w:space="0" w:color="auto"/>
            </w:tcBorders>
            <w:shd w:val="clear" w:color="auto" w:fill="C6EFCE"/>
            <w:vAlign w:val="center"/>
            <w:hideMark/>
          </w:tcPr>
          <w:p w14:paraId="374A61E4" w14:textId="77777777" w:rsidR="00CE3BAD" w:rsidRPr="00782BF9" w:rsidRDefault="006B5475">
            <w:pPr>
              <w:pStyle w:val="P68B1DB1-Normal10"/>
              <w:spacing w:after="0" w:line="240" w:lineRule="auto"/>
              <w:rPr>
                <w:noProof/>
                <w:lang w:val="bg-BG"/>
              </w:rPr>
            </w:pPr>
            <w:r w:rsidRPr="00782BF9">
              <w:rPr>
                <w:noProof/>
                <w:lang w:val="bg-BG"/>
              </w:rPr>
              <w:t>Брой</w:t>
            </w:r>
          </w:p>
        </w:tc>
        <w:tc>
          <w:tcPr>
            <w:tcW w:w="1072" w:type="dxa"/>
            <w:tcBorders>
              <w:top w:val="nil"/>
              <w:left w:val="nil"/>
              <w:bottom w:val="single" w:sz="4" w:space="0" w:color="auto"/>
              <w:right w:val="single" w:sz="4" w:space="0" w:color="auto"/>
            </w:tcBorders>
            <w:shd w:val="clear" w:color="auto" w:fill="C6EFCE"/>
            <w:vAlign w:val="center"/>
            <w:hideMark/>
          </w:tcPr>
          <w:p w14:paraId="3B9A2B7D" w14:textId="77777777" w:rsidR="00CE3BAD" w:rsidRPr="00782BF9" w:rsidRDefault="006B5475">
            <w:pPr>
              <w:pStyle w:val="P68B1DB1-Normal16"/>
              <w:spacing w:after="0" w:line="240" w:lineRule="auto"/>
              <w:rPr>
                <w:noProof/>
                <w:lang w:val="bg-BG"/>
              </w:rPr>
            </w:pPr>
            <w:r w:rsidRPr="00782BF9">
              <w:rPr>
                <w:noProof/>
                <w:lang w:val="bg-BG"/>
              </w:rPr>
              <w:t>0</w:t>
            </w:r>
          </w:p>
        </w:tc>
        <w:tc>
          <w:tcPr>
            <w:tcW w:w="1030" w:type="dxa"/>
            <w:tcBorders>
              <w:top w:val="nil"/>
              <w:left w:val="nil"/>
              <w:bottom w:val="single" w:sz="4" w:space="0" w:color="auto"/>
              <w:right w:val="single" w:sz="4" w:space="0" w:color="auto"/>
            </w:tcBorders>
            <w:shd w:val="clear" w:color="auto" w:fill="C6EFCE"/>
            <w:vAlign w:val="center"/>
            <w:hideMark/>
          </w:tcPr>
          <w:p w14:paraId="24833513" w14:textId="77777777" w:rsidR="00CE3BAD" w:rsidRPr="00782BF9" w:rsidRDefault="006B5475">
            <w:pPr>
              <w:pStyle w:val="P68B1DB1-Normal10"/>
              <w:spacing w:after="0" w:line="240" w:lineRule="auto"/>
              <w:rPr>
                <w:noProof/>
                <w:lang w:val="bg-BG"/>
              </w:rPr>
            </w:pPr>
            <w:r w:rsidRPr="00782BF9">
              <w:rPr>
                <w:noProof/>
                <w:lang w:val="bg-BG"/>
              </w:rPr>
              <w:t>200</w:t>
            </w:r>
          </w:p>
        </w:tc>
        <w:tc>
          <w:tcPr>
            <w:tcW w:w="806" w:type="dxa"/>
            <w:tcBorders>
              <w:top w:val="nil"/>
              <w:left w:val="nil"/>
              <w:bottom w:val="single" w:sz="4" w:space="0" w:color="auto"/>
              <w:right w:val="single" w:sz="4" w:space="0" w:color="auto"/>
            </w:tcBorders>
            <w:shd w:val="clear" w:color="auto" w:fill="C6EFCE"/>
            <w:vAlign w:val="center"/>
            <w:hideMark/>
          </w:tcPr>
          <w:p w14:paraId="5897EB80" w14:textId="77777777" w:rsidR="00CE3BAD" w:rsidRPr="00782BF9" w:rsidRDefault="006B5475">
            <w:pPr>
              <w:pStyle w:val="P68B1DB1-Normal10"/>
              <w:spacing w:after="0" w:line="240" w:lineRule="auto"/>
              <w:rPr>
                <w:noProof/>
                <w:lang w:val="bg-BG"/>
              </w:rPr>
            </w:pPr>
            <w:r w:rsidRPr="00782BF9">
              <w:rPr>
                <w:noProof/>
                <w:lang w:val="bg-BG"/>
              </w:rPr>
              <w:t>Т4 Г.</w:t>
            </w:r>
          </w:p>
        </w:tc>
        <w:tc>
          <w:tcPr>
            <w:tcW w:w="791" w:type="dxa"/>
            <w:tcBorders>
              <w:top w:val="nil"/>
              <w:left w:val="nil"/>
              <w:bottom w:val="single" w:sz="4" w:space="0" w:color="auto"/>
              <w:right w:val="single" w:sz="4" w:space="0" w:color="auto"/>
            </w:tcBorders>
            <w:shd w:val="clear" w:color="auto" w:fill="C6EFCE"/>
            <w:vAlign w:val="center"/>
            <w:hideMark/>
          </w:tcPr>
          <w:p w14:paraId="57325FEC" w14:textId="77777777" w:rsidR="00CE3BAD" w:rsidRPr="00782BF9" w:rsidRDefault="006B5475">
            <w:pPr>
              <w:pStyle w:val="P68B1DB1-Normal10"/>
              <w:spacing w:after="0" w:line="240" w:lineRule="auto"/>
              <w:rPr>
                <w:noProof/>
                <w:lang w:val="bg-BG"/>
              </w:rPr>
            </w:pPr>
            <w:r w:rsidRPr="00782BF9">
              <w:rPr>
                <w:noProof/>
                <w:lang w:val="bg-BG"/>
              </w:rPr>
              <w:t>2024</w:t>
            </w:r>
          </w:p>
        </w:tc>
        <w:tc>
          <w:tcPr>
            <w:tcW w:w="4459" w:type="dxa"/>
            <w:tcBorders>
              <w:top w:val="nil"/>
              <w:left w:val="nil"/>
              <w:bottom w:val="single" w:sz="4" w:space="0" w:color="auto"/>
              <w:right w:val="single" w:sz="4" w:space="0" w:color="auto"/>
            </w:tcBorders>
            <w:shd w:val="clear" w:color="auto" w:fill="C6EFCE"/>
            <w:vAlign w:val="center"/>
            <w:hideMark/>
          </w:tcPr>
          <w:p w14:paraId="4296B315" w14:textId="3FA298B8" w:rsidR="00CE3BAD" w:rsidRPr="00782BF9" w:rsidRDefault="006B5475">
            <w:pPr>
              <w:pStyle w:val="P68B1DB1-Normal10"/>
              <w:spacing w:after="0" w:line="240" w:lineRule="auto"/>
              <w:jc w:val="both"/>
              <w:rPr>
                <w:noProof/>
                <w:lang w:val="bg-BG"/>
              </w:rPr>
            </w:pPr>
            <w:r w:rsidRPr="00782BF9">
              <w:rPr>
                <w:noProof/>
                <w:lang w:val="bg-BG"/>
              </w:rPr>
              <w:t>Изграждане на най-малко 200 нови социални жилища въз основа на публикувания план за намеса. Новите сгради трябва да отговарят на изискванията за сгради с почти нулево потребление на енергия. Изграждането на нови къщи се извършва възможно най-централизирано в рамките на дадена община, за да се използват разширени къщи и празни парцели земя. Тези новопостроени жилища се притежават, управляват и отдават под наем на допустими наематели в съответствие със спецификациите в ключов етап 53.</w:t>
            </w:r>
          </w:p>
        </w:tc>
      </w:tr>
      <w:tr w:rsidR="00CE3BAD" w:rsidRPr="00782BF9" w14:paraId="2F139572" w14:textId="77777777">
        <w:trPr>
          <w:trHeight w:val="300"/>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65173439" w14:textId="5BC995EC" w:rsidR="00CE3BAD" w:rsidRPr="00782BF9" w:rsidRDefault="006B5475">
            <w:pPr>
              <w:pStyle w:val="P68B1DB1-Normal10"/>
              <w:spacing w:after="0" w:line="240" w:lineRule="auto"/>
              <w:rPr>
                <w:noProof/>
                <w:lang w:val="bg-BG"/>
              </w:rPr>
            </w:pPr>
            <w:r w:rsidRPr="00782BF9">
              <w:rPr>
                <w:noProof/>
                <w:lang w:val="bg-BG"/>
              </w:rPr>
              <w:t>56</w:t>
            </w:r>
          </w:p>
        </w:tc>
        <w:tc>
          <w:tcPr>
            <w:tcW w:w="1509" w:type="dxa"/>
            <w:tcBorders>
              <w:top w:val="nil"/>
              <w:left w:val="nil"/>
              <w:bottom w:val="single" w:sz="4" w:space="0" w:color="auto"/>
              <w:right w:val="single" w:sz="4" w:space="0" w:color="auto"/>
            </w:tcBorders>
            <w:shd w:val="clear" w:color="auto" w:fill="C6EFCE"/>
            <w:vAlign w:val="center"/>
            <w:hideMark/>
          </w:tcPr>
          <w:p w14:paraId="463B6432" w14:textId="3CFD1D8A" w:rsidR="00CE3BAD" w:rsidRPr="00782BF9" w:rsidRDefault="006B5475">
            <w:pPr>
              <w:pStyle w:val="P68B1DB1-Normal10"/>
              <w:spacing w:after="0" w:line="240" w:lineRule="auto"/>
              <w:rPr>
                <w:noProof/>
                <w:lang w:val="bg-BG"/>
              </w:rPr>
            </w:pPr>
            <w:r w:rsidRPr="00782BF9">
              <w:rPr>
                <w:noProof/>
                <w:lang w:val="bg-BG"/>
              </w:rPr>
              <w:t>C3.I1 Строителство и обновяване на социални жилища, подобряване на жилищните условия</w:t>
            </w:r>
          </w:p>
        </w:tc>
        <w:tc>
          <w:tcPr>
            <w:tcW w:w="1023" w:type="dxa"/>
            <w:tcBorders>
              <w:top w:val="nil"/>
              <w:left w:val="nil"/>
              <w:bottom w:val="single" w:sz="4" w:space="0" w:color="auto"/>
              <w:right w:val="single" w:sz="4" w:space="0" w:color="auto"/>
            </w:tcBorders>
            <w:shd w:val="clear" w:color="auto" w:fill="C6EFCE"/>
            <w:vAlign w:val="center"/>
            <w:hideMark/>
          </w:tcPr>
          <w:p w14:paraId="6F7FA4CF" w14:textId="77777777" w:rsidR="00CE3BAD" w:rsidRPr="00782BF9" w:rsidRDefault="006B5475">
            <w:pPr>
              <w:pStyle w:val="P68B1DB1-Normal10"/>
              <w:spacing w:after="0" w:line="240" w:lineRule="auto"/>
              <w:rPr>
                <w:noProof/>
                <w:lang w:val="bg-BG"/>
              </w:rPr>
            </w:pPr>
            <w:r w:rsidRPr="00782BF9">
              <w:rPr>
                <w:noProof/>
                <w:lang w:val="bg-BG"/>
              </w:rPr>
              <w:t xml:space="preserve">Целеви </w:t>
            </w:r>
          </w:p>
        </w:tc>
        <w:tc>
          <w:tcPr>
            <w:tcW w:w="1984" w:type="dxa"/>
            <w:tcBorders>
              <w:top w:val="nil"/>
              <w:left w:val="nil"/>
              <w:bottom w:val="single" w:sz="4" w:space="0" w:color="auto"/>
              <w:right w:val="single" w:sz="4" w:space="0" w:color="auto"/>
            </w:tcBorders>
            <w:shd w:val="clear" w:color="auto" w:fill="C6EFCE"/>
            <w:vAlign w:val="center"/>
            <w:hideMark/>
          </w:tcPr>
          <w:p w14:paraId="0EE28074" w14:textId="77777777" w:rsidR="00CE3BAD" w:rsidRPr="00782BF9" w:rsidRDefault="006B5475">
            <w:pPr>
              <w:pStyle w:val="P68B1DB1-Normal10"/>
              <w:spacing w:after="0" w:line="240" w:lineRule="auto"/>
              <w:rPr>
                <w:noProof/>
                <w:lang w:val="bg-BG"/>
              </w:rPr>
            </w:pPr>
            <w:r w:rsidRPr="00782BF9">
              <w:rPr>
                <w:noProof/>
                <w:lang w:val="bg-BG"/>
              </w:rPr>
              <w:t xml:space="preserve">Изграждане на допълнителни нови социални жилища </w:t>
            </w:r>
          </w:p>
        </w:tc>
        <w:tc>
          <w:tcPr>
            <w:tcW w:w="1540" w:type="dxa"/>
            <w:tcBorders>
              <w:top w:val="nil"/>
              <w:left w:val="nil"/>
              <w:bottom w:val="single" w:sz="4" w:space="0" w:color="auto"/>
              <w:right w:val="single" w:sz="4" w:space="0" w:color="auto"/>
            </w:tcBorders>
            <w:shd w:val="clear" w:color="auto" w:fill="C6EFCE"/>
            <w:vAlign w:val="center"/>
            <w:hideMark/>
          </w:tcPr>
          <w:p w14:paraId="2266A14F" w14:textId="77777777" w:rsidR="00CE3BAD" w:rsidRPr="00782BF9" w:rsidRDefault="00CE3BAD">
            <w:pPr>
              <w:spacing w:after="0" w:line="240" w:lineRule="auto"/>
              <w:rPr>
                <w:noProof/>
                <w:sz w:val="18"/>
                <w:lang w:val="bg-BG"/>
              </w:rPr>
            </w:pPr>
          </w:p>
        </w:tc>
        <w:tc>
          <w:tcPr>
            <w:tcW w:w="1075" w:type="dxa"/>
            <w:tcBorders>
              <w:top w:val="nil"/>
              <w:left w:val="nil"/>
              <w:bottom w:val="single" w:sz="4" w:space="0" w:color="auto"/>
              <w:right w:val="single" w:sz="4" w:space="0" w:color="auto"/>
            </w:tcBorders>
            <w:shd w:val="clear" w:color="auto" w:fill="C6EFCE"/>
            <w:vAlign w:val="center"/>
            <w:hideMark/>
          </w:tcPr>
          <w:p w14:paraId="56470BE5" w14:textId="77777777" w:rsidR="00CE3BAD" w:rsidRPr="00782BF9" w:rsidRDefault="006B5475">
            <w:pPr>
              <w:pStyle w:val="P68B1DB1-Normal10"/>
              <w:spacing w:after="0" w:line="240" w:lineRule="auto"/>
              <w:rPr>
                <w:noProof/>
                <w:lang w:val="bg-BG"/>
              </w:rPr>
            </w:pPr>
            <w:r w:rsidRPr="00782BF9">
              <w:rPr>
                <w:noProof/>
                <w:lang w:val="bg-BG"/>
              </w:rPr>
              <w:t>Брой</w:t>
            </w:r>
          </w:p>
        </w:tc>
        <w:tc>
          <w:tcPr>
            <w:tcW w:w="1072" w:type="dxa"/>
            <w:tcBorders>
              <w:top w:val="nil"/>
              <w:left w:val="nil"/>
              <w:bottom w:val="single" w:sz="4" w:space="0" w:color="auto"/>
              <w:right w:val="single" w:sz="4" w:space="0" w:color="auto"/>
            </w:tcBorders>
            <w:shd w:val="clear" w:color="auto" w:fill="C6EFCE"/>
            <w:vAlign w:val="center"/>
            <w:hideMark/>
          </w:tcPr>
          <w:p w14:paraId="7EA032DE" w14:textId="77777777" w:rsidR="00CE3BAD" w:rsidRPr="00782BF9" w:rsidRDefault="006B5475">
            <w:pPr>
              <w:pStyle w:val="P68B1DB1-Normal10"/>
              <w:spacing w:after="0" w:line="240" w:lineRule="auto"/>
              <w:rPr>
                <w:noProof/>
                <w:lang w:val="bg-BG"/>
              </w:rPr>
            </w:pPr>
            <w:r w:rsidRPr="00782BF9">
              <w:rPr>
                <w:noProof/>
                <w:lang w:val="bg-BG"/>
              </w:rPr>
              <w:t>200</w:t>
            </w:r>
          </w:p>
        </w:tc>
        <w:tc>
          <w:tcPr>
            <w:tcW w:w="1030" w:type="dxa"/>
            <w:tcBorders>
              <w:top w:val="nil"/>
              <w:left w:val="nil"/>
              <w:bottom w:val="single" w:sz="4" w:space="0" w:color="auto"/>
              <w:right w:val="single" w:sz="4" w:space="0" w:color="auto"/>
            </w:tcBorders>
            <w:shd w:val="clear" w:color="auto" w:fill="C6EFCE"/>
            <w:vAlign w:val="center"/>
            <w:hideMark/>
          </w:tcPr>
          <w:p w14:paraId="62CC7751" w14:textId="77777777" w:rsidR="00CE3BAD" w:rsidRPr="00782BF9" w:rsidRDefault="006B5475">
            <w:pPr>
              <w:pStyle w:val="P68B1DB1-Normal10"/>
              <w:spacing w:after="0" w:line="240" w:lineRule="auto"/>
              <w:rPr>
                <w:noProof/>
                <w:lang w:val="bg-BG"/>
              </w:rPr>
            </w:pPr>
            <w:r w:rsidRPr="00782BF9">
              <w:rPr>
                <w:noProof/>
                <w:lang w:val="bg-BG"/>
              </w:rPr>
              <w:t>400</w:t>
            </w:r>
          </w:p>
        </w:tc>
        <w:tc>
          <w:tcPr>
            <w:tcW w:w="806" w:type="dxa"/>
            <w:tcBorders>
              <w:top w:val="nil"/>
              <w:left w:val="nil"/>
              <w:bottom w:val="single" w:sz="4" w:space="0" w:color="auto"/>
              <w:right w:val="single" w:sz="4" w:space="0" w:color="auto"/>
            </w:tcBorders>
            <w:shd w:val="clear" w:color="auto" w:fill="C6EFCE"/>
            <w:vAlign w:val="center"/>
            <w:hideMark/>
          </w:tcPr>
          <w:p w14:paraId="590A4441" w14:textId="77777777" w:rsidR="00CE3BAD" w:rsidRPr="00782BF9" w:rsidRDefault="006B5475">
            <w:pPr>
              <w:pStyle w:val="P68B1DB1-Normal10"/>
              <w:spacing w:after="0" w:line="240" w:lineRule="auto"/>
              <w:rPr>
                <w:noProof/>
                <w:lang w:val="bg-BG"/>
              </w:rPr>
            </w:pPr>
            <w:r w:rsidRPr="00782BF9">
              <w:rPr>
                <w:noProof/>
                <w:lang w:val="bg-BG"/>
              </w:rPr>
              <w:t>Т2 Г.</w:t>
            </w:r>
          </w:p>
        </w:tc>
        <w:tc>
          <w:tcPr>
            <w:tcW w:w="791" w:type="dxa"/>
            <w:tcBorders>
              <w:top w:val="nil"/>
              <w:left w:val="nil"/>
              <w:bottom w:val="single" w:sz="4" w:space="0" w:color="auto"/>
              <w:right w:val="single" w:sz="4" w:space="0" w:color="auto"/>
            </w:tcBorders>
            <w:shd w:val="clear" w:color="auto" w:fill="C6EFCE"/>
            <w:vAlign w:val="center"/>
            <w:hideMark/>
          </w:tcPr>
          <w:p w14:paraId="79E945AE" w14:textId="77777777" w:rsidR="00CE3BAD" w:rsidRPr="00782BF9" w:rsidRDefault="006B5475">
            <w:pPr>
              <w:pStyle w:val="P68B1DB1-Normal10"/>
              <w:spacing w:after="0" w:line="240" w:lineRule="auto"/>
              <w:rPr>
                <w:noProof/>
                <w:lang w:val="bg-BG"/>
              </w:rPr>
            </w:pPr>
            <w:r w:rsidRPr="00782BF9">
              <w:rPr>
                <w:noProof/>
                <w:lang w:val="bg-BG"/>
              </w:rPr>
              <w:t>2026</w:t>
            </w:r>
          </w:p>
        </w:tc>
        <w:tc>
          <w:tcPr>
            <w:tcW w:w="4459" w:type="dxa"/>
            <w:tcBorders>
              <w:top w:val="nil"/>
              <w:left w:val="nil"/>
              <w:bottom w:val="single" w:sz="4" w:space="0" w:color="auto"/>
              <w:right w:val="single" w:sz="4" w:space="0" w:color="auto"/>
            </w:tcBorders>
            <w:shd w:val="clear" w:color="auto" w:fill="C6EFCE"/>
            <w:vAlign w:val="center"/>
            <w:hideMark/>
          </w:tcPr>
          <w:p w14:paraId="05231CC6" w14:textId="5F8958B9" w:rsidR="00CE3BAD" w:rsidRPr="00782BF9" w:rsidRDefault="006B5475">
            <w:pPr>
              <w:pStyle w:val="P68B1DB1-Normal10"/>
              <w:spacing w:after="0" w:line="240" w:lineRule="auto"/>
              <w:jc w:val="both"/>
              <w:rPr>
                <w:noProof/>
                <w:lang w:val="bg-BG"/>
              </w:rPr>
            </w:pPr>
            <w:r w:rsidRPr="00782BF9">
              <w:rPr>
                <w:noProof/>
                <w:lang w:val="bg-BG"/>
              </w:rPr>
              <w:t>Изграждане на поне 200 допълнителни нови социални жилища въз основа на публикувания план за намеса. Новите сгради трябва да отговарят на изискванията за сгради с почти нулево потребление на енергия. Изграждането на нови къщи се извършва възможно най-централизирано в рамките на дадена община, за да се използват разширени къщи и празни парцели земя. Тези новопостроени жилища се притежават, управляват и отдават под наем на допустими наематели в съответствие със спецификациите в ключов етап 53.</w:t>
            </w:r>
          </w:p>
        </w:tc>
      </w:tr>
      <w:tr w:rsidR="00CE3BAD" w:rsidRPr="00782BF9" w14:paraId="2848189D" w14:textId="77777777">
        <w:trPr>
          <w:trHeight w:val="585"/>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1D591520" w14:textId="331D90D1" w:rsidR="00CE3BAD" w:rsidRPr="00782BF9" w:rsidRDefault="006B5475">
            <w:pPr>
              <w:pStyle w:val="P68B1DB1-Normal10"/>
              <w:spacing w:after="0" w:line="240" w:lineRule="auto"/>
              <w:rPr>
                <w:noProof/>
                <w:lang w:val="bg-BG"/>
              </w:rPr>
            </w:pPr>
            <w:r w:rsidRPr="00782BF9">
              <w:rPr>
                <w:noProof/>
                <w:lang w:val="bg-BG"/>
              </w:rPr>
              <w:t>57</w:t>
            </w:r>
          </w:p>
        </w:tc>
        <w:tc>
          <w:tcPr>
            <w:tcW w:w="1509" w:type="dxa"/>
            <w:tcBorders>
              <w:top w:val="single" w:sz="4" w:space="0" w:color="auto"/>
              <w:left w:val="nil"/>
              <w:bottom w:val="single" w:sz="4" w:space="0" w:color="auto"/>
              <w:right w:val="single" w:sz="4" w:space="0" w:color="auto"/>
            </w:tcBorders>
            <w:shd w:val="clear" w:color="auto" w:fill="C6EFCE"/>
            <w:vAlign w:val="center"/>
            <w:hideMark/>
          </w:tcPr>
          <w:p w14:paraId="7D8C36E0" w14:textId="74A24812" w:rsidR="00CE3BAD" w:rsidRPr="00782BF9" w:rsidRDefault="006B5475">
            <w:pPr>
              <w:pStyle w:val="P68B1DB1-Normal10"/>
              <w:spacing w:after="0" w:line="240" w:lineRule="auto"/>
              <w:rPr>
                <w:noProof/>
                <w:lang w:val="bg-BG"/>
              </w:rPr>
            </w:pPr>
            <w:r w:rsidRPr="00782BF9">
              <w:rPr>
                <w:noProof/>
                <w:lang w:val="bg-BG"/>
              </w:rPr>
              <w:t>C3.I2 Производство и използване на енергия от възобновяеми източници в общини в неравностойно положение</w:t>
            </w:r>
          </w:p>
        </w:tc>
        <w:tc>
          <w:tcPr>
            <w:tcW w:w="1023" w:type="dxa"/>
            <w:tcBorders>
              <w:top w:val="nil"/>
              <w:left w:val="nil"/>
              <w:bottom w:val="single" w:sz="4" w:space="0" w:color="auto"/>
              <w:right w:val="single" w:sz="4" w:space="0" w:color="auto"/>
            </w:tcBorders>
            <w:shd w:val="clear" w:color="auto" w:fill="C6EFCE"/>
            <w:vAlign w:val="center"/>
            <w:hideMark/>
          </w:tcPr>
          <w:p w14:paraId="07222FCE" w14:textId="77777777" w:rsidR="00CE3BAD" w:rsidRPr="00782BF9" w:rsidRDefault="006B5475">
            <w:pPr>
              <w:pStyle w:val="P68B1DB1-Normal10"/>
              <w:spacing w:after="0" w:line="240" w:lineRule="auto"/>
              <w:rPr>
                <w:noProof/>
                <w:lang w:val="bg-BG"/>
              </w:rPr>
            </w:pPr>
            <w:r w:rsidRPr="00782BF9">
              <w:rPr>
                <w:noProof/>
                <w:lang w:val="bg-BG"/>
              </w:rPr>
              <w:t xml:space="preserve">Целеви </w:t>
            </w:r>
          </w:p>
        </w:tc>
        <w:tc>
          <w:tcPr>
            <w:tcW w:w="1984" w:type="dxa"/>
            <w:tcBorders>
              <w:top w:val="single" w:sz="4" w:space="0" w:color="auto"/>
              <w:left w:val="nil"/>
              <w:bottom w:val="single" w:sz="4" w:space="0" w:color="auto"/>
              <w:right w:val="single" w:sz="4" w:space="0" w:color="auto"/>
            </w:tcBorders>
            <w:shd w:val="clear" w:color="auto" w:fill="C6EFCE"/>
            <w:vAlign w:val="center"/>
            <w:hideMark/>
          </w:tcPr>
          <w:p w14:paraId="4590B233" w14:textId="77777777" w:rsidR="00CE3BAD" w:rsidRPr="00782BF9" w:rsidRDefault="006B5475">
            <w:pPr>
              <w:pStyle w:val="P68B1DB1-Normal10"/>
              <w:spacing w:after="0" w:line="240" w:lineRule="auto"/>
              <w:rPr>
                <w:noProof/>
                <w:lang w:val="bg-BG"/>
              </w:rPr>
            </w:pPr>
            <w:r w:rsidRPr="00782BF9">
              <w:rPr>
                <w:noProof/>
                <w:lang w:val="bg-BG"/>
              </w:rPr>
              <w:t>Инсталиране на мощности за производство на енергия от възобновяеми източници във или в полза на общини в неравностойно положение</w:t>
            </w:r>
          </w:p>
        </w:tc>
        <w:tc>
          <w:tcPr>
            <w:tcW w:w="1540" w:type="dxa"/>
            <w:tcBorders>
              <w:top w:val="nil"/>
              <w:left w:val="nil"/>
              <w:bottom w:val="single" w:sz="4" w:space="0" w:color="auto"/>
              <w:right w:val="single" w:sz="4" w:space="0" w:color="auto"/>
            </w:tcBorders>
            <w:shd w:val="clear" w:color="auto" w:fill="C6EFCE"/>
            <w:vAlign w:val="center"/>
            <w:hideMark/>
          </w:tcPr>
          <w:p w14:paraId="5B11297D" w14:textId="77777777" w:rsidR="00CE3BAD" w:rsidRPr="00782BF9" w:rsidRDefault="00CE3BAD">
            <w:pPr>
              <w:spacing w:after="0" w:line="240" w:lineRule="auto"/>
              <w:rPr>
                <w:noProof/>
                <w:sz w:val="18"/>
                <w:lang w:val="bg-BG"/>
              </w:rPr>
            </w:pPr>
          </w:p>
        </w:tc>
        <w:tc>
          <w:tcPr>
            <w:tcW w:w="1075" w:type="dxa"/>
            <w:tcBorders>
              <w:top w:val="nil"/>
              <w:left w:val="nil"/>
              <w:bottom w:val="single" w:sz="4" w:space="0" w:color="auto"/>
              <w:right w:val="single" w:sz="4" w:space="0" w:color="auto"/>
            </w:tcBorders>
            <w:shd w:val="clear" w:color="auto" w:fill="C6EFCE"/>
            <w:vAlign w:val="center"/>
            <w:hideMark/>
          </w:tcPr>
          <w:p w14:paraId="3C718DE2" w14:textId="77777777" w:rsidR="00CE3BAD" w:rsidRPr="00782BF9" w:rsidRDefault="006B5475">
            <w:pPr>
              <w:pStyle w:val="P68B1DB1-Normal10"/>
              <w:spacing w:after="0" w:line="240" w:lineRule="auto"/>
              <w:rPr>
                <w:noProof/>
                <w:lang w:val="bg-BG"/>
              </w:rPr>
            </w:pPr>
            <w:r w:rsidRPr="00782BF9">
              <w:rPr>
                <w:noProof/>
                <w:lang w:val="bg-BG"/>
              </w:rPr>
              <w:t>kWp</w:t>
            </w:r>
          </w:p>
        </w:tc>
        <w:tc>
          <w:tcPr>
            <w:tcW w:w="1072" w:type="dxa"/>
            <w:tcBorders>
              <w:top w:val="nil"/>
              <w:left w:val="nil"/>
              <w:bottom w:val="single" w:sz="4" w:space="0" w:color="auto"/>
              <w:right w:val="single" w:sz="4" w:space="0" w:color="auto"/>
            </w:tcBorders>
            <w:shd w:val="clear" w:color="auto" w:fill="C6EFCE"/>
            <w:vAlign w:val="center"/>
            <w:hideMark/>
          </w:tcPr>
          <w:p w14:paraId="6B5CD909" w14:textId="77777777" w:rsidR="00CE3BAD" w:rsidRPr="00782BF9" w:rsidRDefault="006B5475">
            <w:pPr>
              <w:pStyle w:val="P68B1DB1-Normal10"/>
              <w:spacing w:after="0" w:line="240" w:lineRule="auto"/>
              <w:rPr>
                <w:noProof/>
                <w:lang w:val="bg-BG"/>
              </w:rPr>
            </w:pPr>
            <w:r w:rsidRPr="00782BF9">
              <w:rPr>
                <w:noProof/>
                <w:lang w:val="bg-BG"/>
              </w:rPr>
              <w:t>0</w:t>
            </w:r>
          </w:p>
        </w:tc>
        <w:tc>
          <w:tcPr>
            <w:tcW w:w="1030" w:type="dxa"/>
            <w:tcBorders>
              <w:top w:val="nil"/>
              <w:left w:val="nil"/>
              <w:bottom w:val="single" w:sz="4" w:space="0" w:color="auto"/>
              <w:right w:val="single" w:sz="4" w:space="0" w:color="auto"/>
            </w:tcBorders>
            <w:shd w:val="clear" w:color="auto" w:fill="C6EFCE"/>
            <w:vAlign w:val="center"/>
            <w:hideMark/>
          </w:tcPr>
          <w:p w14:paraId="63FF287A" w14:textId="29D13BA7" w:rsidR="00CE3BAD" w:rsidRPr="00782BF9" w:rsidRDefault="006B5475">
            <w:pPr>
              <w:pStyle w:val="P68B1DB1-Normal10"/>
              <w:spacing w:after="0" w:line="240" w:lineRule="auto"/>
              <w:rPr>
                <w:noProof/>
                <w:lang w:val="bg-BG"/>
              </w:rPr>
            </w:pPr>
            <w:r w:rsidRPr="00782BF9">
              <w:rPr>
                <w:noProof/>
                <w:lang w:val="bg-BG"/>
              </w:rPr>
              <w:t>12</w:t>
            </w:r>
            <w:r w:rsidRPr="00782BF9">
              <w:rPr>
                <w:noProof/>
                <w:color w:val="006100"/>
                <w:lang w:val="bg-BG"/>
              </w:rPr>
              <w:t xml:space="preserve"> </w:t>
            </w:r>
            <w:r w:rsidRPr="00782BF9">
              <w:rPr>
                <w:noProof/>
                <w:lang w:val="bg-BG"/>
              </w:rPr>
              <w:t>500</w:t>
            </w:r>
          </w:p>
        </w:tc>
        <w:tc>
          <w:tcPr>
            <w:tcW w:w="806" w:type="dxa"/>
            <w:tcBorders>
              <w:top w:val="nil"/>
              <w:left w:val="nil"/>
              <w:bottom w:val="single" w:sz="4" w:space="0" w:color="auto"/>
              <w:right w:val="single" w:sz="4" w:space="0" w:color="auto"/>
            </w:tcBorders>
            <w:shd w:val="clear" w:color="auto" w:fill="C6EFCE"/>
            <w:vAlign w:val="center"/>
            <w:hideMark/>
          </w:tcPr>
          <w:p w14:paraId="4EC0B40D" w14:textId="77777777" w:rsidR="00CE3BAD" w:rsidRPr="00782BF9" w:rsidRDefault="006B5475">
            <w:pPr>
              <w:pStyle w:val="P68B1DB1-Normal10"/>
              <w:spacing w:after="0" w:line="240" w:lineRule="auto"/>
              <w:rPr>
                <w:noProof/>
                <w:lang w:val="bg-BG"/>
              </w:rPr>
            </w:pPr>
            <w:r w:rsidRPr="00782BF9">
              <w:rPr>
                <w:noProof/>
                <w:lang w:val="bg-BG"/>
              </w:rPr>
              <w:t>Т4 Г.</w:t>
            </w:r>
          </w:p>
        </w:tc>
        <w:tc>
          <w:tcPr>
            <w:tcW w:w="791" w:type="dxa"/>
            <w:tcBorders>
              <w:top w:val="nil"/>
              <w:left w:val="nil"/>
              <w:bottom w:val="single" w:sz="4" w:space="0" w:color="auto"/>
              <w:right w:val="single" w:sz="4" w:space="0" w:color="auto"/>
            </w:tcBorders>
            <w:shd w:val="clear" w:color="auto" w:fill="C6EFCE"/>
            <w:vAlign w:val="center"/>
            <w:hideMark/>
          </w:tcPr>
          <w:p w14:paraId="51C8277F" w14:textId="77777777" w:rsidR="00CE3BAD" w:rsidRPr="00782BF9" w:rsidRDefault="006B5475">
            <w:pPr>
              <w:pStyle w:val="P68B1DB1-Normal10"/>
              <w:spacing w:after="0" w:line="240" w:lineRule="auto"/>
              <w:rPr>
                <w:noProof/>
                <w:lang w:val="bg-BG"/>
              </w:rPr>
            </w:pPr>
            <w:r w:rsidRPr="00782BF9">
              <w:rPr>
                <w:noProof/>
                <w:lang w:val="bg-BG"/>
              </w:rPr>
              <w:t>2023</w:t>
            </w:r>
          </w:p>
        </w:tc>
        <w:tc>
          <w:tcPr>
            <w:tcW w:w="4459" w:type="dxa"/>
            <w:tcBorders>
              <w:top w:val="nil"/>
              <w:left w:val="nil"/>
              <w:bottom w:val="single" w:sz="4" w:space="0" w:color="auto"/>
              <w:right w:val="single" w:sz="4" w:space="0" w:color="auto"/>
            </w:tcBorders>
            <w:shd w:val="clear" w:color="auto" w:fill="C6EFCE"/>
            <w:vAlign w:val="center"/>
            <w:hideMark/>
          </w:tcPr>
          <w:p w14:paraId="06A005A3" w14:textId="69130A3E" w:rsidR="00CE3BAD" w:rsidRPr="00782BF9" w:rsidRDefault="006B5475">
            <w:pPr>
              <w:pStyle w:val="P68B1DB1-Normal10"/>
              <w:spacing w:after="0" w:line="240" w:lineRule="auto"/>
              <w:jc w:val="both"/>
              <w:rPr>
                <w:noProof/>
                <w:lang w:val="bg-BG"/>
              </w:rPr>
            </w:pPr>
            <w:r w:rsidRPr="00782BF9">
              <w:rPr>
                <w:noProof/>
                <w:lang w:val="bg-BG"/>
              </w:rPr>
              <w:t>Електроцентрали за производство на енергия от възобновяеми източници се изграждат в някои от 300-те населени места в най-неравностойно положение с производствен капацитет от най-малко 12</w:t>
            </w:r>
            <w:r w:rsidRPr="00782BF9">
              <w:rPr>
                <w:noProof/>
                <w:color w:val="006100"/>
                <w:lang w:val="bg-BG"/>
              </w:rPr>
              <w:t xml:space="preserve"> </w:t>
            </w:r>
            <w:r w:rsidRPr="00782BF9">
              <w:rPr>
                <w:noProof/>
                <w:lang w:val="bg-BG"/>
              </w:rPr>
              <w:t xml:space="preserve">500 kWp. </w:t>
            </w:r>
          </w:p>
          <w:p w14:paraId="4404F12B" w14:textId="77777777" w:rsidR="00CE3BAD" w:rsidRPr="00782BF9" w:rsidRDefault="006B5475">
            <w:pPr>
              <w:pStyle w:val="P68B1DB1-Normal10"/>
              <w:spacing w:after="0" w:line="240" w:lineRule="auto"/>
              <w:jc w:val="both"/>
              <w:rPr>
                <w:noProof/>
                <w:lang w:val="bg-BG"/>
              </w:rPr>
            </w:pPr>
            <w:r w:rsidRPr="00782BF9">
              <w:rPr>
                <w:noProof/>
                <w:lang w:val="bg-BG"/>
              </w:rPr>
              <w:t>В случаите, когато мрежовият капацитет не позволява инвестицията да се осъществи в населени места за догонване в рамките на административния район на целевите общини, фотоволтаични електроцентрали могат по изключение да бъдат изградени извън 300-те целеви общини, ако това е технически обосновано, при условие че генерираните приходи се използват за субсидиране на отоплението на домакинствата в 300-те целеви общини.</w:t>
            </w:r>
          </w:p>
          <w:p w14:paraId="0CA4C5E2" w14:textId="1A7CDCB2" w:rsidR="00CE3BAD" w:rsidRPr="00782BF9" w:rsidRDefault="006B5475">
            <w:pPr>
              <w:pStyle w:val="P68B1DB1-Normal10"/>
              <w:spacing w:after="0" w:line="240" w:lineRule="auto"/>
              <w:jc w:val="both"/>
              <w:rPr>
                <w:noProof/>
                <w:lang w:val="bg-BG"/>
              </w:rPr>
            </w:pPr>
            <w:r w:rsidRPr="00782BF9">
              <w:rPr>
                <w:noProof/>
                <w:lang w:val="bg-BG"/>
              </w:rPr>
              <w:t>Производственият капацитет е собственост на организациите, изпълняващи програмата за презаселване, в продължение на най-малко 20 години. Тези организации използват нетните приходи (разликата между приходите от продажба на енергия и разходите, свързани с експлоатацията на електроцентралата) от производството на електроенергия, за да подкрепят годишните нужди от електроенергия за отопление на поне едно отоплявано помещение за най-малко 2</w:t>
            </w:r>
            <w:r w:rsidRPr="00782BF9">
              <w:rPr>
                <w:noProof/>
                <w:color w:val="006100"/>
                <w:lang w:val="bg-BG"/>
              </w:rPr>
              <w:t xml:space="preserve"> </w:t>
            </w:r>
            <w:r w:rsidRPr="00782BF9">
              <w:rPr>
                <w:noProof/>
                <w:lang w:val="bg-BG"/>
              </w:rPr>
              <w:t xml:space="preserve">500 уязвими семейства с деца в 300-те населени места чрез открит търг. Собственикът води отделно счетоводство за целите на записването и отчитането на приходите, разходите и преразпределената финансова подкрепа, свързана с експлоатацията на електроцентралите. </w:t>
            </w:r>
          </w:p>
        </w:tc>
      </w:tr>
      <w:tr w:rsidR="00CE3BAD" w:rsidRPr="00782BF9" w14:paraId="7176A0A5" w14:textId="77777777">
        <w:trPr>
          <w:trHeight w:val="283"/>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70E50AA3" w14:textId="10497314" w:rsidR="00CE3BAD" w:rsidRPr="00782BF9" w:rsidRDefault="006B5475">
            <w:pPr>
              <w:pStyle w:val="P68B1DB1-Normal10"/>
              <w:spacing w:after="0" w:line="240" w:lineRule="auto"/>
              <w:rPr>
                <w:noProof/>
                <w:lang w:val="bg-BG"/>
              </w:rPr>
            </w:pPr>
            <w:r w:rsidRPr="00782BF9">
              <w:rPr>
                <w:noProof/>
                <w:lang w:val="bg-BG"/>
              </w:rPr>
              <w:t>58</w:t>
            </w:r>
          </w:p>
        </w:tc>
        <w:tc>
          <w:tcPr>
            <w:tcW w:w="1509" w:type="dxa"/>
            <w:tcBorders>
              <w:top w:val="single" w:sz="4" w:space="0" w:color="auto"/>
              <w:left w:val="nil"/>
              <w:bottom w:val="single" w:sz="4" w:space="0" w:color="auto"/>
              <w:right w:val="single" w:sz="4" w:space="0" w:color="auto"/>
            </w:tcBorders>
            <w:shd w:val="clear" w:color="auto" w:fill="C6EFCE"/>
            <w:vAlign w:val="center"/>
            <w:hideMark/>
          </w:tcPr>
          <w:p w14:paraId="1DD5F39F" w14:textId="635026B5" w:rsidR="00CE3BAD" w:rsidRPr="00782BF9" w:rsidRDefault="006B5475">
            <w:pPr>
              <w:pStyle w:val="P68B1DB1-Normal10"/>
              <w:spacing w:after="0" w:line="240" w:lineRule="auto"/>
              <w:rPr>
                <w:noProof/>
                <w:lang w:val="bg-BG"/>
              </w:rPr>
            </w:pPr>
            <w:r w:rsidRPr="00782BF9">
              <w:rPr>
                <w:noProof/>
                <w:lang w:val="bg-BG"/>
              </w:rPr>
              <w:t>C3.I2 Производство и използване на енергия от възобновяеми източници в общини в неравностойно положение</w:t>
            </w:r>
          </w:p>
        </w:tc>
        <w:tc>
          <w:tcPr>
            <w:tcW w:w="1023" w:type="dxa"/>
            <w:tcBorders>
              <w:top w:val="nil"/>
              <w:left w:val="nil"/>
              <w:bottom w:val="single" w:sz="4" w:space="0" w:color="auto"/>
              <w:right w:val="single" w:sz="4" w:space="0" w:color="auto"/>
            </w:tcBorders>
            <w:shd w:val="clear" w:color="auto" w:fill="C6EFCE"/>
            <w:vAlign w:val="center"/>
            <w:hideMark/>
          </w:tcPr>
          <w:p w14:paraId="33EFDD86" w14:textId="77777777" w:rsidR="00CE3BAD" w:rsidRPr="00782BF9" w:rsidRDefault="006B5475">
            <w:pPr>
              <w:pStyle w:val="P68B1DB1-Normal10"/>
              <w:spacing w:after="0" w:line="240" w:lineRule="auto"/>
              <w:rPr>
                <w:noProof/>
                <w:lang w:val="bg-BG"/>
              </w:rPr>
            </w:pPr>
            <w:r w:rsidRPr="00782BF9">
              <w:rPr>
                <w:noProof/>
                <w:lang w:val="bg-BG"/>
              </w:rPr>
              <w:t>Целеви</w:t>
            </w:r>
          </w:p>
        </w:tc>
        <w:tc>
          <w:tcPr>
            <w:tcW w:w="1984" w:type="dxa"/>
            <w:tcBorders>
              <w:top w:val="single" w:sz="4" w:space="0" w:color="auto"/>
              <w:left w:val="nil"/>
              <w:bottom w:val="single" w:sz="4" w:space="0" w:color="auto"/>
              <w:right w:val="single" w:sz="4" w:space="0" w:color="auto"/>
            </w:tcBorders>
            <w:shd w:val="clear" w:color="auto" w:fill="C6EFCE"/>
            <w:vAlign w:val="center"/>
            <w:hideMark/>
          </w:tcPr>
          <w:p w14:paraId="14123174" w14:textId="19B9D535" w:rsidR="00CE3BAD" w:rsidRPr="00782BF9" w:rsidRDefault="006B5475">
            <w:pPr>
              <w:pStyle w:val="P68B1DB1-Normal10"/>
              <w:spacing w:after="0" w:line="240" w:lineRule="auto"/>
              <w:rPr>
                <w:noProof/>
                <w:lang w:val="bg-BG"/>
              </w:rPr>
            </w:pPr>
            <w:r w:rsidRPr="00782BF9">
              <w:rPr>
                <w:noProof/>
                <w:lang w:val="bg-BG"/>
              </w:rPr>
              <w:t>Инсталиране на допълнителен капацитет за производство на енергия от възобновяеми източници във или в полза на общини в неравностойно положение</w:t>
            </w:r>
          </w:p>
          <w:p w14:paraId="18FFE577" w14:textId="77777777" w:rsidR="00CE3BAD" w:rsidRPr="00782BF9" w:rsidRDefault="00CE3BAD">
            <w:pPr>
              <w:spacing w:after="0" w:line="240" w:lineRule="auto"/>
              <w:rPr>
                <w:noProof/>
                <w:sz w:val="18"/>
                <w:lang w:val="bg-BG"/>
              </w:rPr>
            </w:pPr>
          </w:p>
          <w:p w14:paraId="2C12D428" w14:textId="77777777" w:rsidR="00CE3BAD" w:rsidRPr="00782BF9" w:rsidRDefault="00CE3BAD">
            <w:pPr>
              <w:spacing w:after="0" w:line="240" w:lineRule="auto"/>
              <w:rPr>
                <w:noProof/>
                <w:sz w:val="18"/>
                <w:lang w:val="bg-BG"/>
              </w:rPr>
            </w:pPr>
          </w:p>
        </w:tc>
        <w:tc>
          <w:tcPr>
            <w:tcW w:w="1540" w:type="dxa"/>
            <w:tcBorders>
              <w:top w:val="nil"/>
              <w:left w:val="nil"/>
              <w:bottom w:val="single" w:sz="4" w:space="0" w:color="auto"/>
              <w:right w:val="single" w:sz="4" w:space="0" w:color="auto"/>
            </w:tcBorders>
            <w:shd w:val="clear" w:color="auto" w:fill="C6EFCE"/>
            <w:vAlign w:val="center"/>
            <w:hideMark/>
          </w:tcPr>
          <w:p w14:paraId="6961D8C6" w14:textId="77777777" w:rsidR="00CE3BAD" w:rsidRPr="00782BF9" w:rsidRDefault="00CE3BAD">
            <w:pPr>
              <w:spacing w:after="0" w:line="240" w:lineRule="auto"/>
              <w:rPr>
                <w:noProof/>
                <w:sz w:val="18"/>
                <w:lang w:val="bg-BG"/>
              </w:rPr>
            </w:pPr>
          </w:p>
        </w:tc>
        <w:tc>
          <w:tcPr>
            <w:tcW w:w="1075" w:type="dxa"/>
            <w:tcBorders>
              <w:top w:val="nil"/>
              <w:left w:val="nil"/>
              <w:bottom w:val="single" w:sz="4" w:space="0" w:color="auto"/>
              <w:right w:val="single" w:sz="4" w:space="0" w:color="auto"/>
            </w:tcBorders>
            <w:shd w:val="clear" w:color="auto" w:fill="C6EFCE"/>
            <w:vAlign w:val="center"/>
            <w:hideMark/>
          </w:tcPr>
          <w:p w14:paraId="69C60064" w14:textId="77777777" w:rsidR="00CE3BAD" w:rsidRPr="00782BF9" w:rsidRDefault="006B5475">
            <w:pPr>
              <w:pStyle w:val="P68B1DB1-Normal10"/>
              <w:spacing w:after="0" w:line="240" w:lineRule="auto"/>
              <w:rPr>
                <w:noProof/>
                <w:lang w:val="bg-BG"/>
              </w:rPr>
            </w:pPr>
            <w:r w:rsidRPr="00782BF9">
              <w:rPr>
                <w:noProof/>
                <w:lang w:val="bg-BG"/>
              </w:rPr>
              <w:t>kWp</w:t>
            </w:r>
          </w:p>
        </w:tc>
        <w:tc>
          <w:tcPr>
            <w:tcW w:w="1072" w:type="dxa"/>
            <w:tcBorders>
              <w:top w:val="nil"/>
              <w:left w:val="nil"/>
              <w:bottom w:val="single" w:sz="4" w:space="0" w:color="auto"/>
              <w:right w:val="single" w:sz="4" w:space="0" w:color="auto"/>
            </w:tcBorders>
            <w:shd w:val="clear" w:color="auto" w:fill="C6EFCE"/>
            <w:vAlign w:val="center"/>
            <w:hideMark/>
          </w:tcPr>
          <w:p w14:paraId="6C09DBB6" w14:textId="6E99384F" w:rsidR="00CE3BAD" w:rsidRPr="00782BF9" w:rsidRDefault="006B5475">
            <w:pPr>
              <w:pStyle w:val="P68B1DB1-Normal10"/>
              <w:spacing w:after="0" w:line="240" w:lineRule="auto"/>
              <w:rPr>
                <w:noProof/>
                <w:lang w:val="bg-BG"/>
              </w:rPr>
            </w:pPr>
            <w:r w:rsidRPr="00782BF9">
              <w:rPr>
                <w:noProof/>
                <w:lang w:val="bg-BG"/>
              </w:rPr>
              <w:t>12</w:t>
            </w:r>
            <w:r w:rsidRPr="00782BF9">
              <w:rPr>
                <w:noProof/>
                <w:color w:val="006100"/>
                <w:lang w:val="bg-BG"/>
              </w:rPr>
              <w:t xml:space="preserve"> </w:t>
            </w:r>
            <w:r w:rsidRPr="00782BF9">
              <w:rPr>
                <w:noProof/>
                <w:lang w:val="bg-BG"/>
              </w:rPr>
              <w:t>500</w:t>
            </w:r>
          </w:p>
        </w:tc>
        <w:tc>
          <w:tcPr>
            <w:tcW w:w="1030" w:type="dxa"/>
            <w:tcBorders>
              <w:top w:val="nil"/>
              <w:left w:val="nil"/>
              <w:bottom w:val="single" w:sz="4" w:space="0" w:color="auto"/>
              <w:right w:val="single" w:sz="4" w:space="0" w:color="auto"/>
            </w:tcBorders>
            <w:shd w:val="clear" w:color="auto" w:fill="C6EFCE"/>
            <w:vAlign w:val="center"/>
            <w:hideMark/>
          </w:tcPr>
          <w:p w14:paraId="513EB7B9" w14:textId="5D5C5FBC" w:rsidR="00CE3BAD" w:rsidRPr="00782BF9" w:rsidRDefault="006B5475">
            <w:pPr>
              <w:pStyle w:val="P68B1DB1-Normal10"/>
              <w:spacing w:after="0" w:line="240" w:lineRule="auto"/>
              <w:rPr>
                <w:noProof/>
                <w:lang w:val="bg-BG"/>
              </w:rPr>
            </w:pPr>
            <w:r w:rsidRPr="00782BF9">
              <w:rPr>
                <w:noProof/>
                <w:lang w:val="bg-BG"/>
              </w:rPr>
              <w:t>25</w:t>
            </w:r>
            <w:r w:rsidRPr="00782BF9">
              <w:rPr>
                <w:noProof/>
                <w:color w:val="006100"/>
                <w:lang w:val="bg-BG"/>
              </w:rPr>
              <w:t xml:space="preserve"> </w:t>
            </w:r>
            <w:r w:rsidRPr="00782BF9">
              <w:rPr>
                <w:noProof/>
                <w:lang w:val="bg-BG"/>
              </w:rPr>
              <w:t>000</w:t>
            </w:r>
          </w:p>
        </w:tc>
        <w:tc>
          <w:tcPr>
            <w:tcW w:w="806" w:type="dxa"/>
            <w:tcBorders>
              <w:top w:val="nil"/>
              <w:left w:val="nil"/>
              <w:bottom w:val="single" w:sz="4" w:space="0" w:color="auto"/>
              <w:right w:val="single" w:sz="4" w:space="0" w:color="auto"/>
            </w:tcBorders>
            <w:shd w:val="clear" w:color="auto" w:fill="C6EFCE"/>
            <w:vAlign w:val="center"/>
            <w:hideMark/>
          </w:tcPr>
          <w:p w14:paraId="6E1B0F8B" w14:textId="77777777" w:rsidR="00CE3BAD" w:rsidRPr="00782BF9" w:rsidRDefault="006B5475">
            <w:pPr>
              <w:pStyle w:val="P68B1DB1-Normal10"/>
              <w:spacing w:after="0" w:line="240" w:lineRule="auto"/>
              <w:rPr>
                <w:noProof/>
                <w:lang w:val="bg-BG"/>
              </w:rPr>
            </w:pPr>
            <w:r w:rsidRPr="00782BF9">
              <w:rPr>
                <w:noProof/>
                <w:lang w:val="bg-BG"/>
              </w:rPr>
              <w:t>Т4 Г.</w:t>
            </w:r>
          </w:p>
        </w:tc>
        <w:tc>
          <w:tcPr>
            <w:tcW w:w="791" w:type="dxa"/>
            <w:tcBorders>
              <w:top w:val="nil"/>
              <w:left w:val="nil"/>
              <w:bottom w:val="single" w:sz="4" w:space="0" w:color="auto"/>
              <w:right w:val="single" w:sz="4" w:space="0" w:color="auto"/>
            </w:tcBorders>
            <w:shd w:val="clear" w:color="auto" w:fill="C6EFCE"/>
            <w:vAlign w:val="center"/>
            <w:hideMark/>
          </w:tcPr>
          <w:p w14:paraId="1F303172" w14:textId="77777777" w:rsidR="00CE3BAD" w:rsidRPr="00782BF9" w:rsidRDefault="006B5475">
            <w:pPr>
              <w:pStyle w:val="P68B1DB1-Normal10"/>
              <w:spacing w:after="0" w:line="240" w:lineRule="auto"/>
              <w:rPr>
                <w:noProof/>
                <w:lang w:val="bg-BG"/>
              </w:rPr>
            </w:pPr>
            <w:r w:rsidRPr="00782BF9">
              <w:rPr>
                <w:noProof/>
                <w:lang w:val="bg-BG"/>
              </w:rPr>
              <w:t>2025</w:t>
            </w:r>
          </w:p>
        </w:tc>
        <w:tc>
          <w:tcPr>
            <w:tcW w:w="4459" w:type="dxa"/>
            <w:tcBorders>
              <w:top w:val="nil"/>
              <w:left w:val="nil"/>
              <w:bottom w:val="single" w:sz="4" w:space="0" w:color="auto"/>
              <w:right w:val="single" w:sz="4" w:space="0" w:color="auto"/>
            </w:tcBorders>
            <w:shd w:val="clear" w:color="auto" w:fill="C6EFCE"/>
            <w:vAlign w:val="center"/>
            <w:hideMark/>
          </w:tcPr>
          <w:p w14:paraId="16E5B643" w14:textId="3BD186F7" w:rsidR="00CE3BAD" w:rsidRPr="00782BF9" w:rsidRDefault="006B5475">
            <w:pPr>
              <w:pStyle w:val="P68B1DB1-Normal10"/>
              <w:spacing w:after="0" w:line="240" w:lineRule="auto"/>
              <w:jc w:val="both"/>
              <w:rPr>
                <w:noProof/>
                <w:lang w:val="bg-BG"/>
              </w:rPr>
            </w:pPr>
            <w:r w:rsidRPr="00782BF9">
              <w:rPr>
                <w:noProof/>
                <w:lang w:val="bg-BG"/>
              </w:rPr>
              <w:t>Допълнителни електроцентрали за производство на енергия от възобновяеми източници се изграждат в някои от 300-те населени места в най-неравностойно положение с производствен капацитет от най-малко 12</w:t>
            </w:r>
            <w:r w:rsidRPr="00782BF9">
              <w:rPr>
                <w:noProof/>
                <w:color w:val="006100"/>
                <w:lang w:val="bg-BG"/>
              </w:rPr>
              <w:t xml:space="preserve"> </w:t>
            </w:r>
            <w:r w:rsidRPr="00782BF9">
              <w:rPr>
                <w:noProof/>
                <w:lang w:val="bg-BG"/>
              </w:rPr>
              <w:t xml:space="preserve">500 kWp. </w:t>
            </w:r>
          </w:p>
          <w:p w14:paraId="058DE5A3" w14:textId="77777777" w:rsidR="00CE3BAD" w:rsidRPr="00782BF9" w:rsidRDefault="006B5475">
            <w:pPr>
              <w:pStyle w:val="P68B1DB1-Normal10"/>
              <w:spacing w:after="0" w:line="240" w:lineRule="auto"/>
              <w:jc w:val="both"/>
              <w:rPr>
                <w:noProof/>
                <w:lang w:val="bg-BG"/>
              </w:rPr>
            </w:pPr>
            <w:r w:rsidRPr="00782BF9">
              <w:rPr>
                <w:noProof/>
                <w:lang w:val="bg-BG"/>
              </w:rPr>
              <w:t>В случаите, когато мрежовият капацитет не позволява инвестицията да се осъществи в населени места за догонване в рамките на административния район на целевите общини, фотоволтаични електроцентрали могат по изключение да бъдат изградени извън 300-те целеви общини, ако това е технически обосновано, при условие че генерираните приходи се използват за субсидиране на отоплението на домакинствата в 300-те целеви общини.</w:t>
            </w:r>
          </w:p>
          <w:p w14:paraId="2FAF41A8" w14:textId="70337922" w:rsidR="00CE3BAD" w:rsidRPr="00782BF9" w:rsidRDefault="006B5475">
            <w:pPr>
              <w:pStyle w:val="P68B1DB1-Normal10"/>
              <w:spacing w:after="0" w:line="240" w:lineRule="auto"/>
              <w:jc w:val="both"/>
              <w:rPr>
                <w:noProof/>
                <w:lang w:val="bg-BG"/>
              </w:rPr>
            </w:pPr>
            <w:r w:rsidRPr="00782BF9">
              <w:rPr>
                <w:noProof/>
                <w:lang w:val="bg-BG"/>
              </w:rPr>
              <w:t>Производственият капацитет е собственост на организациите, изпълняващи програмата за презаселване, в продължение на най-малко 20 години. Тези организации използват нетните приходи (разликата между приходите от продажба на енергия и разходите, свързани с експлоатацията на електроцентралата) от производството на електроенергия, за да подкрепят годишните нужди от електроенергия за отопление на поне едно отоплявано помещение за най-малко 2</w:t>
            </w:r>
            <w:r w:rsidRPr="00782BF9">
              <w:rPr>
                <w:noProof/>
                <w:color w:val="006100"/>
                <w:lang w:val="bg-BG"/>
              </w:rPr>
              <w:t xml:space="preserve"> </w:t>
            </w:r>
            <w:r w:rsidRPr="00782BF9">
              <w:rPr>
                <w:noProof/>
                <w:lang w:val="bg-BG"/>
              </w:rPr>
              <w:t>500 (в допълнение към предишната цел) уязвими семейства с деца в 300-те населени места чрез открит търг. Собственикът води отделно счетоводство за целите на отчитането и отчитането на приходите, разходите и преразпределената финансова подкрепа, свързана с експлоатацията на електроцентралите.</w:t>
            </w:r>
          </w:p>
        </w:tc>
      </w:tr>
      <w:tr w:rsidR="00CE3BAD" w:rsidRPr="00782BF9" w14:paraId="60201F5F" w14:textId="77777777">
        <w:trPr>
          <w:trHeight w:val="283"/>
        </w:trPr>
        <w:tc>
          <w:tcPr>
            <w:tcW w:w="1013" w:type="dxa"/>
            <w:tcBorders>
              <w:top w:val="nil"/>
              <w:left w:val="single" w:sz="4" w:space="0" w:color="auto"/>
              <w:bottom w:val="single" w:sz="4" w:space="0" w:color="auto"/>
              <w:right w:val="single" w:sz="4" w:space="0" w:color="auto"/>
            </w:tcBorders>
            <w:shd w:val="clear" w:color="auto" w:fill="C6EFCE"/>
            <w:vAlign w:val="center"/>
          </w:tcPr>
          <w:p w14:paraId="6EFDD93E" w14:textId="6CD06EE0" w:rsidR="00CE3BAD" w:rsidRPr="00782BF9" w:rsidRDefault="006B5475">
            <w:pPr>
              <w:pStyle w:val="P68B1DB1-Normal10"/>
              <w:spacing w:after="0" w:line="240" w:lineRule="auto"/>
              <w:rPr>
                <w:noProof/>
                <w:lang w:val="bg-BG"/>
              </w:rPr>
            </w:pPr>
            <w:r w:rsidRPr="00782BF9">
              <w:rPr>
                <w:noProof/>
                <w:lang w:val="bg-BG"/>
              </w:rPr>
              <w:t>59</w:t>
            </w:r>
          </w:p>
        </w:tc>
        <w:tc>
          <w:tcPr>
            <w:tcW w:w="1509" w:type="dxa"/>
            <w:tcBorders>
              <w:top w:val="nil"/>
              <w:left w:val="nil"/>
              <w:bottom w:val="single" w:sz="4" w:space="0" w:color="auto"/>
              <w:right w:val="single" w:sz="4" w:space="0" w:color="auto"/>
            </w:tcBorders>
            <w:shd w:val="clear" w:color="auto" w:fill="C6EFCE"/>
            <w:vAlign w:val="center"/>
          </w:tcPr>
          <w:p w14:paraId="1B8410BE" w14:textId="5CC5C2D5" w:rsidR="00CE3BAD" w:rsidRPr="00782BF9" w:rsidRDefault="006B5475">
            <w:pPr>
              <w:pStyle w:val="P68B1DB1-Normal10"/>
              <w:spacing w:after="0" w:line="240" w:lineRule="auto"/>
              <w:rPr>
                <w:noProof/>
                <w:lang w:val="bg-BG"/>
              </w:rPr>
            </w:pPr>
            <w:r w:rsidRPr="00782BF9">
              <w:rPr>
                <w:noProof/>
                <w:lang w:val="bg-BG"/>
              </w:rPr>
              <w:t>C3.I3 Насърчаване на заетостта и развитието на умения въз основа на местните особености</w:t>
            </w:r>
          </w:p>
        </w:tc>
        <w:tc>
          <w:tcPr>
            <w:tcW w:w="1023" w:type="dxa"/>
            <w:tcBorders>
              <w:top w:val="nil"/>
              <w:left w:val="nil"/>
              <w:bottom w:val="single" w:sz="4" w:space="0" w:color="auto"/>
              <w:right w:val="single" w:sz="4" w:space="0" w:color="auto"/>
            </w:tcBorders>
            <w:shd w:val="clear" w:color="auto" w:fill="C6EFCE"/>
            <w:vAlign w:val="center"/>
          </w:tcPr>
          <w:p w14:paraId="34830E2F" w14:textId="77777777" w:rsidR="00CE3BAD" w:rsidRPr="00782BF9" w:rsidRDefault="006B5475">
            <w:pPr>
              <w:pStyle w:val="P68B1DB1-Normal10"/>
              <w:spacing w:after="0" w:line="240" w:lineRule="auto"/>
              <w:rPr>
                <w:noProof/>
                <w:lang w:val="bg-BG"/>
              </w:rPr>
            </w:pPr>
            <w:r w:rsidRPr="00782BF9">
              <w:rPr>
                <w:noProof/>
                <w:lang w:val="bg-BG"/>
              </w:rPr>
              <w:t>Целеви</w:t>
            </w:r>
          </w:p>
        </w:tc>
        <w:tc>
          <w:tcPr>
            <w:tcW w:w="1984" w:type="dxa"/>
            <w:tcBorders>
              <w:top w:val="nil"/>
              <w:left w:val="nil"/>
              <w:bottom w:val="single" w:sz="4" w:space="0" w:color="auto"/>
              <w:right w:val="single" w:sz="4" w:space="0" w:color="auto"/>
            </w:tcBorders>
            <w:shd w:val="clear" w:color="auto" w:fill="C6EFCE"/>
            <w:vAlign w:val="center"/>
          </w:tcPr>
          <w:p w14:paraId="22C3EDA7" w14:textId="77777777" w:rsidR="00CE3BAD" w:rsidRPr="00782BF9" w:rsidRDefault="006B5475">
            <w:pPr>
              <w:pStyle w:val="P68B1DB1-Normal10"/>
              <w:spacing w:after="0" w:line="240" w:lineRule="auto"/>
              <w:rPr>
                <w:rFonts w:eastAsia="Times New Roman"/>
                <w:noProof/>
                <w:lang w:val="bg-BG"/>
              </w:rPr>
            </w:pPr>
            <w:r w:rsidRPr="00782BF9">
              <w:rPr>
                <w:noProof/>
                <w:lang w:val="bg-BG"/>
              </w:rPr>
              <w:t>Участие в програми за социализация на пазара на труда</w:t>
            </w:r>
          </w:p>
        </w:tc>
        <w:tc>
          <w:tcPr>
            <w:tcW w:w="1540" w:type="dxa"/>
            <w:tcBorders>
              <w:top w:val="nil"/>
              <w:left w:val="nil"/>
              <w:bottom w:val="single" w:sz="4" w:space="0" w:color="auto"/>
              <w:right w:val="single" w:sz="4" w:space="0" w:color="auto"/>
            </w:tcBorders>
            <w:shd w:val="clear" w:color="auto" w:fill="C6EFCE"/>
            <w:vAlign w:val="center"/>
          </w:tcPr>
          <w:p w14:paraId="5180EB92" w14:textId="77777777" w:rsidR="00CE3BAD" w:rsidRPr="00782BF9" w:rsidRDefault="00CE3BAD">
            <w:pPr>
              <w:spacing w:after="0" w:line="240" w:lineRule="auto"/>
              <w:rPr>
                <w:rFonts w:eastAsia="Times New Roman" w:cstheme="minorHAnsi"/>
                <w:noProof/>
                <w:sz w:val="18"/>
                <w:lang w:val="bg-BG"/>
              </w:rPr>
            </w:pPr>
          </w:p>
        </w:tc>
        <w:tc>
          <w:tcPr>
            <w:tcW w:w="1075" w:type="dxa"/>
            <w:tcBorders>
              <w:top w:val="nil"/>
              <w:left w:val="nil"/>
              <w:bottom w:val="single" w:sz="4" w:space="0" w:color="auto"/>
              <w:right w:val="single" w:sz="4" w:space="0" w:color="auto"/>
            </w:tcBorders>
            <w:shd w:val="clear" w:color="auto" w:fill="C6EFCE"/>
            <w:vAlign w:val="center"/>
          </w:tcPr>
          <w:p w14:paraId="59DA19F4" w14:textId="77777777" w:rsidR="00CE3BAD" w:rsidRPr="00782BF9" w:rsidRDefault="006B5475">
            <w:pPr>
              <w:pStyle w:val="P68B1DB1-Normal10"/>
              <w:spacing w:after="0" w:line="240" w:lineRule="auto"/>
              <w:rPr>
                <w:noProof/>
                <w:lang w:val="bg-BG"/>
              </w:rPr>
            </w:pPr>
            <w:r w:rsidRPr="00782BF9">
              <w:rPr>
                <w:noProof/>
                <w:lang w:val="bg-BG"/>
              </w:rPr>
              <w:t>Брой</w:t>
            </w:r>
          </w:p>
        </w:tc>
        <w:tc>
          <w:tcPr>
            <w:tcW w:w="1072" w:type="dxa"/>
            <w:tcBorders>
              <w:top w:val="nil"/>
              <w:left w:val="nil"/>
              <w:bottom w:val="single" w:sz="4" w:space="0" w:color="auto"/>
              <w:right w:val="single" w:sz="4" w:space="0" w:color="auto"/>
            </w:tcBorders>
            <w:shd w:val="clear" w:color="auto" w:fill="C6EFCE"/>
            <w:vAlign w:val="center"/>
          </w:tcPr>
          <w:p w14:paraId="1F227E48" w14:textId="77777777" w:rsidR="00CE3BAD" w:rsidRPr="00782BF9" w:rsidRDefault="006B5475">
            <w:pPr>
              <w:pStyle w:val="P68B1DB1-Normal10"/>
              <w:spacing w:after="0" w:line="240" w:lineRule="auto"/>
              <w:rPr>
                <w:noProof/>
                <w:lang w:val="bg-BG"/>
              </w:rPr>
            </w:pPr>
            <w:r w:rsidRPr="00782BF9">
              <w:rPr>
                <w:noProof/>
                <w:lang w:val="bg-BG"/>
              </w:rPr>
              <w:t>0</w:t>
            </w:r>
          </w:p>
        </w:tc>
        <w:tc>
          <w:tcPr>
            <w:tcW w:w="1030" w:type="dxa"/>
            <w:tcBorders>
              <w:top w:val="nil"/>
              <w:left w:val="nil"/>
              <w:bottom w:val="single" w:sz="4" w:space="0" w:color="auto"/>
              <w:right w:val="single" w:sz="4" w:space="0" w:color="auto"/>
            </w:tcBorders>
            <w:shd w:val="clear" w:color="auto" w:fill="C6EFCE"/>
            <w:vAlign w:val="center"/>
          </w:tcPr>
          <w:p w14:paraId="0953656E" w14:textId="009C2B68" w:rsidR="00CE3BAD" w:rsidRPr="00782BF9" w:rsidRDefault="006B5475">
            <w:pPr>
              <w:pStyle w:val="P68B1DB1-Normal10"/>
              <w:spacing w:after="0" w:line="240" w:lineRule="auto"/>
              <w:rPr>
                <w:noProof/>
                <w:lang w:val="bg-BG"/>
              </w:rPr>
            </w:pPr>
            <w:r w:rsidRPr="00782BF9">
              <w:rPr>
                <w:noProof/>
                <w:lang w:val="bg-BG"/>
              </w:rPr>
              <w:t>4</w:t>
            </w:r>
            <w:r w:rsidRPr="00782BF9">
              <w:rPr>
                <w:noProof/>
                <w:color w:val="006100"/>
                <w:lang w:val="bg-BG"/>
              </w:rPr>
              <w:t xml:space="preserve"> </w:t>
            </w:r>
            <w:r w:rsidRPr="00782BF9">
              <w:rPr>
                <w:noProof/>
                <w:lang w:val="bg-BG"/>
              </w:rPr>
              <w:t>000</w:t>
            </w:r>
          </w:p>
        </w:tc>
        <w:tc>
          <w:tcPr>
            <w:tcW w:w="806" w:type="dxa"/>
            <w:tcBorders>
              <w:top w:val="nil"/>
              <w:left w:val="nil"/>
              <w:bottom w:val="single" w:sz="4" w:space="0" w:color="auto"/>
              <w:right w:val="single" w:sz="4" w:space="0" w:color="auto"/>
            </w:tcBorders>
            <w:shd w:val="clear" w:color="auto" w:fill="C6EFCE"/>
            <w:vAlign w:val="center"/>
          </w:tcPr>
          <w:p w14:paraId="5F66D532" w14:textId="77777777" w:rsidR="00CE3BAD" w:rsidRPr="00782BF9" w:rsidRDefault="006B5475">
            <w:pPr>
              <w:pStyle w:val="P68B1DB1-Normal10"/>
              <w:spacing w:after="0" w:line="240" w:lineRule="auto"/>
              <w:rPr>
                <w:noProof/>
                <w:lang w:val="bg-BG"/>
              </w:rPr>
            </w:pPr>
            <w:r w:rsidRPr="00782BF9">
              <w:rPr>
                <w:noProof/>
                <w:lang w:val="bg-BG"/>
              </w:rPr>
              <w:t>Т4 Г.</w:t>
            </w:r>
          </w:p>
        </w:tc>
        <w:tc>
          <w:tcPr>
            <w:tcW w:w="791" w:type="dxa"/>
            <w:tcBorders>
              <w:top w:val="nil"/>
              <w:left w:val="nil"/>
              <w:bottom w:val="single" w:sz="4" w:space="0" w:color="auto"/>
              <w:right w:val="single" w:sz="4" w:space="0" w:color="auto"/>
            </w:tcBorders>
            <w:shd w:val="clear" w:color="auto" w:fill="C6EFCE"/>
            <w:vAlign w:val="center"/>
          </w:tcPr>
          <w:p w14:paraId="070DCDC3" w14:textId="77777777" w:rsidR="00CE3BAD" w:rsidRPr="00782BF9" w:rsidRDefault="006B5475">
            <w:pPr>
              <w:pStyle w:val="P68B1DB1-Normal10"/>
              <w:spacing w:after="0" w:line="240" w:lineRule="auto"/>
              <w:rPr>
                <w:noProof/>
                <w:lang w:val="bg-BG"/>
              </w:rPr>
            </w:pPr>
            <w:r w:rsidRPr="00782BF9">
              <w:rPr>
                <w:noProof/>
                <w:lang w:val="bg-BG"/>
              </w:rPr>
              <w:t>2023</w:t>
            </w:r>
          </w:p>
        </w:tc>
        <w:tc>
          <w:tcPr>
            <w:tcW w:w="4459" w:type="dxa"/>
            <w:tcBorders>
              <w:top w:val="nil"/>
              <w:left w:val="nil"/>
              <w:bottom w:val="single" w:sz="4" w:space="0" w:color="auto"/>
              <w:right w:val="single" w:sz="4" w:space="0" w:color="auto"/>
            </w:tcBorders>
            <w:shd w:val="clear" w:color="auto" w:fill="C6EFCE"/>
            <w:vAlign w:val="center"/>
          </w:tcPr>
          <w:p w14:paraId="379B6936" w14:textId="0442211F" w:rsidR="00CE3BAD" w:rsidRPr="00782BF9" w:rsidRDefault="006B5475">
            <w:pPr>
              <w:pStyle w:val="P68B1DB1-Normal10"/>
              <w:spacing w:after="0" w:line="240" w:lineRule="auto"/>
              <w:jc w:val="both"/>
              <w:rPr>
                <w:noProof/>
                <w:lang w:val="bg-BG"/>
              </w:rPr>
            </w:pPr>
            <w:r w:rsidRPr="00782BF9">
              <w:rPr>
                <w:noProof/>
                <w:lang w:val="bg-BG"/>
              </w:rPr>
              <w:t>Най-малко 4</w:t>
            </w:r>
            <w:r w:rsidRPr="00782BF9">
              <w:rPr>
                <w:noProof/>
                <w:color w:val="006100"/>
                <w:lang w:val="bg-BG"/>
              </w:rPr>
              <w:t xml:space="preserve"> </w:t>
            </w:r>
            <w:r w:rsidRPr="00782BF9">
              <w:rPr>
                <w:noProof/>
                <w:lang w:val="bg-BG"/>
              </w:rPr>
              <w:t>000 души от целевите населени места участват в програми за трудова социализация, които включват обучение, лично наставничество, персонализирани услуги и минимална заетост за шест месеца. Изграждането на строителни работи</w:t>
            </w:r>
            <w:r w:rsidRPr="00782BF9">
              <w:rPr>
                <w:rFonts w:ascii="Calibri" w:hAnsi="Calibri"/>
                <w:noProof/>
                <w:lang w:val="bg-BG"/>
              </w:rPr>
              <w:t>не се счита за заетост в рамките на тази инвестиция</w:t>
            </w:r>
            <w:r w:rsidRPr="00782BF9">
              <w:rPr>
                <w:noProof/>
                <w:lang w:val="bg-BG"/>
              </w:rPr>
              <w:t xml:space="preserve">. </w:t>
            </w:r>
          </w:p>
        </w:tc>
      </w:tr>
      <w:tr w:rsidR="00CE3BAD" w:rsidRPr="00782BF9" w14:paraId="42EB5B32" w14:textId="77777777">
        <w:trPr>
          <w:trHeight w:val="690"/>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4B6068C9" w14:textId="44456EFB" w:rsidR="00CE3BAD" w:rsidRPr="00782BF9" w:rsidRDefault="006B5475">
            <w:pPr>
              <w:pStyle w:val="P68B1DB1-Normal10"/>
              <w:spacing w:after="0" w:line="240" w:lineRule="auto"/>
              <w:rPr>
                <w:noProof/>
                <w:lang w:val="bg-BG"/>
              </w:rPr>
            </w:pPr>
            <w:r w:rsidRPr="00782BF9">
              <w:rPr>
                <w:noProof/>
                <w:lang w:val="bg-BG"/>
              </w:rPr>
              <w:t>60</w:t>
            </w:r>
          </w:p>
        </w:tc>
        <w:tc>
          <w:tcPr>
            <w:tcW w:w="1509" w:type="dxa"/>
            <w:tcBorders>
              <w:top w:val="nil"/>
              <w:left w:val="nil"/>
              <w:bottom w:val="single" w:sz="4" w:space="0" w:color="auto"/>
              <w:right w:val="single" w:sz="4" w:space="0" w:color="auto"/>
            </w:tcBorders>
            <w:shd w:val="clear" w:color="auto" w:fill="C6EFCE"/>
            <w:vAlign w:val="center"/>
            <w:hideMark/>
          </w:tcPr>
          <w:p w14:paraId="4CA0C8BA" w14:textId="59FE6B5F" w:rsidR="00CE3BAD" w:rsidRPr="00782BF9" w:rsidRDefault="006B5475">
            <w:pPr>
              <w:pStyle w:val="P68B1DB1-Normal10"/>
              <w:spacing w:after="0" w:line="240" w:lineRule="auto"/>
              <w:rPr>
                <w:noProof/>
                <w:lang w:val="bg-BG"/>
              </w:rPr>
            </w:pPr>
            <w:r w:rsidRPr="00782BF9">
              <w:rPr>
                <w:noProof/>
                <w:lang w:val="bg-BG"/>
              </w:rPr>
              <w:t>C3.I3 Насърчаване на заетостта и развитието на умения въз основа на местните особености</w:t>
            </w:r>
          </w:p>
        </w:tc>
        <w:tc>
          <w:tcPr>
            <w:tcW w:w="1023" w:type="dxa"/>
            <w:tcBorders>
              <w:top w:val="nil"/>
              <w:left w:val="nil"/>
              <w:bottom w:val="single" w:sz="4" w:space="0" w:color="auto"/>
              <w:right w:val="single" w:sz="4" w:space="0" w:color="auto"/>
            </w:tcBorders>
            <w:shd w:val="clear" w:color="auto" w:fill="C6EFCE"/>
            <w:vAlign w:val="center"/>
            <w:hideMark/>
          </w:tcPr>
          <w:p w14:paraId="4F415C04" w14:textId="77777777" w:rsidR="00CE3BAD" w:rsidRPr="00782BF9" w:rsidRDefault="006B5475">
            <w:pPr>
              <w:pStyle w:val="P68B1DB1-Normal10"/>
              <w:spacing w:after="0" w:line="240" w:lineRule="auto"/>
              <w:rPr>
                <w:noProof/>
                <w:lang w:val="bg-BG"/>
              </w:rPr>
            </w:pPr>
            <w:r w:rsidRPr="00782BF9">
              <w:rPr>
                <w:noProof/>
                <w:lang w:val="bg-BG"/>
              </w:rPr>
              <w:t>Целеви</w:t>
            </w:r>
          </w:p>
        </w:tc>
        <w:tc>
          <w:tcPr>
            <w:tcW w:w="1984" w:type="dxa"/>
            <w:tcBorders>
              <w:top w:val="nil"/>
              <w:left w:val="nil"/>
              <w:bottom w:val="single" w:sz="4" w:space="0" w:color="auto"/>
              <w:right w:val="single" w:sz="4" w:space="0" w:color="auto"/>
            </w:tcBorders>
            <w:shd w:val="clear" w:color="auto" w:fill="C6EFCE"/>
            <w:vAlign w:val="center"/>
            <w:hideMark/>
          </w:tcPr>
          <w:p w14:paraId="1973D421" w14:textId="77777777" w:rsidR="00CE3BAD" w:rsidRPr="00782BF9" w:rsidRDefault="006B5475">
            <w:pPr>
              <w:pStyle w:val="P68B1DB1-Normal10"/>
              <w:spacing w:after="0" w:line="240" w:lineRule="auto"/>
              <w:rPr>
                <w:noProof/>
                <w:lang w:val="bg-BG"/>
              </w:rPr>
            </w:pPr>
            <w:r w:rsidRPr="00782BF9">
              <w:rPr>
                <w:noProof/>
                <w:lang w:val="bg-BG"/>
              </w:rPr>
              <w:t>Допълнително участие в програми за социализация на пазара на труда</w:t>
            </w:r>
          </w:p>
        </w:tc>
        <w:tc>
          <w:tcPr>
            <w:tcW w:w="1540" w:type="dxa"/>
            <w:tcBorders>
              <w:top w:val="nil"/>
              <w:left w:val="nil"/>
              <w:bottom w:val="single" w:sz="4" w:space="0" w:color="auto"/>
              <w:right w:val="single" w:sz="4" w:space="0" w:color="auto"/>
            </w:tcBorders>
            <w:shd w:val="clear" w:color="auto" w:fill="C6EFCE"/>
            <w:vAlign w:val="center"/>
            <w:hideMark/>
          </w:tcPr>
          <w:p w14:paraId="0B9DC531" w14:textId="77777777" w:rsidR="00CE3BAD" w:rsidRPr="00782BF9" w:rsidRDefault="00CE3BAD">
            <w:pPr>
              <w:spacing w:after="0" w:line="240" w:lineRule="auto"/>
              <w:rPr>
                <w:noProof/>
                <w:sz w:val="18"/>
                <w:lang w:val="bg-BG"/>
              </w:rPr>
            </w:pPr>
          </w:p>
        </w:tc>
        <w:tc>
          <w:tcPr>
            <w:tcW w:w="1075" w:type="dxa"/>
            <w:tcBorders>
              <w:top w:val="nil"/>
              <w:left w:val="nil"/>
              <w:bottom w:val="single" w:sz="4" w:space="0" w:color="auto"/>
              <w:right w:val="single" w:sz="4" w:space="0" w:color="auto"/>
            </w:tcBorders>
            <w:shd w:val="clear" w:color="auto" w:fill="C6EFCE"/>
            <w:vAlign w:val="center"/>
            <w:hideMark/>
          </w:tcPr>
          <w:p w14:paraId="3EA29C0D" w14:textId="77777777" w:rsidR="00CE3BAD" w:rsidRPr="00782BF9" w:rsidRDefault="006B5475">
            <w:pPr>
              <w:pStyle w:val="P68B1DB1-Normal10"/>
              <w:spacing w:after="0" w:line="240" w:lineRule="auto"/>
              <w:rPr>
                <w:noProof/>
                <w:lang w:val="bg-BG"/>
              </w:rPr>
            </w:pPr>
            <w:r w:rsidRPr="00782BF9">
              <w:rPr>
                <w:noProof/>
                <w:lang w:val="bg-BG"/>
              </w:rPr>
              <w:t>Брой</w:t>
            </w:r>
          </w:p>
        </w:tc>
        <w:tc>
          <w:tcPr>
            <w:tcW w:w="1072" w:type="dxa"/>
            <w:tcBorders>
              <w:top w:val="nil"/>
              <w:left w:val="nil"/>
              <w:bottom w:val="single" w:sz="4" w:space="0" w:color="auto"/>
              <w:right w:val="single" w:sz="4" w:space="0" w:color="auto"/>
            </w:tcBorders>
            <w:shd w:val="clear" w:color="auto" w:fill="C6EFCE"/>
            <w:vAlign w:val="center"/>
            <w:hideMark/>
          </w:tcPr>
          <w:p w14:paraId="7F4981D9" w14:textId="4CFF4229" w:rsidR="00CE3BAD" w:rsidRPr="00782BF9" w:rsidRDefault="006B5475">
            <w:pPr>
              <w:pStyle w:val="P68B1DB1-Normal10"/>
              <w:spacing w:after="0" w:line="240" w:lineRule="auto"/>
              <w:rPr>
                <w:noProof/>
                <w:lang w:val="bg-BG"/>
              </w:rPr>
            </w:pPr>
            <w:r w:rsidRPr="00782BF9">
              <w:rPr>
                <w:noProof/>
                <w:lang w:val="bg-BG"/>
              </w:rPr>
              <w:t>4</w:t>
            </w:r>
            <w:r w:rsidRPr="00782BF9">
              <w:rPr>
                <w:noProof/>
                <w:color w:val="006100"/>
                <w:lang w:val="bg-BG"/>
              </w:rPr>
              <w:t xml:space="preserve"> </w:t>
            </w:r>
            <w:r w:rsidRPr="00782BF9">
              <w:rPr>
                <w:noProof/>
                <w:lang w:val="bg-BG"/>
              </w:rPr>
              <w:t>000</w:t>
            </w:r>
          </w:p>
        </w:tc>
        <w:tc>
          <w:tcPr>
            <w:tcW w:w="1030" w:type="dxa"/>
            <w:tcBorders>
              <w:top w:val="nil"/>
              <w:left w:val="nil"/>
              <w:bottom w:val="single" w:sz="4" w:space="0" w:color="auto"/>
              <w:right w:val="single" w:sz="4" w:space="0" w:color="auto"/>
            </w:tcBorders>
            <w:shd w:val="clear" w:color="auto" w:fill="C6EFCE"/>
            <w:vAlign w:val="center"/>
            <w:hideMark/>
          </w:tcPr>
          <w:p w14:paraId="42076DF3" w14:textId="67CE62A4" w:rsidR="00CE3BAD" w:rsidRPr="00782BF9" w:rsidRDefault="006B5475">
            <w:pPr>
              <w:pStyle w:val="P68B1DB1-Normal10"/>
              <w:spacing w:after="0" w:line="240" w:lineRule="auto"/>
              <w:rPr>
                <w:noProof/>
                <w:lang w:val="bg-BG"/>
              </w:rPr>
            </w:pPr>
            <w:r w:rsidRPr="00782BF9">
              <w:rPr>
                <w:noProof/>
                <w:lang w:val="bg-BG"/>
              </w:rPr>
              <w:t>10</w:t>
            </w:r>
            <w:r w:rsidRPr="00782BF9">
              <w:rPr>
                <w:noProof/>
                <w:color w:val="006100"/>
                <w:lang w:val="bg-BG"/>
              </w:rPr>
              <w:t xml:space="preserve"> </w:t>
            </w:r>
            <w:r w:rsidRPr="00782BF9">
              <w:rPr>
                <w:noProof/>
                <w:lang w:val="bg-BG"/>
              </w:rPr>
              <w:t>000</w:t>
            </w:r>
          </w:p>
        </w:tc>
        <w:tc>
          <w:tcPr>
            <w:tcW w:w="806" w:type="dxa"/>
            <w:tcBorders>
              <w:top w:val="nil"/>
              <w:left w:val="nil"/>
              <w:bottom w:val="single" w:sz="4" w:space="0" w:color="auto"/>
              <w:right w:val="single" w:sz="4" w:space="0" w:color="auto"/>
            </w:tcBorders>
            <w:shd w:val="clear" w:color="auto" w:fill="C6EFCE"/>
            <w:vAlign w:val="center"/>
            <w:hideMark/>
          </w:tcPr>
          <w:p w14:paraId="3211D088" w14:textId="77777777" w:rsidR="00CE3BAD" w:rsidRPr="00782BF9" w:rsidRDefault="006B5475">
            <w:pPr>
              <w:pStyle w:val="P68B1DB1-Normal10"/>
              <w:spacing w:after="0" w:line="240" w:lineRule="auto"/>
              <w:rPr>
                <w:noProof/>
                <w:lang w:val="bg-BG"/>
              </w:rPr>
            </w:pPr>
            <w:r w:rsidRPr="00782BF9">
              <w:rPr>
                <w:noProof/>
                <w:lang w:val="bg-BG"/>
              </w:rPr>
              <w:t>Т2 Г.</w:t>
            </w:r>
          </w:p>
        </w:tc>
        <w:tc>
          <w:tcPr>
            <w:tcW w:w="791" w:type="dxa"/>
            <w:tcBorders>
              <w:top w:val="nil"/>
              <w:left w:val="nil"/>
              <w:bottom w:val="single" w:sz="4" w:space="0" w:color="auto"/>
              <w:right w:val="single" w:sz="4" w:space="0" w:color="auto"/>
            </w:tcBorders>
            <w:shd w:val="clear" w:color="auto" w:fill="C6EFCE"/>
            <w:vAlign w:val="center"/>
            <w:hideMark/>
          </w:tcPr>
          <w:p w14:paraId="7079AF4B" w14:textId="77777777" w:rsidR="00CE3BAD" w:rsidRPr="00782BF9" w:rsidRDefault="006B5475">
            <w:pPr>
              <w:pStyle w:val="P68B1DB1-Normal10"/>
              <w:spacing w:after="0" w:line="240" w:lineRule="auto"/>
              <w:rPr>
                <w:noProof/>
                <w:lang w:val="bg-BG"/>
              </w:rPr>
            </w:pPr>
            <w:r w:rsidRPr="00782BF9">
              <w:rPr>
                <w:noProof/>
                <w:lang w:val="bg-BG"/>
              </w:rPr>
              <w:t>2026</w:t>
            </w:r>
          </w:p>
        </w:tc>
        <w:tc>
          <w:tcPr>
            <w:tcW w:w="4459" w:type="dxa"/>
            <w:tcBorders>
              <w:top w:val="nil"/>
              <w:left w:val="nil"/>
              <w:bottom w:val="single" w:sz="4" w:space="0" w:color="auto"/>
              <w:right w:val="single" w:sz="4" w:space="0" w:color="auto"/>
            </w:tcBorders>
            <w:shd w:val="clear" w:color="auto" w:fill="C6EFCE"/>
            <w:vAlign w:val="center"/>
            <w:hideMark/>
          </w:tcPr>
          <w:p w14:paraId="0746D1CD" w14:textId="063F4368" w:rsidR="00CE3BAD" w:rsidRPr="00782BF9" w:rsidRDefault="006B5475">
            <w:pPr>
              <w:pStyle w:val="P68B1DB1-Normal10"/>
              <w:spacing w:after="0" w:line="240" w:lineRule="auto"/>
              <w:jc w:val="both"/>
              <w:rPr>
                <w:noProof/>
                <w:lang w:val="bg-BG"/>
              </w:rPr>
            </w:pPr>
            <w:r w:rsidRPr="00782BF9">
              <w:rPr>
                <w:noProof/>
                <w:lang w:val="bg-BG"/>
              </w:rPr>
              <w:t>Най-малко 6</w:t>
            </w:r>
            <w:r w:rsidRPr="00782BF9">
              <w:rPr>
                <w:noProof/>
                <w:color w:val="006100"/>
                <w:lang w:val="bg-BG"/>
              </w:rPr>
              <w:t xml:space="preserve"> </w:t>
            </w:r>
            <w:r w:rsidRPr="00782BF9">
              <w:rPr>
                <w:noProof/>
                <w:lang w:val="bg-BG"/>
              </w:rPr>
              <w:t xml:space="preserve">допълнителни лица от целевите населени места участват в програми за заетост в съответствие със спецификациите в цел 59. </w:t>
            </w:r>
          </w:p>
        </w:tc>
      </w:tr>
      <w:tr w:rsidR="00CE3BAD" w:rsidRPr="00782BF9" w14:paraId="5BA35061" w14:textId="77777777">
        <w:trPr>
          <w:trHeight w:val="690"/>
        </w:trPr>
        <w:tc>
          <w:tcPr>
            <w:tcW w:w="1013" w:type="dxa"/>
            <w:tcBorders>
              <w:top w:val="nil"/>
              <w:left w:val="single" w:sz="4" w:space="0" w:color="auto"/>
              <w:bottom w:val="single" w:sz="4" w:space="0" w:color="auto"/>
              <w:right w:val="single" w:sz="4" w:space="0" w:color="auto"/>
            </w:tcBorders>
            <w:shd w:val="clear" w:color="auto" w:fill="C6EFCE"/>
            <w:vAlign w:val="center"/>
            <w:hideMark/>
          </w:tcPr>
          <w:p w14:paraId="5A222577" w14:textId="3F5A921D" w:rsidR="00CE3BAD" w:rsidRPr="00782BF9" w:rsidRDefault="006B5475">
            <w:pPr>
              <w:pStyle w:val="P68B1DB1-Normal10"/>
              <w:spacing w:after="0" w:line="240" w:lineRule="auto"/>
              <w:rPr>
                <w:noProof/>
                <w:lang w:val="bg-BG"/>
              </w:rPr>
            </w:pPr>
            <w:r w:rsidRPr="00782BF9">
              <w:rPr>
                <w:noProof/>
                <w:lang w:val="bg-BG"/>
              </w:rPr>
              <w:t>61</w:t>
            </w:r>
          </w:p>
        </w:tc>
        <w:tc>
          <w:tcPr>
            <w:tcW w:w="1509" w:type="dxa"/>
            <w:tcBorders>
              <w:top w:val="nil"/>
              <w:left w:val="nil"/>
              <w:bottom w:val="single" w:sz="4" w:space="0" w:color="auto"/>
              <w:right w:val="single" w:sz="4" w:space="0" w:color="auto"/>
            </w:tcBorders>
            <w:shd w:val="clear" w:color="auto" w:fill="C6EFCE"/>
            <w:vAlign w:val="center"/>
            <w:hideMark/>
          </w:tcPr>
          <w:p w14:paraId="6B0426F6" w14:textId="41712C41" w:rsidR="00CE3BAD" w:rsidRPr="00782BF9" w:rsidRDefault="006B5475">
            <w:pPr>
              <w:pStyle w:val="P68B1DB1-Normal10"/>
              <w:spacing w:after="0" w:line="240" w:lineRule="auto"/>
              <w:rPr>
                <w:noProof/>
                <w:lang w:val="bg-BG"/>
              </w:rPr>
            </w:pPr>
            <w:r w:rsidRPr="00782BF9">
              <w:rPr>
                <w:noProof/>
                <w:lang w:val="bg-BG"/>
              </w:rPr>
              <w:t>C3.I4 педагогика, ориентирана към Общността</w:t>
            </w:r>
          </w:p>
        </w:tc>
        <w:tc>
          <w:tcPr>
            <w:tcW w:w="1023" w:type="dxa"/>
            <w:tcBorders>
              <w:top w:val="nil"/>
              <w:left w:val="nil"/>
              <w:bottom w:val="single" w:sz="4" w:space="0" w:color="auto"/>
              <w:right w:val="single" w:sz="4" w:space="0" w:color="auto"/>
            </w:tcBorders>
            <w:shd w:val="clear" w:color="auto" w:fill="C6EFCE"/>
            <w:vAlign w:val="center"/>
            <w:hideMark/>
          </w:tcPr>
          <w:p w14:paraId="19579851" w14:textId="77777777" w:rsidR="00CE3BAD" w:rsidRPr="00782BF9" w:rsidRDefault="006B5475">
            <w:pPr>
              <w:pStyle w:val="P68B1DB1-Normal10"/>
              <w:spacing w:after="0" w:line="240" w:lineRule="auto"/>
              <w:rPr>
                <w:noProof/>
                <w:lang w:val="bg-BG"/>
              </w:rPr>
            </w:pPr>
            <w:r w:rsidRPr="00782BF9">
              <w:rPr>
                <w:noProof/>
                <w:lang w:val="bg-BG"/>
              </w:rPr>
              <w:t>Целеви</w:t>
            </w:r>
          </w:p>
        </w:tc>
        <w:tc>
          <w:tcPr>
            <w:tcW w:w="1984" w:type="dxa"/>
            <w:tcBorders>
              <w:top w:val="nil"/>
              <w:left w:val="nil"/>
              <w:bottom w:val="single" w:sz="4" w:space="0" w:color="auto"/>
              <w:right w:val="single" w:sz="4" w:space="0" w:color="auto"/>
            </w:tcBorders>
            <w:shd w:val="clear" w:color="auto" w:fill="C6EFCE"/>
            <w:vAlign w:val="center"/>
            <w:hideMark/>
          </w:tcPr>
          <w:p w14:paraId="507B1319" w14:textId="77777777" w:rsidR="00CE3BAD" w:rsidRPr="00782BF9" w:rsidRDefault="006B5475">
            <w:pPr>
              <w:spacing w:after="0" w:line="240" w:lineRule="auto"/>
              <w:rPr>
                <w:noProof/>
                <w:sz w:val="18"/>
                <w:lang w:val="bg-BG"/>
              </w:rPr>
            </w:pPr>
            <w:r w:rsidRPr="00782BF9">
              <w:rPr>
                <w:noProof/>
                <w:sz w:val="18"/>
                <w:lang w:val="bg-BG"/>
              </w:rPr>
              <w:t xml:space="preserve">Педагогическо развитие на обществените институции за образование </w:t>
            </w:r>
            <w:r w:rsidRPr="00782BF9">
              <w:rPr>
                <w:rStyle w:val="normaltextrun"/>
                <w:rFonts w:ascii="Calibri" w:hAnsi="Calibri"/>
                <w:noProof/>
                <w:sz w:val="18"/>
                <w:bdr w:val="none" w:sz="0" w:space="0" w:color="auto" w:frame="1"/>
                <w:lang w:val="bg-BG"/>
              </w:rPr>
              <w:t xml:space="preserve">и професионално обучение </w:t>
            </w:r>
            <w:r w:rsidRPr="00782BF9">
              <w:rPr>
                <w:noProof/>
                <w:sz w:val="18"/>
                <w:lang w:val="bg-BG"/>
              </w:rPr>
              <w:t>в избраните населени места</w:t>
            </w:r>
          </w:p>
        </w:tc>
        <w:tc>
          <w:tcPr>
            <w:tcW w:w="1540" w:type="dxa"/>
            <w:tcBorders>
              <w:top w:val="nil"/>
              <w:left w:val="nil"/>
              <w:bottom w:val="single" w:sz="4" w:space="0" w:color="auto"/>
              <w:right w:val="single" w:sz="4" w:space="0" w:color="auto"/>
            </w:tcBorders>
            <w:shd w:val="clear" w:color="auto" w:fill="C6EFCE"/>
            <w:vAlign w:val="center"/>
            <w:hideMark/>
          </w:tcPr>
          <w:p w14:paraId="1C987E5A" w14:textId="77777777" w:rsidR="00CE3BAD" w:rsidRPr="00782BF9" w:rsidRDefault="00CE3BAD">
            <w:pPr>
              <w:spacing w:after="0" w:line="240" w:lineRule="auto"/>
              <w:rPr>
                <w:noProof/>
                <w:sz w:val="18"/>
                <w:lang w:val="bg-BG"/>
              </w:rPr>
            </w:pPr>
          </w:p>
        </w:tc>
        <w:tc>
          <w:tcPr>
            <w:tcW w:w="1075" w:type="dxa"/>
            <w:tcBorders>
              <w:top w:val="nil"/>
              <w:left w:val="nil"/>
              <w:bottom w:val="single" w:sz="4" w:space="0" w:color="auto"/>
              <w:right w:val="single" w:sz="4" w:space="0" w:color="auto"/>
            </w:tcBorders>
            <w:shd w:val="clear" w:color="auto" w:fill="C6EFCE"/>
            <w:vAlign w:val="center"/>
            <w:hideMark/>
          </w:tcPr>
          <w:p w14:paraId="2133F520" w14:textId="77777777" w:rsidR="00CE3BAD" w:rsidRPr="00782BF9" w:rsidRDefault="006B5475">
            <w:pPr>
              <w:pStyle w:val="P68B1DB1-Normal10"/>
              <w:spacing w:after="0" w:line="240" w:lineRule="auto"/>
              <w:rPr>
                <w:noProof/>
                <w:lang w:val="bg-BG"/>
              </w:rPr>
            </w:pPr>
            <w:r w:rsidRPr="00782BF9">
              <w:rPr>
                <w:noProof/>
                <w:lang w:val="bg-BG"/>
              </w:rPr>
              <w:t>Брой</w:t>
            </w:r>
          </w:p>
        </w:tc>
        <w:tc>
          <w:tcPr>
            <w:tcW w:w="1072" w:type="dxa"/>
            <w:tcBorders>
              <w:top w:val="nil"/>
              <w:left w:val="nil"/>
              <w:bottom w:val="single" w:sz="4" w:space="0" w:color="auto"/>
              <w:right w:val="single" w:sz="4" w:space="0" w:color="auto"/>
            </w:tcBorders>
            <w:shd w:val="clear" w:color="auto" w:fill="C6EFCE"/>
            <w:vAlign w:val="center"/>
            <w:hideMark/>
          </w:tcPr>
          <w:p w14:paraId="614F8977" w14:textId="77777777" w:rsidR="00CE3BAD" w:rsidRPr="00782BF9" w:rsidRDefault="006B5475">
            <w:pPr>
              <w:pStyle w:val="P68B1DB1-Normal10"/>
              <w:spacing w:after="0" w:line="240" w:lineRule="auto"/>
              <w:rPr>
                <w:noProof/>
                <w:lang w:val="bg-BG"/>
              </w:rPr>
            </w:pPr>
            <w:r w:rsidRPr="00782BF9">
              <w:rPr>
                <w:noProof/>
                <w:lang w:val="bg-BG"/>
              </w:rPr>
              <w:t>0</w:t>
            </w:r>
          </w:p>
        </w:tc>
        <w:tc>
          <w:tcPr>
            <w:tcW w:w="1030" w:type="dxa"/>
            <w:tcBorders>
              <w:top w:val="nil"/>
              <w:left w:val="nil"/>
              <w:bottom w:val="single" w:sz="4" w:space="0" w:color="auto"/>
              <w:right w:val="single" w:sz="4" w:space="0" w:color="auto"/>
            </w:tcBorders>
            <w:shd w:val="clear" w:color="auto" w:fill="C6EFCE"/>
            <w:vAlign w:val="center"/>
            <w:hideMark/>
          </w:tcPr>
          <w:p w14:paraId="435986F4" w14:textId="77777777" w:rsidR="00CE3BAD" w:rsidRPr="00782BF9" w:rsidRDefault="006B5475">
            <w:pPr>
              <w:pStyle w:val="P68B1DB1-Normal10"/>
              <w:spacing w:after="0" w:line="240" w:lineRule="auto"/>
              <w:rPr>
                <w:noProof/>
                <w:lang w:val="bg-BG"/>
              </w:rPr>
            </w:pPr>
            <w:r w:rsidRPr="00782BF9">
              <w:rPr>
                <w:noProof/>
                <w:lang w:val="bg-BG"/>
              </w:rPr>
              <w:t>40</w:t>
            </w:r>
          </w:p>
        </w:tc>
        <w:tc>
          <w:tcPr>
            <w:tcW w:w="806" w:type="dxa"/>
            <w:tcBorders>
              <w:top w:val="nil"/>
              <w:left w:val="nil"/>
              <w:bottom w:val="single" w:sz="4" w:space="0" w:color="auto"/>
              <w:right w:val="single" w:sz="4" w:space="0" w:color="auto"/>
            </w:tcBorders>
            <w:shd w:val="clear" w:color="auto" w:fill="C6EFCE"/>
            <w:vAlign w:val="center"/>
            <w:hideMark/>
          </w:tcPr>
          <w:p w14:paraId="5C9B079F" w14:textId="77777777" w:rsidR="00CE3BAD" w:rsidRPr="00782BF9" w:rsidRDefault="006B5475">
            <w:pPr>
              <w:pStyle w:val="P68B1DB1-Normal10"/>
              <w:spacing w:after="0" w:line="240" w:lineRule="auto"/>
              <w:rPr>
                <w:noProof/>
                <w:lang w:val="bg-BG"/>
              </w:rPr>
            </w:pPr>
            <w:r w:rsidRPr="00782BF9">
              <w:rPr>
                <w:noProof/>
                <w:lang w:val="bg-BG"/>
              </w:rPr>
              <w:t>Т4 Г.</w:t>
            </w:r>
          </w:p>
        </w:tc>
        <w:tc>
          <w:tcPr>
            <w:tcW w:w="791" w:type="dxa"/>
            <w:tcBorders>
              <w:top w:val="nil"/>
              <w:left w:val="nil"/>
              <w:bottom w:val="single" w:sz="4" w:space="0" w:color="auto"/>
              <w:right w:val="single" w:sz="4" w:space="0" w:color="auto"/>
            </w:tcBorders>
            <w:shd w:val="clear" w:color="auto" w:fill="C6EFCE"/>
            <w:vAlign w:val="center"/>
            <w:hideMark/>
          </w:tcPr>
          <w:p w14:paraId="42803574" w14:textId="77777777" w:rsidR="00CE3BAD" w:rsidRPr="00782BF9" w:rsidRDefault="006B5475">
            <w:pPr>
              <w:pStyle w:val="P68B1DB1-Normal10"/>
              <w:spacing w:after="0" w:line="240" w:lineRule="auto"/>
              <w:rPr>
                <w:noProof/>
                <w:lang w:val="bg-BG"/>
              </w:rPr>
            </w:pPr>
            <w:r w:rsidRPr="00782BF9">
              <w:rPr>
                <w:noProof/>
                <w:lang w:val="bg-BG"/>
              </w:rPr>
              <w:t>2023</w:t>
            </w:r>
          </w:p>
        </w:tc>
        <w:tc>
          <w:tcPr>
            <w:tcW w:w="4459" w:type="dxa"/>
            <w:tcBorders>
              <w:top w:val="nil"/>
              <w:left w:val="nil"/>
              <w:bottom w:val="single" w:sz="4" w:space="0" w:color="auto"/>
              <w:right w:val="single" w:sz="4" w:space="0" w:color="auto"/>
            </w:tcBorders>
            <w:shd w:val="clear" w:color="auto" w:fill="C6EFCE"/>
            <w:vAlign w:val="center"/>
            <w:hideMark/>
          </w:tcPr>
          <w:p w14:paraId="4B8F830C" w14:textId="2C4A49F8" w:rsidR="00CE3BAD" w:rsidRPr="00782BF9" w:rsidRDefault="006B5475">
            <w:pPr>
              <w:spacing w:after="0" w:line="240" w:lineRule="auto"/>
              <w:jc w:val="both"/>
              <w:rPr>
                <w:noProof/>
                <w:sz w:val="18"/>
                <w:lang w:val="bg-BG"/>
              </w:rPr>
            </w:pPr>
            <w:r w:rsidRPr="00782BF9">
              <w:rPr>
                <w:noProof/>
                <w:sz w:val="18"/>
                <w:lang w:val="bg-BG"/>
              </w:rPr>
              <w:t xml:space="preserve">Най-малко 40 институции за обществено образование </w:t>
            </w:r>
            <w:r w:rsidRPr="00782BF9">
              <w:rPr>
                <w:rStyle w:val="normaltextrun"/>
                <w:rFonts w:ascii="Calibri" w:hAnsi="Calibri"/>
                <w:noProof/>
                <w:sz w:val="18"/>
                <w:bdr w:val="none" w:sz="0" w:space="0" w:color="auto" w:frame="1"/>
                <w:lang w:val="bg-BG"/>
              </w:rPr>
              <w:t xml:space="preserve">и професионално обучение </w:t>
            </w:r>
            <w:r w:rsidRPr="00782BF9">
              <w:rPr>
                <w:noProof/>
                <w:sz w:val="18"/>
                <w:lang w:val="bg-BG"/>
              </w:rPr>
              <w:t xml:space="preserve">в избрани селища се възползват от приобщаващо педагогическо развитие. Подкрепата включва </w:t>
            </w:r>
            <w:r w:rsidRPr="00782BF9">
              <w:rPr>
                <w:rStyle w:val="normaltextrun"/>
                <w:rFonts w:ascii="Calibri" w:hAnsi="Calibri"/>
                <w:noProof/>
                <w:sz w:val="18"/>
                <w:bdr w:val="none" w:sz="0" w:space="0" w:color="auto" w:frame="1"/>
                <w:lang w:val="bg-BG"/>
              </w:rPr>
              <w:t xml:space="preserve">социални диагнози за публичните образователни институции, </w:t>
            </w:r>
            <w:r w:rsidRPr="00782BF9">
              <w:rPr>
                <w:noProof/>
                <w:sz w:val="18"/>
                <w:lang w:val="bg-BG"/>
              </w:rPr>
              <w:t>разширени училищни програми, стипендии за средни училища, водещи до „матура“, прилагане на ориентирани към общността методи на преподаване и професионално ориентиране</w:t>
            </w:r>
            <w:r w:rsidRPr="00782BF9">
              <w:rPr>
                <w:noProof/>
                <w:sz w:val="18"/>
                <w:shd w:val="clear" w:color="auto" w:fill="E6E6E6"/>
                <w:lang w:val="bg-BG"/>
              </w:rPr>
              <w:t>.</w:t>
            </w:r>
          </w:p>
        </w:tc>
      </w:tr>
      <w:tr w:rsidR="00CE3BAD" w:rsidRPr="00782BF9" w14:paraId="577222E1" w14:textId="77777777">
        <w:trPr>
          <w:trHeight w:val="690"/>
        </w:trPr>
        <w:tc>
          <w:tcPr>
            <w:tcW w:w="101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34F7E18" w14:textId="3922BB19" w:rsidR="00CE3BAD" w:rsidRPr="00782BF9" w:rsidRDefault="006B5475">
            <w:pPr>
              <w:pStyle w:val="P68B1DB1-Normal10"/>
              <w:spacing w:after="0" w:line="240" w:lineRule="auto"/>
              <w:rPr>
                <w:noProof/>
                <w:lang w:val="bg-BG"/>
              </w:rPr>
            </w:pPr>
            <w:r w:rsidRPr="00782BF9">
              <w:rPr>
                <w:noProof/>
                <w:lang w:val="bg-BG"/>
              </w:rPr>
              <w:t>62</w:t>
            </w:r>
          </w:p>
        </w:tc>
        <w:tc>
          <w:tcPr>
            <w:tcW w:w="1509" w:type="dxa"/>
            <w:tcBorders>
              <w:top w:val="single" w:sz="4" w:space="0" w:color="auto"/>
              <w:left w:val="nil"/>
              <w:bottom w:val="single" w:sz="4" w:space="0" w:color="auto"/>
              <w:right w:val="single" w:sz="4" w:space="0" w:color="auto"/>
            </w:tcBorders>
            <w:shd w:val="clear" w:color="auto" w:fill="C6EFCE"/>
            <w:vAlign w:val="center"/>
            <w:hideMark/>
          </w:tcPr>
          <w:p w14:paraId="3BA524ED" w14:textId="32B09839" w:rsidR="00CE3BAD" w:rsidRPr="00782BF9" w:rsidRDefault="006B5475">
            <w:pPr>
              <w:pStyle w:val="P68B1DB1-Normal10"/>
              <w:spacing w:after="0" w:line="240" w:lineRule="auto"/>
              <w:rPr>
                <w:noProof/>
                <w:lang w:val="bg-BG"/>
              </w:rPr>
            </w:pPr>
            <w:r w:rsidRPr="00782BF9">
              <w:rPr>
                <w:noProof/>
                <w:lang w:val="bg-BG"/>
              </w:rPr>
              <w:t>C3.I4 педагогика, ориентирана към Общността</w:t>
            </w:r>
          </w:p>
        </w:tc>
        <w:tc>
          <w:tcPr>
            <w:tcW w:w="1023" w:type="dxa"/>
            <w:tcBorders>
              <w:top w:val="single" w:sz="4" w:space="0" w:color="auto"/>
              <w:left w:val="nil"/>
              <w:bottom w:val="single" w:sz="4" w:space="0" w:color="auto"/>
              <w:right w:val="single" w:sz="4" w:space="0" w:color="auto"/>
            </w:tcBorders>
            <w:shd w:val="clear" w:color="auto" w:fill="C6EFCE"/>
            <w:vAlign w:val="center"/>
            <w:hideMark/>
          </w:tcPr>
          <w:p w14:paraId="49867981" w14:textId="77777777" w:rsidR="00CE3BAD" w:rsidRPr="00782BF9" w:rsidRDefault="006B5475">
            <w:pPr>
              <w:pStyle w:val="P68B1DB1-Normal10"/>
              <w:spacing w:after="0" w:line="240" w:lineRule="auto"/>
              <w:rPr>
                <w:noProof/>
                <w:lang w:val="bg-BG"/>
              </w:rPr>
            </w:pPr>
            <w:r w:rsidRPr="00782BF9">
              <w:rPr>
                <w:noProof/>
                <w:lang w:val="bg-BG"/>
              </w:rPr>
              <w:t>Целеви</w:t>
            </w:r>
          </w:p>
        </w:tc>
        <w:tc>
          <w:tcPr>
            <w:tcW w:w="1984" w:type="dxa"/>
            <w:tcBorders>
              <w:top w:val="single" w:sz="4" w:space="0" w:color="auto"/>
              <w:left w:val="nil"/>
              <w:bottom w:val="single" w:sz="4" w:space="0" w:color="auto"/>
              <w:right w:val="single" w:sz="4" w:space="0" w:color="auto"/>
            </w:tcBorders>
            <w:shd w:val="clear" w:color="auto" w:fill="C6EFCE"/>
            <w:vAlign w:val="center"/>
            <w:hideMark/>
          </w:tcPr>
          <w:p w14:paraId="46F028CC" w14:textId="77777777" w:rsidR="00CE3BAD" w:rsidRPr="00782BF9" w:rsidRDefault="006B5475">
            <w:pPr>
              <w:spacing w:after="0" w:line="240" w:lineRule="auto"/>
              <w:rPr>
                <w:noProof/>
                <w:sz w:val="18"/>
                <w:lang w:val="bg-BG"/>
              </w:rPr>
            </w:pPr>
            <w:r w:rsidRPr="00782BF9">
              <w:rPr>
                <w:noProof/>
                <w:sz w:val="18"/>
                <w:lang w:val="bg-BG"/>
              </w:rPr>
              <w:t xml:space="preserve">Педагогическо развитие на допълнителни обществени институции за образование </w:t>
            </w:r>
            <w:r w:rsidRPr="00782BF9">
              <w:rPr>
                <w:rStyle w:val="normaltextrun"/>
                <w:rFonts w:ascii="Calibri" w:hAnsi="Calibri"/>
                <w:noProof/>
                <w:sz w:val="18"/>
                <w:bdr w:val="none" w:sz="0" w:space="0" w:color="auto" w:frame="1"/>
                <w:lang w:val="bg-BG"/>
              </w:rPr>
              <w:t xml:space="preserve">и професионално обучение </w:t>
            </w:r>
            <w:r w:rsidRPr="00782BF9">
              <w:rPr>
                <w:noProof/>
                <w:sz w:val="18"/>
                <w:lang w:val="bg-BG"/>
              </w:rPr>
              <w:t>в избраните населени места</w:t>
            </w:r>
          </w:p>
        </w:tc>
        <w:tc>
          <w:tcPr>
            <w:tcW w:w="1540" w:type="dxa"/>
            <w:tcBorders>
              <w:top w:val="single" w:sz="4" w:space="0" w:color="auto"/>
              <w:left w:val="nil"/>
              <w:bottom w:val="single" w:sz="4" w:space="0" w:color="auto"/>
              <w:right w:val="single" w:sz="4" w:space="0" w:color="auto"/>
            </w:tcBorders>
            <w:shd w:val="clear" w:color="auto" w:fill="C6EFCE"/>
            <w:vAlign w:val="center"/>
            <w:hideMark/>
          </w:tcPr>
          <w:p w14:paraId="0659F946" w14:textId="77777777" w:rsidR="00CE3BAD" w:rsidRPr="00782BF9" w:rsidRDefault="00CE3BAD">
            <w:pPr>
              <w:spacing w:after="0" w:line="240" w:lineRule="auto"/>
              <w:rPr>
                <w:noProof/>
                <w:sz w:val="18"/>
                <w:lang w:val="bg-BG"/>
              </w:rPr>
            </w:pPr>
          </w:p>
        </w:tc>
        <w:tc>
          <w:tcPr>
            <w:tcW w:w="1075" w:type="dxa"/>
            <w:tcBorders>
              <w:top w:val="single" w:sz="4" w:space="0" w:color="auto"/>
              <w:left w:val="nil"/>
              <w:bottom w:val="single" w:sz="4" w:space="0" w:color="auto"/>
              <w:right w:val="single" w:sz="4" w:space="0" w:color="auto"/>
            </w:tcBorders>
            <w:shd w:val="clear" w:color="auto" w:fill="C6EFCE"/>
            <w:vAlign w:val="center"/>
            <w:hideMark/>
          </w:tcPr>
          <w:p w14:paraId="44BC99C4" w14:textId="77777777" w:rsidR="00CE3BAD" w:rsidRPr="00782BF9" w:rsidRDefault="006B5475">
            <w:pPr>
              <w:pStyle w:val="P68B1DB1-Normal10"/>
              <w:spacing w:after="0" w:line="240" w:lineRule="auto"/>
              <w:rPr>
                <w:noProof/>
                <w:lang w:val="bg-BG"/>
              </w:rPr>
            </w:pPr>
            <w:r w:rsidRPr="00782BF9">
              <w:rPr>
                <w:noProof/>
                <w:lang w:val="bg-BG"/>
              </w:rPr>
              <w:t>Брой</w:t>
            </w:r>
          </w:p>
        </w:tc>
        <w:tc>
          <w:tcPr>
            <w:tcW w:w="1072" w:type="dxa"/>
            <w:tcBorders>
              <w:top w:val="single" w:sz="4" w:space="0" w:color="auto"/>
              <w:left w:val="nil"/>
              <w:bottom w:val="single" w:sz="4" w:space="0" w:color="auto"/>
              <w:right w:val="single" w:sz="4" w:space="0" w:color="auto"/>
            </w:tcBorders>
            <w:shd w:val="clear" w:color="auto" w:fill="C6EFCE"/>
            <w:vAlign w:val="center"/>
            <w:hideMark/>
          </w:tcPr>
          <w:p w14:paraId="1263DBE8" w14:textId="77777777" w:rsidR="00CE3BAD" w:rsidRPr="00782BF9" w:rsidRDefault="006B5475">
            <w:pPr>
              <w:pStyle w:val="P68B1DB1-Normal10"/>
              <w:spacing w:after="0" w:line="240" w:lineRule="auto"/>
              <w:rPr>
                <w:noProof/>
                <w:lang w:val="bg-BG"/>
              </w:rPr>
            </w:pPr>
            <w:r w:rsidRPr="00782BF9">
              <w:rPr>
                <w:noProof/>
                <w:lang w:val="bg-BG"/>
              </w:rPr>
              <w:t>40</w:t>
            </w:r>
          </w:p>
        </w:tc>
        <w:tc>
          <w:tcPr>
            <w:tcW w:w="1030" w:type="dxa"/>
            <w:tcBorders>
              <w:top w:val="single" w:sz="4" w:space="0" w:color="auto"/>
              <w:left w:val="nil"/>
              <w:bottom w:val="single" w:sz="4" w:space="0" w:color="auto"/>
              <w:right w:val="single" w:sz="4" w:space="0" w:color="auto"/>
            </w:tcBorders>
            <w:shd w:val="clear" w:color="auto" w:fill="C6EFCE"/>
            <w:vAlign w:val="center"/>
            <w:hideMark/>
          </w:tcPr>
          <w:p w14:paraId="1BF815BF" w14:textId="77777777" w:rsidR="00CE3BAD" w:rsidRPr="00782BF9" w:rsidRDefault="006B5475">
            <w:pPr>
              <w:pStyle w:val="P68B1DB1-Normal10"/>
              <w:spacing w:after="0" w:line="240" w:lineRule="auto"/>
              <w:rPr>
                <w:noProof/>
                <w:lang w:val="bg-BG"/>
              </w:rPr>
            </w:pPr>
            <w:r w:rsidRPr="00782BF9">
              <w:rPr>
                <w:noProof/>
                <w:lang w:val="bg-BG"/>
              </w:rPr>
              <w:t>100</w:t>
            </w:r>
          </w:p>
        </w:tc>
        <w:tc>
          <w:tcPr>
            <w:tcW w:w="806" w:type="dxa"/>
            <w:tcBorders>
              <w:top w:val="single" w:sz="4" w:space="0" w:color="auto"/>
              <w:left w:val="nil"/>
              <w:bottom w:val="single" w:sz="4" w:space="0" w:color="auto"/>
              <w:right w:val="single" w:sz="4" w:space="0" w:color="auto"/>
            </w:tcBorders>
            <w:shd w:val="clear" w:color="auto" w:fill="C6EFCE"/>
            <w:vAlign w:val="center"/>
            <w:hideMark/>
          </w:tcPr>
          <w:p w14:paraId="1766F849" w14:textId="77777777" w:rsidR="00CE3BAD" w:rsidRPr="00782BF9" w:rsidRDefault="006B5475">
            <w:pPr>
              <w:pStyle w:val="P68B1DB1-Normal10"/>
              <w:spacing w:after="0" w:line="240" w:lineRule="auto"/>
              <w:rPr>
                <w:noProof/>
                <w:lang w:val="bg-BG"/>
              </w:rPr>
            </w:pPr>
            <w:r w:rsidRPr="00782BF9">
              <w:rPr>
                <w:noProof/>
                <w:lang w:val="bg-BG"/>
              </w:rPr>
              <w:t>Т2 Г.</w:t>
            </w:r>
          </w:p>
        </w:tc>
        <w:tc>
          <w:tcPr>
            <w:tcW w:w="791" w:type="dxa"/>
            <w:tcBorders>
              <w:top w:val="single" w:sz="4" w:space="0" w:color="auto"/>
              <w:left w:val="nil"/>
              <w:bottom w:val="single" w:sz="4" w:space="0" w:color="auto"/>
              <w:right w:val="single" w:sz="4" w:space="0" w:color="auto"/>
            </w:tcBorders>
            <w:shd w:val="clear" w:color="auto" w:fill="C6EFCE"/>
            <w:vAlign w:val="center"/>
            <w:hideMark/>
          </w:tcPr>
          <w:p w14:paraId="644FCF53" w14:textId="77777777" w:rsidR="00CE3BAD" w:rsidRPr="00782BF9" w:rsidRDefault="006B5475">
            <w:pPr>
              <w:pStyle w:val="P68B1DB1-Normal10"/>
              <w:spacing w:after="0" w:line="240" w:lineRule="auto"/>
              <w:rPr>
                <w:noProof/>
                <w:lang w:val="bg-BG"/>
              </w:rPr>
            </w:pPr>
            <w:r w:rsidRPr="00782BF9">
              <w:rPr>
                <w:noProof/>
                <w:lang w:val="bg-BG"/>
              </w:rPr>
              <w:t>2026</w:t>
            </w:r>
          </w:p>
        </w:tc>
        <w:tc>
          <w:tcPr>
            <w:tcW w:w="4459" w:type="dxa"/>
            <w:tcBorders>
              <w:top w:val="single" w:sz="4" w:space="0" w:color="auto"/>
              <w:left w:val="nil"/>
              <w:bottom w:val="single" w:sz="4" w:space="0" w:color="auto"/>
              <w:right w:val="single" w:sz="4" w:space="0" w:color="auto"/>
            </w:tcBorders>
            <w:shd w:val="clear" w:color="auto" w:fill="C6EFCE"/>
            <w:vAlign w:val="center"/>
            <w:hideMark/>
          </w:tcPr>
          <w:p w14:paraId="64D195F1" w14:textId="22B6DBBF" w:rsidR="00CE3BAD" w:rsidRPr="00782BF9" w:rsidRDefault="006B5475">
            <w:pPr>
              <w:spacing w:after="0" w:line="240" w:lineRule="auto"/>
              <w:jc w:val="both"/>
              <w:rPr>
                <w:noProof/>
                <w:sz w:val="18"/>
                <w:lang w:val="bg-BG"/>
              </w:rPr>
            </w:pPr>
            <w:r w:rsidRPr="00782BF9">
              <w:rPr>
                <w:noProof/>
                <w:sz w:val="18"/>
                <w:lang w:val="bg-BG"/>
              </w:rPr>
              <w:t xml:space="preserve">Най-малко 60 допълнителни институции за обществено образование </w:t>
            </w:r>
            <w:r w:rsidRPr="00782BF9">
              <w:rPr>
                <w:rStyle w:val="normaltextrun"/>
                <w:rFonts w:ascii="Calibri" w:hAnsi="Calibri"/>
                <w:noProof/>
                <w:sz w:val="18"/>
                <w:bdr w:val="none" w:sz="0" w:space="0" w:color="auto" w:frame="1"/>
                <w:lang w:val="bg-BG"/>
              </w:rPr>
              <w:t xml:space="preserve">и професионално обучение </w:t>
            </w:r>
            <w:r w:rsidRPr="00782BF9">
              <w:rPr>
                <w:noProof/>
                <w:sz w:val="18"/>
                <w:lang w:val="bg-BG"/>
              </w:rPr>
              <w:t>в избрани селища се възползват от приобщаващо педагогическо развитие. Подкрепата включва социални диагнози за публичните образователни институции, разширени училищни програми, стипендии за средни училища, водещи до „матура“, прилагане на ориентирани към общността методи на преподаване и професионално ориентиране.</w:t>
            </w:r>
          </w:p>
        </w:tc>
      </w:tr>
    </w:tbl>
    <w:p w14:paraId="18E11362" w14:textId="35C5DD0A" w:rsidR="00CE3BAD" w:rsidRPr="00782BF9" w:rsidRDefault="00CE3BAD">
      <w:pPr>
        <w:spacing w:after="160" w:line="259" w:lineRule="auto"/>
        <w:rPr>
          <w:rFonts w:ascii="Times New Roman" w:eastAsiaTheme="minorEastAsia" w:hAnsi="Times New Roman" w:cs="Times New Roman"/>
          <w:b/>
          <w:noProof/>
          <w:sz w:val="24"/>
          <w:u w:val="single"/>
          <w:lang w:val="bg-BG"/>
        </w:rPr>
      </w:pPr>
    </w:p>
    <w:p w14:paraId="66660970" w14:textId="77777777" w:rsidR="00CE3BAD" w:rsidRPr="00782BF9" w:rsidRDefault="00CE3BAD">
      <w:pPr>
        <w:jc w:val="both"/>
        <w:rPr>
          <w:rFonts w:ascii="Times New Roman" w:hAnsi="Times New Roman"/>
          <w:noProof/>
          <w:sz w:val="24"/>
          <w:lang w:val="bg-BG"/>
        </w:rPr>
        <w:sectPr w:rsidR="00CE3BAD" w:rsidRPr="00782BF9" w:rsidSect="005105E0">
          <w:headerReference w:type="even" r:id="rId57"/>
          <w:headerReference w:type="default" r:id="rId58"/>
          <w:footerReference w:type="even" r:id="rId59"/>
          <w:footerReference w:type="default" r:id="rId60"/>
          <w:headerReference w:type="first" r:id="rId61"/>
          <w:footerReference w:type="first" r:id="rId62"/>
          <w:pgSz w:w="16839" w:h="11907" w:orient="landscape"/>
          <w:pgMar w:top="1417" w:right="1134" w:bottom="1417" w:left="1134" w:header="709" w:footer="709" w:gutter="0"/>
          <w:cols w:space="720"/>
          <w:docGrid w:linePitch="360"/>
        </w:sectPr>
      </w:pPr>
    </w:p>
    <w:p w14:paraId="73850293" w14:textId="77777777" w:rsidR="00CE3BAD" w:rsidRPr="00782BF9" w:rsidRDefault="00CE3BAD">
      <w:pPr>
        <w:pStyle w:val="Heading2"/>
        <w:ind w:left="0" w:firstLine="0"/>
        <w:rPr>
          <w:noProof/>
          <w:sz w:val="2"/>
          <w:lang w:val="bg-BG"/>
        </w:rPr>
      </w:pPr>
    </w:p>
    <w:p w14:paraId="4B3B7F2A" w14:textId="53C421BD" w:rsidR="00CE3BAD" w:rsidRPr="00782BF9" w:rsidRDefault="006B5475">
      <w:pPr>
        <w:pStyle w:val="P68B1DB1-Normal1"/>
        <w:keepNext/>
        <w:spacing w:before="40" w:after="0"/>
        <w:jc w:val="both"/>
        <w:outlineLvl w:val="1"/>
        <w:rPr>
          <w:rFonts w:eastAsiaTheme="minorEastAsia" w:cs="Times New Roman"/>
          <w:noProof/>
          <w:lang w:val="bg-BG"/>
        </w:rPr>
      </w:pPr>
      <w:r w:rsidRPr="00782BF9">
        <w:rPr>
          <w:noProof/>
          <w:lang w:val="bg-BG"/>
        </w:rPr>
        <w:t>Г. КОМПОНЕНТ 4: УПРАВЛЕНИЕ НА ВОДАТА</w:t>
      </w:r>
    </w:p>
    <w:p w14:paraId="448A45A0" w14:textId="77777777" w:rsidR="00CE3BAD" w:rsidRPr="00782BF9" w:rsidRDefault="00CE3BAD">
      <w:pPr>
        <w:keepNext/>
        <w:spacing w:before="40" w:after="0"/>
        <w:jc w:val="both"/>
        <w:rPr>
          <w:rFonts w:ascii="Times New Roman" w:eastAsia="Times New Roman" w:hAnsi="Times New Roman" w:cs="Times New Roman"/>
          <w:noProof/>
          <w:sz w:val="24"/>
          <w:lang w:val="bg-BG"/>
        </w:rPr>
      </w:pPr>
    </w:p>
    <w:p w14:paraId="079DDD07"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Този компонент на унгарския план за възстановяване и устойчивост има за цел да се преодолеят предизвикателствата, пред които е изправена Унгария във връзка с управлението на водите, по-специално във връзка с риска от суша. Недостигът на вода оказва отрицателно въздействие върху състоянието на водните обекти, екосистемите и земеделските земи. </w:t>
      </w:r>
    </w:p>
    <w:p w14:paraId="4E34F71C" w14:textId="6EF234A4"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този компонент е да допринесе за въвеждането на решения в областта на управлението на водите чрез създаването на ефективна система за мониторинг на местно и национално равнище и чрез създаването на нови общности за устойчиво управление на водите. Компонентът включва и мерки, насочени към подобряване на сигурността на водоснабдяването в защитената зона по „Натура 2000“ Hanság и към започване на размисъл и прилагане на мерки с цел ускоряване на мерките за адаптиране към изменението на климата при управлението на водите, по-специално чрез внедряване на природосъобразни решения. </w:t>
      </w:r>
    </w:p>
    <w:p w14:paraId="60F8D565" w14:textId="519F13E1"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Мерките по този компонент са съсредоточени предимно върху опазването на подземните водни ресурси и осигуряването на екологично подходящо задържане на водните ресурси. Очаква се подобряването на системата на Унгария за мониторинг на управлението на водите чрез увеличаване на броя на станциите за мониторинг да допринесе за по-доброто управление на водочерпенето от съответните органи.</w:t>
      </w:r>
    </w:p>
    <w:p w14:paraId="451F76EE"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Компонентът допринася за изпълнението на специфичните за всяка държава препоръки за съсредоточаване на свързаната с инвестициите икономическа политика върху устойчивото управление на водите (специфична за държавата препоръка 3 през 2020 г. и специфична за държавата препоръка 5 през 2022 г.). </w:t>
      </w:r>
    </w:p>
    <w:p w14:paraId="6322703C" w14:textId="399B0872"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Очаква се, че нито една мярка в този компонент не нанася значителни вреди на екологичните цели по смисъла на член 17 от Регламент (ЕС) 2020/852, като се вземе предвид описанието на мерките и стъпките за смекчаване, определени в плана за възстановяване и устойчивост в съответствие с Техническите насоки съгласно принципа за ненанасяне на значителни вреди (2021/C58/01). </w:t>
      </w:r>
    </w:p>
    <w:p w14:paraId="0B9FD9BB"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3B389D97" w14:textId="77777777" w:rsidR="00CE3BAD" w:rsidRPr="00782BF9" w:rsidRDefault="006B5475">
      <w:pPr>
        <w:pStyle w:val="P68B1DB1-Normal1"/>
        <w:keepNext/>
        <w:spacing w:after="120" w:line="240" w:lineRule="auto"/>
        <w:jc w:val="both"/>
        <w:outlineLvl w:val="1"/>
        <w:rPr>
          <w:rFonts w:eastAsia="Times New Roman" w:cs="Times New Roman"/>
          <w:noProof/>
          <w:lang w:val="bg-BG"/>
        </w:rPr>
      </w:pPr>
      <w:r w:rsidRPr="00782BF9">
        <w:rPr>
          <w:noProof/>
          <w:lang w:val="bg-BG"/>
        </w:rPr>
        <w:t>Г.1. Описание на реформите и инвестициите за безвъзмездна финансова подкрепа</w:t>
      </w:r>
    </w:p>
    <w:p w14:paraId="06028400" w14:textId="632330E3"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C4.R1: Повишаване на осведомеността</w:t>
      </w:r>
    </w:p>
    <w:p w14:paraId="298E94D2" w14:textId="5ECA8BAF"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реформата е да се разшири обхватът на съществуващите сдружения на земеделски стопани, наричани още „общности за напояване „, до „общности за устойчиво управление на водите“, като се постави акцент върху практиките за устойчиво управление на водите и устойчивите решения за адаптиране към изменението на климата. За тази цел Закон CXIII/2019 и Правителствено постановление № 302/2020 се изменят, за да се разшири обхватът на съществуващите сдружения на земеделски стопани. Създават се нови „общности за устойчиво управление на водите“ с цел насърчаване на устойчиви решения за управление на водите (наред с другото задържане на вода) и обмен на най-добри практики. С реформата ще се стартират и информационни кампании под формата на информационни сесии, организирани от Министерството на земеделието, така че новосъздадените „общности за устойчиво управление на водите“, както и всички вече съществуващи общности, да повишат осведомеността си за значението на устойчивото управление на водите и да придобият ноу-хау за ефективни решения за неговото прилагане. </w:t>
      </w:r>
    </w:p>
    <w:p w14:paraId="5DF00531" w14:textId="4454CDE1" w:rsidR="00CE3BAD" w:rsidRPr="00782BF9" w:rsidRDefault="006B5475">
      <w:pPr>
        <w:spacing w:after="120" w:line="240" w:lineRule="auto"/>
        <w:jc w:val="both"/>
        <w:rPr>
          <w:rFonts w:ascii="Times New Roman" w:eastAsia="Times New Roman" w:hAnsi="Times New Roman" w:cs="Times New Roman"/>
          <w:noProof/>
          <w:sz w:val="24"/>
          <w:lang w:val="bg-BG"/>
        </w:rPr>
      </w:pPr>
      <w:r w:rsidRPr="00782BF9">
        <w:rPr>
          <w:rFonts w:ascii="Times New Roman" w:hAnsi="Times New Roman"/>
          <w:noProof/>
          <w:sz w:val="24"/>
          <w:lang w:val="bg-BG"/>
        </w:rPr>
        <w:t>Реформата включва минимум 50 000 хектара обработваема земя, която претърпява промени в селскостопанските практики за пестене на вода</w:t>
      </w:r>
      <w:r w:rsidRPr="00782BF9">
        <w:rPr>
          <w:noProof/>
          <w:lang w:val="bg-BG"/>
        </w:rPr>
        <w:t>.</w:t>
      </w:r>
      <w:r w:rsidRPr="00782BF9">
        <w:rPr>
          <w:rStyle w:val="FootnoteReference"/>
          <w:rFonts w:ascii="Times New Roman" w:eastAsia="Times New Roman" w:hAnsi="Times New Roman" w:cs="Times New Roman"/>
          <w:noProof/>
          <w:sz w:val="24"/>
          <w:lang w:val="bg-BG"/>
        </w:rPr>
        <w:footnoteReference w:id="2"/>
      </w:r>
      <w:r w:rsidRPr="00782BF9">
        <w:rPr>
          <w:rFonts w:ascii="Times New Roman" w:hAnsi="Times New Roman"/>
          <w:noProof/>
          <w:sz w:val="24"/>
          <w:lang w:val="bg-BG"/>
        </w:rPr>
        <w:t xml:space="preserve"> </w:t>
      </w:r>
    </w:p>
    <w:p w14:paraId="5C041EE3"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Изпълнението на реформата трябва да приключи до 31 март 2026 г.</w:t>
      </w:r>
    </w:p>
    <w:p w14:paraId="44608625"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4D1F4417" w14:textId="073CCD78" w:rsidR="00CE3BAD" w:rsidRPr="00782BF9" w:rsidRDefault="005347CC">
      <w:pPr>
        <w:spacing w:after="120" w:line="240" w:lineRule="auto"/>
        <w:jc w:val="both"/>
        <w:rPr>
          <w:rFonts w:ascii="Times New Roman" w:eastAsia="Times New Roman" w:hAnsi="Times New Roman" w:cs="Times New Roman"/>
          <w:b/>
          <w:noProof/>
          <w:sz w:val="24"/>
          <w:lang w:val="bg-BG"/>
        </w:rPr>
      </w:pPr>
      <w:r w:rsidRPr="00782BF9">
        <w:rPr>
          <w:rFonts w:ascii="Times New Roman" w:hAnsi="Times New Roman"/>
          <w:b/>
          <w:noProof/>
          <w:sz w:val="24"/>
          <w:lang w:val="bg-BG"/>
        </w:rPr>
        <w:t>C</w:t>
      </w:r>
      <w:r w:rsidR="006B5475" w:rsidRPr="00782BF9">
        <w:rPr>
          <w:rFonts w:ascii="Times New Roman" w:hAnsi="Times New Roman"/>
          <w:b/>
          <w:noProof/>
          <w:sz w:val="24"/>
          <w:lang w:val="bg-BG"/>
        </w:rPr>
        <w:t>4.</w:t>
      </w:r>
      <w:r w:rsidRPr="00782BF9">
        <w:rPr>
          <w:rFonts w:ascii="Times New Roman" w:hAnsi="Times New Roman"/>
          <w:b/>
          <w:noProof/>
          <w:sz w:val="24"/>
          <w:lang w:val="bg-BG"/>
        </w:rPr>
        <w:t>I</w:t>
      </w:r>
      <w:r w:rsidR="006B5475" w:rsidRPr="00782BF9">
        <w:rPr>
          <w:rFonts w:ascii="Times New Roman" w:hAnsi="Times New Roman"/>
          <w:b/>
          <w:noProof/>
          <w:sz w:val="24"/>
          <w:lang w:val="bg-BG"/>
        </w:rPr>
        <w:t>2: Създаване на система за мониторинг</w:t>
      </w:r>
      <w:r w:rsidR="006B5475" w:rsidRPr="00782BF9">
        <w:rPr>
          <w:rStyle w:val="FootnoteReference"/>
          <w:rFonts w:ascii="Times New Roman" w:hAnsi="Times New Roman"/>
          <w:b/>
          <w:noProof/>
          <w:sz w:val="24"/>
          <w:lang w:val="bg-BG"/>
        </w:rPr>
        <w:footnoteReference w:id="3"/>
      </w:r>
    </w:p>
    <w:p w14:paraId="438412C7" w14:textId="3566777D"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инвестицията е да допринесе за устойчивото управление на водните ресурси. Познаването на водния поток в повърхностните водни басейни и други хидроложки параметри и параметри за качество на водите в региона е основна предпоставка за устойчиво управление на водните ресурси. Благодарение на инвестицията се очаква да бъдат предприети действия въз основа на данните в реално време от мониторинговите системи в случай на качествено и количествено влошаване на състоянието на водните обекти. Очаква се използването на интелигентно наблюдение, ИТ инструменти, взаимосвързаността на системите за данни и функцията за динамично планиране и контрол да осигурят необходимата входяща информация, необходима за планирането. </w:t>
      </w:r>
    </w:p>
    <w:p w14:paraId="3CD12FC3" w14:textId="73BFF243"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Инвестицията се състои в разработването на всеобхватна система за мониторинг на водочерпенето на местно и национално равнище. Тази система за мониторинг се използва за оценка на водочерпенето както от подземни, така и от повърхностни води. </w:t>
      </w:r>
    </w:p>
    <w:p w14:paraId="40223304"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Тези инвестиции включват изграждането</w:t>
      </w:r>
      <w:r w:rsidRPr="00782BF9">
        <w:rPr>
          <w:b/>
          <w:noProof/>
          <w:lang w:val="bg-BG"/>
        </w:rPr>
        <w:t xml:space="preserve"> </w:t>
      </w:r>
      <w:r w:rsidRPr="00782BF9">
        <w:rPr>
          <w:noProof/>
          <w:lang w:val="bg-BG"/>
        </w:rPr>
        <w:t xml:space="preserve">на повърхностни хидрографски станции, инсталирането на съвременно оборудване за хидрографски мониторинг и по-нататъшното развитие на подземни системи за мониторинг чрез изграждане на нови кладенци за откриване на нивото на подпочвените води, които са изградени с интегрирана сонда за налягане за системи за дистанционно откриване. </w:t>
      </w:r>
    </w:p>
    <w:p w14:paraId="7B0BFEDC"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Изпълнението на инвестицията трябва да приключи до 31 декември 2025 г. </w:t>
      </w:r>
    </w:p>
    <w:p w14:paraId="706D7881" w14:textId="77777777" w:rsidR="00CE3BAD" w:rsidRPr="00782BF9" w:rsidRDefault="00CE3BAD">
      <w:pPr>
        <w:spacing w:after="120" w:line="240" w:lineRule="auto"/>
        <w:jc w:val="both"/>
        <w:rPr>
          <w:rFonts w:ascii="Times New Roman" w:eastAsia="Times New Roman" w:hAnsi="Times New Roman" w:cs="Times New Roman"/>
          <w:b/>
          <w:noProof/>
          <w:sz w:val="24"/>
          <w:lang w:val="bg-BG"/>
        </w:rPr>
      </w:pPr>
    </w:p>
    <w:p w14:paraId="31F6B34E" w14:textId="05EF271D" w:rsidR="00CE3BAD" w:rsidRPr="00782BF9" w:rsidRDefault="005347CC">
      <w:pPr>
        <w:pStyle w:val="P68B1DB1-Normal2"/>
        <w:spacing w:after="120" w:line="240" w:lineRule="auto"/>
        <w:jc w:val="both"/>
        <w:rPr>
          <w:rFonts w:eastAsia="Times New Roman" w:cs="Times New Roman"/>
          <w:noProof/>
          <w:lang w:val="bg-BG"/>
        </w:rPr>
      </w:pPr>
      <w:r w:rsidRPr="00782BF9">
        <w:rPr>
          <w:noProof/>
          <w:lang w:val="bg-BG"/>
        </w:rPr>
        <w:t>C</w:t>
      </w:r>
      <w:r w:rsidR="006B5475" w:rsidRPr="00782BF9">
        <w:rPr>
          <w:noProof/>
          <w:lang w:val="bg-BG"/>
        </w:rPr>
        <w:t>4.</w:t>
      </w:r>
      <w:r w:rsidRPr="00782BF9">
        <w:rPr>
          <w:noProof/>
          <w:lang w:val="bg-BG"/>
        </w:rPr>
        <w:t>I</w:t>
      </w:r>
      <w:r w:rsidR="006B5475" w:rsidRPr="00782BF9">
        <w:rPr>
          <w:noProof/>
          <w:lang w:val="bg-BG"/>
        </w:rPr>
        <w:t>3: Защита на природата</w:t>
      </w:r>
    </w:p>
    <w:p w14:paraId="60498E53" w14:textId="18F983DE"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Инвестицията се извършва в района Hanság на водната система Rábaköz-Tóköz, за да се подобри водният баланс на зоната по „Натура 2000“ и да се направи по-сигурно екологичното попълване на водата и да се подобри задържането на повърхностните и подземните води. Целта на инвестицията е опазване и подобряване на екологичното състояние на защитените местообитания и местообитанията по „Натура 2000“ в Hanság в целевата зона от 4 950 ha чрез подобряване на капацитета за съхранение на подземни и повърхностни води.  </w:t>
      </w:r>
    </w:p>
    <w:p w14:paraId="00E601F0"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Основните дейности на инвестицията са насочени към модернизиране на системата от канали, разработена преди това, за да се гарантира балансирано водоснабдяване. Като се имат предвид целите за опазване на управлението на земята, планираните дейности включват необходимото обновяване на някои участъци от речното корито и пречиствателните ивици, обновяване на съоръженията за контрол и задържане на водите и изграждане на нови съоръжения.</w:t>
      </w:r>
    </w:p>
    <w:p w14:paraId="12E50A5D" w14:textId="6852D95D"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Инвестицията допринася за по-голямо задържане и по-консервативно управление на наличните на местно равнище водни ресурси. Очаква се да се гарантират екологичните условия, необходими за опазването на екосистемите във влажните зони, в които се намират местообитания и видове от интерес за Общността. </w:t>
      </w:r>
    </w:p>
    <w:p w14:paraId="77CB51C6" w14:textId="77777777" w:rsidR="00CE3BAD" w:rsidRPr="00782BF9" w:rsidRDefault="006B5475">
      <w:pPr>
        <w:spacing w:after="120" w:line="240" w:lineRule="auto"/>
        <w:jc w:val="both"/>
        <w:rPr>
          <w:rFonts w:ascii="Times New Roman" w:eastAsia="Times New Roman" w:hAnsi="Times New Roman" w:cs="Times New Roman"/>
          <w:noProof/>
          <w:sz w:val="24"/>
          <w:lang w:val="bg-BG"/>
        </w:rPr>
      </w:pPr>
      <w:r w:rsidRPr="00782BF9">
        <w:rPr>
          <w:rFonts w:ascii="Times New Roman" w:hAnsi="Times New Roman"/>
          <w:noProof/>
          <w:sz w:val="24"/>
          <w:lang w:val="bg-BG"/>
        </w:rPr>
        <w:t>Приоритет се отдава на задържането на водата, получена чрез валежи или от естествени водни течения нагоре по течението. Проектът трябва да включва значителни природосъобразни решения за задържане на вода</w:t>
      </w:r>
      <w:r w:rsidRPr="00782BF9">
        <w:rPr>
          <w:rStyle w:val="FootnoteReference"/>
          <w:rFonts w:ascii="Times New Roman" w:eastAsia="Times New Roman" w:hAnsi="Times New Roman" w:cs="Times New Roman"/>
          <w:noProof/>
          <w:color w:val="000000" w:themeColor="text1"/>
          <w:sz w:val="24"/>
          <w:lang w:val="bg-BG"/>
        </w:rPr>
        <w:footnoteReference w:id="4"/>
      </w:r>
      <w:r w:rsidRPr="00782BF9">
        <w:rPr>
          <w:rFonts w:ascii="Times New Roman" w:hAnsi="Times New Roman"/>
          <w:noProof/>
          <w:sz w:val="24"/>
          <w:lang w:val="bg-BG"/>
        </w:rPr>
        <w:t>, влажни зони и възстановяване на торфищата, по-специално N02 (възстановяване и управление на влажни зони) и N13 (възстановяване на естественото проникване в</w:t>
      </w:r>
      <w:r w:rsidRPr="00782BF9">
        <w:rPr>
          <w:rStyle w:val="normaltextrun"/>
          <w:rFonts w:ascii="Times New Roman" w:hAnsi="Times New Roman"/>
          <w:noProof/>
          <w:color w:val="000000" w:themeColor="text1"/>
          <w:sz w:val="24"/>
          <w:lang w:val="bg-BG"/>
        </w:rPr>
        <w:t>почвата)</w:t>
      </w:r>
      <w:r w:rsidRPr="00782BF9">
        <w:rPr>
          <w:rStyle w:val="FootnoteReference"/>
          <w:rFonts w:ascii="Times New Roman" w:eastAsia="Times New Roman" w:hAnsi="Times New Roman" w:cs="Times New Roman"/>
          <w:noProof/>
          <w:color w:val="000000" w:themeColor="text1"/>
          <w:sz w:val="24"/>
          <w:lang w:val="bg-BG"/>
        </w:rPr>
        <w:footnoteReference w:id="5"/>
      </w:r>
      <w:r w:rsidRPr="00782BF9">
        <w:rPr>
          <w:rStyle w:val="normaltextrun"/>
          <w:rFonts w:ascii="Times New Roman" w:hAnsi="Times New Roman"/>
          <w:noProof/>
          <w:color w:val="000000" w:themeColor="text1"/>
          <w:sz w:val="24"/>
          <w:lang w:val="bg-BG"/>
        </w:rPr>
        <w:t xml:space="preserve">. Като цяло при проектирането </w:t>
      </w:r>
      <w:r w:rsidRPr="00782BF9">
        <w:rPr>
          <w:rFonts w:ascii="Times New Roman" w:hAnsi="Times New Roman"/>
          <w:noProof/>
          <w:sz w:val="24"/>
          <w:lang w:val="bg-BG"/>
        </w:rPr>
        <w:t xml:space="preserve">се дава приоритет на използването на природосъобразни решения въз основа на най-добрите практики. </w:t>
      </w:r>
    </w:p>
    <w:p w14:paraId="4E0D02EA" w14:textId="55F11E73"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Всички проекти, които биха могли да окажат значително въздействие върху околната среда, подлежат на оценка на въздействието върху околната среда (ОВОС) в съответствие с Директива 2011/92/ЕС, както и на съответни оценки в контекста на Директива 2000/60/ЕО. Необходимите мерки за смекчаване се интегрират в проектите. Изискванията на тези проекти, посочени по-горе, могат да се отклоняват до степента, необходима за спазване на необходимите мерки за смекчаване на последиците. </w:t>
      </w:r>
    </w:p>
    <w:p w14:paraId="6435B57B" w14:textId="75712A11"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Извършва се анализ на риска, свързан с климата. </w:t>
      </w:r>
    </w:p>
    <w:p w14:paraId="7B800DCA"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Инвестициите трябва също така да са в съответствие с разпоредбите на Директива 2009/147/ЕО относно опазването на дивите птици (Директива за птиците) и Директива 92/43/ЕИО за опазване на естествените местообитания и на дивата флора и фауна (Директива за местообитанията).</w:t>
      </w:r>
    </w:p>
    <w:p w14:paraId="7A9E03FA"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При водовземане се издава разрешително от съответния орган. Водочерпенето се избягва, когато съответните водни обекти са или се очаква да бъдат в по-ниско от добро или потенциално добро състояние.</w:t>
      </w:r>
    </w:p>
    <w:p w14:paraId="1B0B88EE"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Унгария постига добро екологично състояние на повърхностните и подземните водни тела, засегнати от инвестицията, до 31 декември 2025 г. (или ако е постигнато добро състояние, то не трябва да се влошава). </w:t>
      </w:r>
    </w:p>
    <w:p w14:paraId="2490D6B9"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Изпълнението на инвестицията трябва да приключи до 30 юни 2026 г. </w:t>
      </w:r>
    </w:p>
    <w:p w14:paraId="51048163" w14:textId="77777777" w:rsidR="00CE3BAD" w:rsidRPr="00782BF9" w:rsidRDefault="00CE3BAD">
      <w:pPr>
        <w:spacing w:after="120" w:line="240" w:lineRule="auto"/>
        <w:jc w:val="both"/>
        <w:rPr>
          <w:rFonts w:ascii="Times New Roman" w:eastAsia="Times New Roman" w:hAnsi="Times New Roman" w:cs="Times New Roman"/>
          <w:b/>
          <w:noProof/>
          <w:sz w:val="24"/>
          <w:lang w:val="bg-BG"/>
        </w:rPr>
      </w:pPr>
    </w:p>
    <w:p w14:paraId="494ECDD2" w14:textId="676CB910"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C4.R2: Ускоряване на мерките за адаптиране към изменението на климата в управлението на водите</w:t>
      </w:r>
    </w:p>
    <w:p w14:paraId="6F3AC6B4" w14:textId="573427AC"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тази реформа е да се ангажират различни заинтересовани страни по въпроса за устойчивото управление на водите. За да се адаптира към изменението на климата, реформата се съсредоточава върху постигането на нов обществен консенсус по отношение на земеползването. </w:t>
      </w:r>
    </w:p>
    <w:p w14:paraId="3CE5EA4A" w14:textId="2BACF662"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Като първа стъпка се създава работна група за оценка на настоящата национална климатична ситуация с участието на международни експерти. Изготвеният от работната група доклад включва препоръки и се представя за обществена консултация и на международни форуми. Въз основа на тези препоръки и обмен се разработва и изпълнява план за действие, включително всички необходими законодателни изменения.</w:t>
      </w:r>
    </w:p>
    <w:p w14:paraId="5B59FF4F" w14:textId="03C2C59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Изпълнението на реформата трябва да приключи до 30 юни 2025 г. </w:t>
      </w:r>
    </w:p>
    <w:p w14:paraId="26A45F27" w14:textId="77777777" w:rsidR="00CE3BAD" w:rsidRPr="00782BF9" w:rsidRDefault="00CE3BAD">
      <w:pPr>
        <w:jc w:val="both"/>
        <w:rPr>
          <w:rFonts w:ascii="Times New Roman" w:eastAsia="Times New Roman" w:hAnsi="Times New Roman" w:cs="Times New Roman"/>
          <w:noProof/>
          <w:sz w:val="24"/>
          <w:lang w:val="bg-BG"/>
        </w:rPr>
      </w:pPr>
    </w:p>
    <w:p w14:paraId="3E0A96D7" w14:textId="77777777" w:rsidR="00CE3BAD" w:rsidRPr="00782BF9" w:rsidRDefault="00CE3BAD">
      <w:pPr>
        <w:jc w:val="both"/>
        <w:rPr>
          <w:rFonts w:ascii="Times New Roman" w:eastAsia="Times New Roman" w:hAnsi="Times New Roman" w:cs="Times New Roman"/>
          <w:noProof/>
          <w:sz w:val="24"/>
          <w:lang w:val="bg-BG"/>
        </w:rPr>
      </w:pPr>
    </w:p>
    <w:p w14:paraId="374997F6" w14:textId="77777777" w:rsidR="00CE3BAD" w:rsidRPr="00782BF9" w:rsidRDefault="00CE3BAD">
      <w:pPr>
        <w:autoSpaceDE w:val="0"/>
        <w:autoSpaceDN w:val="0"/>
        <w:spacing w:after="0" w:line="240" w:lineRule="auto"/>
        <w:jc w:val="both"/>
        <w:rPr>
          <w:b/>
          <w:noProof/>
          <w:u w:val="single"/>
          <w:lang w:val="bg-BG"/>
        </w:rPr>
        <w:sectPr w:rsidR="00CE3BAD" w:rsidRPr="00782BF9" w:rsidSect="005105E0">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08" w:footer="708" w:gutter="0"/>
          <w:cols w:space="708"/>
          <w:docGrid w:linePitch="360"/>
        </w:sectPr>
      </w:pPr>
    </w:p>
    <w:p w14:paraId="1D579AC0" w14:textId="4EC55B63" w:rsidR="00CE3BAD" w:rsidRPr="00782BF9" w:rsidRDefault="006B5475">
      <w:pPr>
        <w:pStyle w:val="Heading2"/>
        <w:spacing w:after="120"/>
        <w:ind w:left="0" w:firstLine="0"/>
        <w:rPr>
          <w:noProof/>
          <w:lang w:val="bg-BG"/>
        </w:rPr>
      </w:pPr>
      <w:r w:rsidRPr="00782BF9">
        <w:rPr>
          <w:noProof/>
          <w:lang w:val="bg-BG"/>
        </w:rPr>
        <w:t xml:space="preserve">Г.2. </w:t>
      </w:r>
      <w:r w:rsidRPr="00782BF9">
        <w:rPr>
          <w:noProof/>
          <w:lang w:val="bg-BG"/>
        </w:rPr>
        <w:tab/>
        <w:t>Ключови етапи, цели, показатели и график за мониторинг и изпълнение на безвъзмездната финансова подкрепа</w:t>
      </w:r>
    </w:p>
    <w:tbl>
      <w:tblPr>
        <w:tblStyle w:val="GridTable1Light-Accent1"/>
        <w:tblW w:w="152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135"/>
        <w:gridCol w:w="1417"/>
        <w:gridCol w:w="992"/>
        <w:gridCol w:w="1560"/>
        <w:gridCol w:w="1275"/>
        <w:gridCol w:w="1095"/>
        <w:gridCol w:w="890"/>
        <w:gridCol w:w="850"/>
        <w:gridCol w:w="851"/>
        <w:gridCol w:w="772"/>
        <w:gridCol w:w="4426"/>
      </w:tblGrid>
      <w:tr w:rsidR="00CE3BAD" w:rsidRPr="00782BF9" w14:paraId="35983EC1" w14:textId="77777777" w:rsidTr="00CE3BAD">
        <w:trPr>
          <w:cnfStyle w:val="100000000000" w:firstRow="1" w:lastRow="0" w:firstColumn="0" w:lastColumn="0" w:oddVBand="0" w:evenVBand="0" w:oddHBand="0" w:evenHBand="0" w:firstRowFirstColumn="0" w:firstRowLastColumn="0" w:lastRowFirstColumn="0" w:lastRowLastColumn="0"/>
          <w:trHeight w:val="1016"/>
          <w:tblHeader/>
          <w:jc w:val="center"/>
        </w:trPr>
        <w:tc>
          <w:tcPr>
            <w:cnfStyle w:val="001000000000" w:firstRow="0" w:lastRow="0" w:firstColumn="1" w:lastColumn="0" w:oddVBand="0" w:evenVBand="0" w:oddHBand="0" w:evenHBand="0" w:firstRowFirstColumn="0" w:firstRowLastColumn="0" w:lastRowFirstColumn="0" w:lastRowLastColumn="0"/>
            <w:tcW w:w="113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D87E2F" w14:textId="77777777" w:rsidR="00CE3BAD" w:rsidRPr="00782BF9" w:rsidRDefault="006B5475">
            <w:pPr>
              <w:pStyle w:val="P68B1DB1-Normal10"/>
              <w:spacing w:after="0" w:line="240" w:lineRule="auto"/>
              <w:jc w:val="center"/>
              <w:rPr>
                <w:noProof/>
                <w:lang w:val="bg-BG"/>
              </w:rPr>
            </w:pPr>
            <w:r w:rsidRPr="00782BF9">
              <w:rPr>
                <w:noProof/>
                <w:lang w:val="bg-BG"/>
              </w:rPr>
              <w:t>Пореден номер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6DA106"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Свързана мярка (реформа или инвестиции)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C735C0"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Ключов етап/Цел</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D65E709"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Име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5D0767"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Качествени индикатори  </w:t>
            </w:r>
            <w:r w:rsidRPr="00782BF9">
              <w:rPr>
                <w:noProof/>
                <w:lang w:val="bg-BG"/>
              </w:rPr>
              <w:br/>
              <w:t>(за ключовите етапи)</w:t>
            </w:r>
          </w:p>
        </w:tc>
        <w:tc>
          <w:tcPr>
            <w:tcW w:w="283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F1F108"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Количествени индикатори  </w:t>
            </w:r>
            <w:r w:rsidRPr="00782BF9">
              <w:rPr>
                <w:noProof/>
                <w:lang w:val="bg-BG"/>
              </w:rPr>
              <w:br/>
              <w:t>(за целите)</w:t>
            </w:r>
          </w:p>
        </w:tc>
        <w:tc>
          <w:tcPr>
            <w:tcW w:w="16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B887FD" w14:textId="6DC1E0FB"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Примерен график за приключване</w:t>
            </w:r>
          </w:p>
        </w:tc>
        <w:tc>
          <w:tcPr>
            <w:tcW w:w="442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45C4B5" w14:textId="0FF13250"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Описание на всеки ключов етап и цел</w:t>
            </w:r>
          </w:p>
        </w:tc>
      </w:tr>
      <w:tr w:rsidR="00CE3BAD" w:rsidRPr="00782BF9" w14:paraId="695B70EE" w14:textId="77777777" w:rsidTr="00CE3BAD">
        <w:trPr>
          <w:cnfStyle w:val="100000000000" w:firstRow="1" w:lastRow="0" w:firstColumn="0" w:lastColumn="0" w:oddVBand="0" w:evenVBand="0" w:oddHBand="0" w:evenHBand="0" w:firstRowFirstColumn="0" w:firstRowLastColumn="0" w:lastRowFirstColumn="0" w:lastRowLastColumn="0"/>
          <w:trHeight w:val="601"/>
          <w:tblHeader/>
          <w:jc w:val="center"/>
        </w:trPr>
        <w:tc>
          <w:tcPr>
            <w:cnfStyle w:val="001000000000" w:firstRow="0" w:lastRow="0" w:firstColumn="1" w:lastColumn="0" w:oddVBand="0" w:evenVBand="0" w:oddHBand="0" w:evenHBand="0" w:firstRowFirstColumn="0" w:firstRowLastColumn="0" w:lastRowFirstColumn="0" w:lastRowLastColumn="0"/>
            <w:tcW w:w="1135" w:type="dxa"/>
            <w:vMerge/>
            <w:tcBorders>
              <w:top w:val="single" w:sz="4" w:space="0" w:color="auto"/>
              <w:left w:val="single" w:sz="4" w:space="0" w:color="auto"/>
              <w:bottom w:val="single" w:sz="4" w:space="0" w:color="auto"/>
              <w:right w:val="single" w:sz="4" w:space="0" w:color="auto"/>
            </w:tcBorders>
            <w:vAlign w:val="center"/>
          </w:tcPr>
          <w:p w14:paraId="2CAC3447" w14:textId="77777777" w:rsidR="00CE3BAD" w:rsidRPr="00782BF9" w:rsidRDefault="00CE3BAD">
            <w:pPr>
              <w:spacing w:after="0" w:line="240" w:lineRule="auto"/>
              <w:rPr>
                <w:rFonts w:cstheme="minorHAnsi"/>
                <w:b w:val="0"/>
                <w:noProof/>
                <w:sz w:val="18"/>
                <w:lang w:val="bg-BG"/>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55E4A2D" w14:textId="77777777" w:rsidR="00CE3BAD" w:rsidRPr="00782BF9" w:rsidRDefault="00CE3BA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noProof/>
                <w:sz w:val="18"/>
                <w:lang w:val="bg-BG"/>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D509E00" w14:textId="77777777" w:rsidR="00CE3BAD" w:rsidRPr="00782BF9" w:rsidRDefault="00CE3BA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noProof/>
                <w:sz w:val="18"/>
                <w:lang w:val="bg-BG"/>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8CA574B" w14:textId="77777777" w:rsidR="00CE3BAD" w:rsidRPr="00782BF9" w:rsidRDefault="00CE3BA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noProof/>
                <w:sz w:val="18"/>
                <w:lang w:val="bg-BG"/>
              </w:rPr>
            </w:pPr>
          </w:p>
        </w:tc>
        <w:tc>
          <w:tcPr>
            <w:tcW w:w="1275" w:type="dxa"/>
            <w:vMerge/>
            <w:tcBorders>
              <w:left w:val="single" w:sz="4" w:space="0" w:color="auto"/>
              <w:bottom w:val="single" w:sz="4" w:space="0" w:color="auto"/>
            </w:tcBorders>
            <w:vAlign w:val="center"/>
          </w:tcPr>
          <w:p w14:paraId="1583A44D" w14:textId="77777777" w:rsidR="00CE3BAD" w:rsidRPr="00782BF9" w:rsidRDefault="00CE3BA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noProof/>
                <w:sz w:val="18"/>
                <w:lang w:val="bg-BG"/>
              </w:rPr>
            </w:pPr>
          </w:p>
        </w:tc>
        <w:tc>
          <w:tcPr>
            <w:tcW w:w="1095" w:type="dxa"/>
            <w:tcBorders>
              <w:top w:val="single" w:sz="4" w:space="0" w:color="auto"/>
              <w:bottom w:val="single" w:sz="4" w:space="0" w:color="auto"/>
            </w:tcBorders>
            <w:shd w:val="clear" w:color="auto" w:fill="B4C6E7" w:themeFill="accent1" w:themeFillTint="66"/>
            <w:vAlign w:val="center"/>
          </w:tcPr>
          <w:p w14:paraId="7642DF75"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Единица мярка</w:t>
            </w:r>
          </w:p>
        </w:tc>
        <w:tc>
          <w:tcPr>
            <w:tcW w:w="890" w:type="dxa"/>
            <w:tcBorders>
              <w:top w:val="single" w:sz="4" w:space="0" w:color="auto"/>
              <w:bottom w:val="single" w:sz="4" w:space="0" w:color="auto"/>
            </w:tcBorders>
            <w:shd w:val="clear" w:color="auto" w:fill="B4C6E7" w:themeFill="accent1" w:themeFillTint="66"/>
            <w:vAlign w:val="center"/>
          </w:tcPr>
          <w:p w14:paraId="7E838243"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Базова линия</w:t>
            </w:r>
          </w:p>
        </w:tc>
        <w:tc>
          <w:tcPr>
            <w:tcW w:w="850" w:type="dxa"/>
            <w:tcBorders>
              <w:top w:val="single" w:sz="4" w:space="0" w:color="auto"/>
              <w:bottom w:val="single" w:sz="4" w:space="0" w:color="auto"/>
            </w:tcBorders>
            <w:shd w:val="clear" w:color="auto" w:fill="B4C6E7" w:themeFill="accent1" w:themeFillTint="66"/>
            <w:vAlign w:val="center"/>
          </w:tcPr>
          <w:p w14:paraId="162940CC"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Цел</w:t>
            </w:r>
          </w:p>
        </w:tc>
        <w:tc>
          <w:tcPr>
            <w:tcW w:w="851" w:type="dxa"/>
            <w:tcBorders>
              <w:top w:val="single" w:sz="4" w:space="0" w:color="auto"/>
              <w:bottom w:val="single" w:sz="4" w:space="0" w:color="auto"/>
            </w:tcBorders>
            <w:shd w:val="clear" w:color="auto" w:fill="B4C6E7" w:themeFill="accent1" w:themeFillTint="66"/>
            <w:vAlign w:val="center"/>
          </w:tcPr>
          <w:p w14:paraId="47A7A0B6"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Тримесечие</w:t>
            </w:r>
          </w:p>
        </w:tc>
        <w:tc>
          <w:tcPr>
            <w:tcW w:w="772" w:type="dxa"/>
            <w:tcBorders>
              <w:top w:val="single" w:sz="4" w:space="0" w:color="auto"/>
              <w:bottom w:val="single" w:sz="4" w:space="0" w:color="auto"/>
            </w:tcBorders>
            <w:shd w:val="clear" w:color="auto" w:fill="B4C6E7" w:themeFill="accent1" w:themeFillTint="66"/>
            <w:vAlign w:val="center"/>
          </w:tcPr>
          <w:p w14:paraId="04CD2E5A"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Година</w:t>
            </w:r>
          </w:p>
        </w:tc>
        <w:tc>
          <w:tcPr>
            <w:tcW w:w="4426" w:type="dxa"/>
            <w:vMerge/>
            <w:vAlign w:val="center"/>
          </w:tcPr>
          <w:p w14:paraId="4E77EA11" w14:textId="77777777" w:rsidR="00CE3BAD" w:rsidRPr="00782BF9" w:rsidRDefault="00CE3BA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noProof/>
                <w:sz w:val="18"/>
                <w:lang w:val="bg-BG"/>
              </w:rPr>
            </w:pPr>
          </w:p>
        </w:tc>
      </w:tr>
      <w:tr w:rsidR="00DC4301" w:rsidRPr="00782BF9" w14:paraId="30991933" w14:textId="77777777" w:rsidTr="00CE3BAD">
        <w:trPr>
          <w:trHeight w:val="1857"/>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740843BB" w14:textId="3323D5E5" w:rsidR="00CE3BAD" w:rsidRPr="00782BF9" w:rsidRDefault="006B5475">
            <w:pPr>
              <w:pStyle w:val="P68B1DB1-Normal10"/>
              <w:spacing w:after="0" w:line="240" w:lineRule="auto"/>
              <w:rPr>
                <w:b w:val="0"/>
                <w:noProof/>
                <w:lang w:val="bg-BG"/>
              </w:rPr>
            </w:pPr>
            <w:r w:rsidRPr="00782BF9">
              <w:rPr>
                <w:noProof/>
                <w:lang w:val="bg-BG"/>
              </w:rPr>
              <w:t>63</w:t>
            </w:r>
          </w:p>
        </w:tc>
        <w:tc>
          <w:tcPr>
            <w:tcW w:w="1417" w:type="dxa"/>
            <w:tcBorders>
              <w:top w:val="single" w:sz="4" w:space="0" w:color="auto"/>
              <w:left w:val="single" w:sz="4" w:space="0" w:color="auto"/>
              <w:bottom w:val="single" w:sz="4" w:space="0" w:color="auto"/>
              <w:right w:val="single" w:sz="4" w:space="0" w:color="auto"/>
            </w:tcBorders>
            <w:shd w:val="clear" w:color="auto" w:fill="C6EFCE"/>
            <w:vAlign w:val="center"/>
          </w:tcPr>
          <w:p w14:paraId="7C1B6500" w14:textId="2DE7C73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C4.R1 Повишаване на осведомеността</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41FEABC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Ключов етап</w:t>
            </w:r>
          </w:p>
        </w:tc>
        <w:tc>
          <w:tcPr>
            <w:tcW w:w="1560" w:type="dxa"/>
            <w:tcBorders>
              <w:top w:val="single" w:sz="4" w:space="0" w:color="auto"/>
              <w:left w:val="single" w:sz="4" w:space="0" w:color="auto"/>
              <w:bottom w:val="single" w:sz="4" w:space="0" w:color="auto"/>
              <w:right w:val="single" w:sz="4" w:space="0" w:color="auto"/>
            </w:tcBorders>
            <w:shd w:val="clear" w:color="auto" w:fill="C6EFCE"/>
            <w:vAlign w:val="center"/>
          </w:tcPr>
          <w:p w14:paraId="6211F2F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Изменение на Закон CXIII/2019 относно напоителното земеделие и на Правителствено постановление № 302/2020</w:t>
            </w:r>
          </w:p>
        </w:tc>
        <w:tc>
          <w:tcPr>
            <w:tcW w:w="1275" w:type="dxa"/>
            <w:tcBorders>
              <w:top w:val="single" w:sz="4" w:space="0" w:color="auto"/>
              <w:left w:val="single" w:sz="4" w:space="0" w:color="auto"/>
              <w:bottom w:val="single" w:sz="4" w:space="0" w:color="auto"/>
              <w:right w:val="single" w:sz="4" w:space="0" w:color="auto"/>
            </w:tcBorders>
            <w:shd w:val="clear" w:color="auto" w:fill="C6EFCE"/>
            <w:vAlign w:val="center"/>
          </w:tcPr>
          <w:p w14:paraId="65A22A7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Влизане в сила на законодателни изменения </w:t>
            </w:r>
          </w:p>
        </w:tc>
        <w:tc>
          <w:tcPr>
            <w:tcW w:w="1095" w:type="dxa"/>
            <w:tcBorders>
              <w:top w:val="single" w:sz="4" w:space="0" w:color="auto"/>
              <w:left w:val="single" w:sz="4" w:space="0" w:color="auto"/>
              <w:bottom w:val="single" w:sz="4" w:space="0" w:color="auto"/>
              <w:right w:val="single" w:sz="4" w:space="0" w:color="auto"/>
            </w:tcBorders>
            <w:shd w:val="clear" w:color="auto" w:fill="C6EFCE"/>
            <w:vAlign w:val="center"/>
          </w:tcPr>
          <w:p w14:paraId="19432CE9"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890" w:type="dxa"/>
            <w:tcBorders>
              <w:top w:val="single" w:sz="4" w:space="0" w:color="auto"/>
              <w:left w:val="single" w:sz="4" w:space="0" w:color="auto"/>
              <w:bottom w:val="single" w:sz="4" w:space="0" w:color="auto"/>
              <w:right w:val="single" w:sz="4" w:space="0" w:color="auto"/>
            </w:tcBorders>
            <w:shd w:val="clear" w:color="auto" w:fill="C6EFCE"/>
            <w:vAlign w:val="center"/>
          </w:tcPr>
          <w:p w14:paraId="411EA3C9"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4F7E3840"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3840CE1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Т2 Г.</w:t>
            </w:r>
          </w:p>
        </w:tc>
        <w:tc>
          <w:tcPr>
            <w:tcW w:w="772" w:type="dxa"/>
            <w:tcBorders>
              <w:top w:val="single" w:sz="4" w:space="0" w:color="auto"/>
              <w:left w:val="single" w:sz="4" w:space="0" w:color="auto"/>
              <w:bottom w:val="single" w:sz="4" w:space="0" w:color="auto"/>
              <w:right w:val="single" w:sz="4" w:space="0" w:color="auto"/>
            </w:tcBorders>
            <w:shd w:val="clear" w:color="auto" w:fill="C6EFCE"/>
            <w:vAlign w:val="center"/>
          </w:tcPr>
          <w:p w14:paraId="292FE05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2023</w:t>
            </w:r>
          </w:p>
        </w:tc>
        <w:tc>
          <w:tcPr>
            <w:tcW w:w="4426" w:type="dxa"/>
            <w:tcBorders>
              <w:top w:val="single" w:sz="4" w:space="0" w:color="auto"/>
              <w:left w:val="single" w:sz="4" w:space="0" w:color="auto"/>
              <w:bottom w:val="single" w:sz="4" w:space="0" w:color="auto"/>
              <w:right w:val="single" w:sz="4" w:space="0" w:color="auto"/>
            </w:tcBorders>
            <w:shd w:val="clear" w:color="auto" w:fill="C6EFCE"/>
            <w:vAlign w:val="center"/>
          </w:tcPr>
          <w:p w14:paraId="2CBF219C" w14:textId="77777777" w:rsidR="00CE3BAD" w:rsidRPr="00782BF9" w:rsidRDefault="006B5475">
            <w:pPr>
              <w:pStyle w:val="P68B1DB1-Normal10"/>
              <w:autoSpaceDE w:val="0"/>
              <w:autoSpaceDN w:val="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noProof/>
                <w:lang w:val="bg-BG"/>
              </w:rPr>
            </w:pPr>
            <w:r w:rsidRPr="00782BF9">
              <w:rPr>
                <w:noProof/>
                <w:lang w:val="bg-BG"/>
              </w:rPr>
              <w:t>Закон CXIII/2019 и Правителствено постановление № 302/2020 се изменят, за да се разшири обхватът на съществуващите сдружения на земеделски стопани, наречени „напоителни общности „— „öntözési közösség„, до „общности за устойчиво управление на водите“.</w:t>
            </w:r>
          </w:p>
          <w:p w14:paraId="3B791EA3" w14:textId="77777777" w:rsidR="00CE3BAD" w:rsidRPr="00782BF9" w:rsidRDefault="006B5475">
            <w:pPr>
              <w:pStyle w:val="P68B1DB1-Normal10"/>
              <w:autoSpaceDE w:val="0"/>
              <w:autoSpaceDN w:val="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noProof/>
                <w:lang w:val="bg-BG"/>
              </w:rPr>
            </w:pPr>
            <w:r w:rsidRPr="00782BF9">
              <w:rPr>
                <w:noProof/>
                <w:lang w:val="bg-BG"/>
              </w:rPr>
              <w:t>Техните задачи се разширяват отвъд въпросите, свързани с напояването, за да се съсредоточат върху практиките за устойчиво управление на водите, устойчивите решения за адаптиране към изменението на климата и измерването на предлагането и търсенето на вода на микрорегионално равнище. Те също така редовно оценяват информацията, предоставена от органите относно състоянието на водните обекти, и редовно предоставят информация относно проектите за водочерпене, водоснабдяване и търсене на вода. Настоящият състав се коригира съответно.</w:t>
            </w:r>
          </w:p>
        </w:tc>
      </w:tr>
      <w:tr w:rsidR="00DC4301" w:rsidRPr="00782BF9" w14:paraId="0D9F2F77" w14:textId="77777777" w:rsidTr="00CE3BAD">
        <w:trPr>
          <w:jc w:val="center"/>
        </w:trPr>
        <w:tc>
          <w:tcPr>
            <w:cnfStyle w:val="001000000000" w:firstRow="0" w:lastRow="0" w:firstColumn="1" w:lastColumn="0" w:oddVBand="0" w:evenVBand="0" w:oddHBand="0" w:evenHBand="0" w:firstRowFirstColumn="0" w:firstRowLastColumn="0" w:lastRowFirstColumn="0" w:lastRowLastColumn="0"/>
            <w:tcW w:w="1135" w:type="dxa"/>
            <w:tcBorders>
              <w:top w:val="single" w:sz="4" w:space="0" w:color="auto"/>
            </w:tcBorders>
            <w:shd w:val="clear" w:color="auto" w:fill="C6EFCE"/>
            <w:vAlign w:val="center"/>
          </w:tcPr>
          <w:p w14:paraId="7C688607" w14:textId="23DEE3BA" w:rsidR="00CE3BAD" w:rsidRPr="00782BF9" w:rsidRDefault="006B5475">
            <w:pPr>
              <w:pStyle w:val="P68B1DB1-Normal10"/>
              <w:spacing w:after="0" w:line="240" w:lineRule="auto"/>
              <w:rPr>
                <w:b w:val="0"/>
                <w:noProof/>
                <w:lang w:val="bg-BG"/>
              </w:rPr>
            </w:pPr>
            <w:r w:rsidRPr="00782BF9">
              <w:rPr>
                <w:noProof/>
                <w:lang w:val="bg-BG"/>
              </w:rPr>
              <w:t>64</w:t>
            </w:r>
          </w:p>
        </w:tc>
        <w:tc>
          <w:tcPr>
            <w:tcW w:w="1417" w:type="dxa"/>
            <w:tcBorders>
              <w:top w:val="single" w:sz="4" w:space="0" w:color="auto"/>
            </w:tcBorders>
            <w:shd w:val="clear" w:color="auto" w:fill="C6EFCE"/>
            <w:vAlign w:val="center"/>
          </w:tcPr>
          <w:p w14:paraId="50EAA5D7" w14:textId="77294342"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C4.R1 Повишаване на осведомеността</w:t>
            </w:r>
          </w:p>
        </w:tc>
        <w:tc>
          <w:tcPr>
            <w:tcW w:w="992" w:type="dxa"/>
            <w:tcBorders>
              <w:top w:val="single" w:sz="4" w:space="0" w:color="auto"/>
            </w:tcBorders>
            <w:shd w:val="clear" w:color="auto" w:fill="C6EFCE"/>
            <w:vAlign w:val="center"/>
          </w:tcPr>
          <w:p w14:paraId="54E9072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Целеви </w:t>
            </w:r>
          </w:p>
        </w:tc>
        <w:tc>
          <w:tcPr>
            <w:tcW w:w="1560" w:type="dxa"/>
            <w:tcBorders>
              <w:top w:val="single" w:sz="4" w:space="0" w:color="auto"/>
            </w:tcBorders>
            <w:shd w:val="clear" w:color="auto" w:fill="C6EFCE"/>
            <w:vAlign w:val="center"/>
          </w:tcPr>
          <w:p w14:paraId="0AC3C859"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Създаване на общности за устойчиво управление на водите</w:t>
            </w:r>
          </w:p>
        </w:tc>
        <w:tc>
          <w:tcPr>
            <w:tcW w:w="1275" w:type="dxa"/>
            <w:tcBorders>
              <w:top w:val="single" w:sz="4" w:space="0" w:color="auto"/>
            </w:tcBorders>
            <w:shd w:val="clear" w:color="auto" w:fill="C6EFCE"/>
            <w:vAlign w:val="center"/>
          </w:tcPr>
          <w:p w14:paraId="13E9B0C3"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sz w:val="18"/>
                <w:lang w:val="bg-BG"/>
              </w:rPr>
            </w:pPr>
          </w:p>
        </w:tc>
        <w:tc>
          <w:tcPr>
            <w:tcW w:w="1095" w:type="dxa"/>
            <w:tcBorders>
              <w:top w:val="single" w:sz="4" w:space="0" w:color="auto"/>
            </w:tcBorders>
            <w:shd w:val="clear" w:color="auto" w:fill="C6EFCE"/>
            <w:vAlign w:val="center"/>
          </w:tcPr>
          <w:p w14:paraId="072EE5A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Брой </w:t>
            </w:r>
          </w:p>
        </w:tc>
        <w:tc>
          <w:tcPr>
            <w:tcW w:w="890" w:type="dxa"/>
            <w:tcBorders>
              <w:top w:val="single" w:sz="4" w:space="0" w:color="auto"/>
            </w:tcBorders>
            <w:shd w:val="clear" w:color="auto" w:fill="C6EFCE"/>
            <w:vAlign w:val="center"/>
          </w:tcPr>
          <w:p w14:paraId="2D2E30E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0</w:t>
            </w:r>
          </w:p>
        </w:tc>
        <w:tc>
          <w:tcPr>
            <w:tcW w:w="850" w:type="dxa"/>
            <w:tcBorders>
              <w:top w:val="single" w:sz="4" w:space="0" w:color="auto"/>
            </w:tcBorders>
            <w:shd w:val="clear" w:color="auto" w:fill="C6EFCE"/>
            <w:vAlign w:val="center"/>
          </w:tcPr>
          <w:p w14:paraId="601809C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100</w:t>
            </w:r>
          </w:p>
        </w:tc>
        <w:tc>
          <w:tcPr>
            <w:tcW w:w="851" w:type="dxa"/>
            <w:tcBorders>
              <w:top w:val="single" w:sz="4" w:space="0" w:color="auto"/>
            </w:tcBorders>
            <w:shd w:val="clear" w:color="auto" w:fill="C6EFCE"/>
            <w:vAlign w:val="center"/>
          </w:tcPr>
          <w:p w14:paraId="153CFA8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highlight w:val="yellow"/>
                <w:lang w:val="bg-BG"/>
              </w:rPr>
            </w:pPr>
            <w:r w:rsidRPr="00782BF9">
              <w:rPr>
                <w:noProof/>
                <w:lang w:val="bg-BG"/>
              </w:rPr>
              <w:t>Т3 Г.</w:t>
            </w:r>
          </w:p>
        </w:tc>
        <w:tc>
          <w:tcPr>
            <w:tcW w:w="772" w:type="dxa"/>
            <w:tcBorders>
              <w:top w:val="single" w:sz="4" w:space="0" w:color="auto"/>
            </w:tcBorders>
            <w:shd w:val="clear" w:color="auto" w:fill="C6EFCE"/>
            <w:vAlign w:val="center"/>
          </w:tcPr>
          <w:p w14:paraId="5F63ECF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highlight w:val="yellow"/>
                <w:lang w:val="bg-BG"/>
              </w:rPr>
            </w:pPr>
            <w:r w:rsidRPr="00782BF9">
              <w:rPr>
                <w:noProof/>
                <w:lang w:val="bg-BG"/>
              </w:rPr>
              <w:t xml:space="preserve">2024 </w:t>
            </w:r>
          </w:p>
        </w:tc>
        <w:tc>
          <w:tcPr>
            <w:tcW w:w="4426" w:type="dxa"/>
            <w:tcBorders>
              <w:top w:val="single" w:sz="4" w:space="0" w:color="auto"/>
            </w:tcBorders>
            <w:shd w:val="clear" w:color="auto" w:fill="C6EFCE"/>
            <w:vAlign w:val="center"/>
          </w:tcPr>
          <w:p w14:paraId="1786134D" w14:textId="77777777" w:rsidR="00CE3BAD" w:rsidRPr="00782BF9" w:rsidRDefault="006B5475">
            <w:pPr>
              <w:pStyle w:val="P68B1DB1-Normal12"/>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highlight w:val="yellow"/>
                <w:lang w:val="bg-BG"/>
              </w:rPr>
            </w:pPr>
            <w:r w:rsidRPr="00782BF9">
              <w:rPr>
                <w:noProof/>
                <w:lang w:val="bg-BG"/>
              </w:rPr>
              <w:t xml:space="preserve">100 създават се нови „общности за устойчиво управление на водите“ (както са определени в новата законодателна рамка). Съществуващите общности се адаптират към новата правна рамка. </w:t>
            </w:r>
          </w:p>
        </w:tc>
      </w:tr>
      <w:tr w:rsidR="00DC4301" w:rsidRPr="00782BF9" w14:paraId="1FBA5CD5" w14:textId="77777777" w:rsidTr="00CE3BAD">
        <w:trPr>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2EECAE71" w14:textId="16CD16A6" w:rsidR="00CE3BAD" w:rsidRPr="00782BF9" w:rsidRDefault="006B5475">
            <w:pPr>
              <w:pStyle w:val="P68B1DB1-Normal10"/>
              <w:spacing w:after="0" w:line="240" w:lineRule="auto"/>
              <w:rPr>
                <w:b w:val="0"/>
                <w:noProof/>
                <w:lang w:val="bg-BG"/>
              </w:rPr>
            </w:pPr>
            <w:r w:rsidRPr="00782BF9">
              <w:rPr>
                <w:noProof/>
                <w:lang w:val="bg-BG"/>
              </w:rPr>
              <w:t>65</w:t>
            </w:r>
          </w:p>
        </w:tc>
        <w:tc>
          <w:tcPr>
            <w:tcW w:w="1417" w:type="dxa"/>
            <w:shd w:val="clear" w:color="auto" w:fill="C6EFCE"/>
            <w:vAlign w:val="center"/>
          </w:tcPr>
          <w:p w14:paraId="48ECE018" w14:textId="42BA3476"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C4.R1 Повишаване на осведомеността</w:t>
            </w:r>
          </w:p>
        </w:tc>
        <w:tc>
          <w:tcPr>
            <w:tcW w:w="992" w:type="dxa"/>
            <w:shd w:val="clear" w:color="auto" w:fill="C6EFCE"/>
            <w:vAlign w:val="center"/>
          </w:tcPr>
          <w:p w14:paraId="425DD7A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60" w:type="dxa"/>
            <w:shd w:val="clear" w:color="auto" w:fill="C6EFCE"/>
            <w:vAlign w:val="center"/>
          </w:tcPr>
          <w:p w14:paraId="252700D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Организиране на информационни сесии </w:t>
            </w:r>
          </w:p>
        </w:tc>
        <w:tc>
          <w:tcPr>
            <w:tcW w:w="1275" w:type="dxa"/>
            <w:shd w:val="clear" w:color="auto" w:fill="C6EFCE"/>
            <w:vAlign w:val="center"/>
          </w:tcPr>
          <w:p w14:paraId="645792B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lang w:val="bg-BG"/>
              </w:rPr>
            </w:pPr>
            <w:r w:rsidRPr="00782BF9">
              <w:rPr>
                <w:noProof/>
                <w:lang w:val="bg-BG"/>
              </w:rPr>
              <w:t xml:space="preserve">Планираните информационни сесии са завършени </w:t>
            </w:r>
          </w:p>
        </w:tc>
        <w:tc>
          <w:tcPr>
            <w:tcW w:w="1095" w:type="dxa"/>
            <w:shd w:val="clear" w:color="auto" w:fill="C6EFCE"/>
            <w:vAlign w:val="center"/>
          </w:tcPr>
          <w:p w14:paraId="0EA45E2F"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90" w:type="dxa"/>
            <w:shd w:val="clear" w:color="auto" w:fill="C6EFCE"/>
            <w:vAlign w:val="center"/>
          </w:tcPr>
          <w:p w14:paraId="52BDF389"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shd w:val="clear" w:color="auto" w:fill="C6EFCE"/>
            <w:vAlign w:val="center"/>
          </w:tcPr>
          <w:p w14:paraId="5C34AD07"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1" w:type="dxa"/>
            <w:shd w:val="clear" w:color="auto" w:fill="C6EFCE"/>
            <w:vAlign w:val="center"/>
          </w:tcPr>
          <w:p w14:paraId="6BDED2B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Т4 Г. </w:t>
            </w:r>
          </w:p>
        </w:tc>
        <w:tc>
          <w:tcPr>
            <w:tcW w:w="772" w:type="dxa"/>
            <w:shd w:val="clear" w:color="auto" w:fill="C6EFCE"/>
            <w:vAlign w:val="center"/>
          </w:tcPr>
          <w:p w14:paraId="5E4682E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2025</w:t>
            </w:r>
          </w:p>
        </w:tc>
        <w:tc>
          <w:tcPr>
            <w:tcW w:w="4426" w:type="dxa"/>
            <w:shd w:val="clear" w:color="auto" w:fill="C6EFCE"/>
            <w:vAlign w:val="center"/>
          </w:tcPr>
          <w:p w14:paraId="5218E29C" w14:textId="496E0EB8" w:rsidR="00CE3BAD" w:rsidRPr="00782BF9" w:rsidRDefault="006B5475">
            <w:pPr>
              <w:pStyle w:val="P68B1DB1-Normal10"/>
              <w:autoSpaceDE w:val="0"/>
              <w:autoSpaceDN w:val="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Информационните сесии се организират от Министерството на земеделието за всички нови общности за устойчиво управление на водите, определени съгласно цел 64, както и за всички съществуващи общности, адаптирани към правната рамка съгласно цел 64. Тези информационни сесии повишават осведомеността относно значението на практиките за устойчиво управление на водите, на естествените решения за задържане на вода, на използването на ефикасни селскостопански техники и на по-малко интензивни култури.</w:t>
            </w:r>
          </w:p>
        </w:tc>
      </w:tr>
      <w:tr w:rsidR="00DC4301" w:rsidRPr="00782BF9" w14:paraId="5D1EF3E8" w14:textId="77777777" w:rsidTr="00CE3BAD">
        <w:trPr>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4B8808E8" w14:textId="1E378C93" w:rsidR="00CE3BAD" w:rsidRPr="00782BF9" w:rsidRDefault="006B5475">
            <w:pPr>
              <w:pStyle w:val="P68B1DB1-Normal10"/>
              <w:spacing w:after="0" w:line="240" w:lineRule="auto"/>
              <w:rPr>
                <w:b w:val="0"/>
                <w:noProof/>
                <w:lang w:val="bg-BG"/>
              </w:rPr>
            </w:pPr>
            <w:r w:rsidRPr="00782BF9">
              <w:rPr>
                <w:noProof/>
                <w:lang w:val="bg-BG"/>
              </w:rPr>
              <w:t>66</w:t>
            </w:r>
          </w:p>
        </w:tc>
        <w:tc>
          <w:tcPr>
            <w:tcW w:w="1417" w:type="dxa"/>
            <w:shd w:val="clear" w:color="auto" w:fill="C6EFCE"/>
            <w:vAlign w:val="center"/>
          </w:tcPr>
          <w:p w14:paraId="3CCA8898" w14:textId="4C2C4448"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C4.R1 Повишаване на осведомеността</w:t>
            </w:r>
          </w:p>
        </w:tc>
        <w:tc>
          <w:tcPr>
            <w:tcW w:w="992" w:type="dxa"/>
            <w:shd w:val="clear" w:color="auto" w:fill="C6EFCE"/>
            <w:vAlign w:val="center"/>
          </w:tcPr>
          <w:p w14:paraId="40E700A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Целеви</w:t>
            </w:r>
          </w:p>
        </w:tc>
        <w:tc>
          <w:tcPr>
            <w:tcW w:w="1560" w:type="dxa"/>
            <w:shd w:val="clear" w:color="auto" w:fill="C6EFCE"/>
            <w:vAlign w:val="center"/>
          </w:tcPr>
          <w:p w14:paraId="7911649A"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Хектари обработваема земя, претърпяла промени в селскостопанските практики за пестене на вода</w:t>
            </w:r>
          </w:p>
        </w:tc>
        <w:tc>
          <w:tcPr>
            <w:tcW w:w="1275" w:type="dxa"/>
            <w:shd w:val="clear" w:color="auto" w:fill="C6EFCE"/>
            <w:vAlign w:val="center"/>
          </w:tcPr>
          <w:p w14:paraId="2B4D68E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1095" w:type="dxa"/>
            <w:shd w:val="clear" w:color="auto" w:fill="C6EFCE"/>
            <w:vAlign w:val="center"/>
          </w:tcPr>
          <w:p w14:paraId="53BE0A4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Брой хектари</w:t>
            </w:r>
          </w:p>
        </w:tc>
        <w:tc>
          <w:tcPr>
            <w:tcW w:w="890" w:type="dxa"/>
            <w:shd w:val="clear" w:color="auto" w:fill="C6EFCE"/>
            <w:vAlign w:val="center"/>
          </w:tcPr>
          <w:p w14:paraId="3C9C637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0</w:t>
            </w:r>
          </w:p>
        </w:tc>
        <w:tc>
          <w:tcPr>
            <w:tcW w:w="850" w:type="dxa"/>
            <w:shd w:val="clear" w:color="auto" w:fill="C6EFCE"/>
            <w:vAlign w:val="center"/>
          </w:tcPr>
          <w:p w14:paraId="56A18042" w14:textId="1D85E68F"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50</w:t>
            </w:r>
            <w:r w:rsidRPr="00782BF9">
              <w:rPr>
                <w:noProof/>
                <w:color w:val="006100"/>
                <w:lang w:val="bg-BG"/>
              </w:rPr>
              <w:t xml:space="preserve"> </w:t>
            </w:r>
            <w:r w:rsidRPr="00782BF9">
              <w:rPr>
                <w:noProof/>
                <w:lang w:val="bg-BG"/>
              </w:rPr>
              <w:t>000</w:t>
            </w:r>
          </w:p>
        </w:tc>
        <w:tc>
          <w:tcPr>
            <w:tcW w:w="851" w:type="dxa"/>
            <w:shd w:val="clear" w:color="auto" w:fill="C6EFCE"/>
            <w:vAlign w:val="center"/>
          </w:tcPr>
          <w:p w14:paraId="0CC2599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Т1 Г.</w:t>
            </w:r>
          </w:p>
        </w:tc>
        <w:tc>
          <w:tcPr>
            <w:tcW w:w="772" w:type="dxa"/>
            <w:shd w:val="clear" w:color="auto" w:fill="C6EFCE"/>
            <w:vAlign w:val="center"/>
          </w:tcPr>
          <w:p w14:paraId="16F4BC9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2026</w:t>
            </w:r>
          </w:p>
        </w:tc>
        <w:tc>
          <w:tcPr>
            <w:tcW w:w="4426" w:type="dxa"/>
            <w:shd w:val="clear" w:color="auto" w:fill="C6EFCE"/>
            <w:vAlign w:val="center"/>
          </w:tcPr>
          <w:p w14:paraId="45F4D868" w14:textId="435CD4E1"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val="bg-BG"/>
              </w:rPr>
            </w:pPr>
            <w:r w:rsidRPr="00782BF9">
              <w:rPr>
                <w:rFonts w:ascii="Calibri" w:hAnsi="Calibri"/>
                <w:noProof/>
                <w:lang w:val="bg-BG"/>
              </w:rPr>
              <w:t>50</w:t>
            </w:r>
            <w:r w:rsidRPr="00782BF9">
              <w:rPr>
                <w:noProof/>
                <w:color w:val="006100"/>
                <w:lang w:val="bg-BG"/>
              </w:rPr>
              <w:t xml:space="preserve"> </w:t>
            </w:r>
            <w:r w:rsidRPr="00782BF9">
              <w:rPr>
                <w:rFonts w:ascii="Calibri" w:hAnsi="Calibri"/>
                <w:noProof/>
                <w:lang w:val="bg-BG"/>
              </w:rPr>
              <w:t>000 хектара обработваема земя на национално равнище са преминали поне едно от следните: и) прилага мерки за увеличаване на съдържанието на органични вещества в почвите; II) преминаване към по-малко взискателни/по-устойчиви на засушаване култури; използване на обработваема земя за природосъобразно задържане на вода; техники за капково напояване и използване на рециклирана вода за напояване. Освен това най-малко 75 % от горепосочените 50</w:t>
            </w:r>
            <w:r w:rsidRPr="00782BF9">
              <w:rPr>
                <w:noProof/>
                <w:color w:val="006100"/>
                <w:lang w:val="bg-BG"/>
              </w:rPr>
              <w:t xml:space="preserve"> </w:t>
            </w:r>
            <w:r w:rsidRPr="00782BF9">
              <w:rPr>
                <w:rFonts w:ascii="Calibri" w:hAnsi="Calibri"/>
                <w:noProof/>
                <w:lang w:val="bg-BG"/>
              </w:rPr>
              <w:t>000 хектара обработваема земя трябва да са преминали през една от практиките i), ii) и/или iii).</w:t>
            </w:r>
          </w:p>
        </w:tc>
      </w:tr>
      <w:tr w:rsidR="00DC4301" w:rsidRPr="00782BF9" w14:paraId="44E59D42" w14:textId="77777777" w:rsidTr="00CE3BAD">
        <w:trPr>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077FFB3A" w14:textId="68F1DBC8" w:rsidR="00CE3BAD" w:rsidRPr="00782BF9" w:rsidRDefault="006B5475">
            <w:pPr>
              <w:pStyle w:val="P68B1DB1-Normal10"/>
              <w:spacing w:after="0" w:line="240" w:lineRule="auto"/>
              <w:rPr>
                <w:b w:val="0"/>
                <w:noProof/>
                <w:lang w:val="bg-BG"/>
              </w:rPr>
            </w:pPr>
            <w:r w:rsidRPr="00782BF9">
              <w:rPr>
                <w:noProof/>
                <w:lang w:val="bg-BG"/>
              </w:rPr>
              <w:t>67</w:t>
            </w:r>
          </w:p>
        </w:tc>
        <w:tc>
          <w:tcPr>
            <w:tcW w:w="1417" w:type="dxa"/>
            <w:shd w:val="clear" w:color="auto" w:fill="C6EFCE"/>
            <w:vAlign w:val="center"/>
          </w:tcPr>
          <w:p w14:paraId="53D5A1C8" w14:textId="5D130A1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C4.I3 — Опазване на природата</w:t>
            </w:r>
          </w:p>
        </w:tc>
        <w:tc>
          <w:tcPr>
            <w:tcW w:w="992" w:type="dxa"/>
            <w:shd w:val="clear" w:color="auto" w:fill="C6EFCE"/>
            <w:vAlign w:val="center"/>
          </w:tcPr>
          <w:p w14:paraId="45AC5AF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Ключов етап</w:t>
            </w:r>
          </w:p>
        </w:tc>
        <w:tc>
          <w:tcPr>
            <w:tcW w:w="1560" w:type="dxa"/>
            <w:shd w:val="clear" w:color="auto" w:fill="C6EFCE"/>
            <w:vAlign w:val="center"/>
          </w:tcPr>
          <w:p w14:paraId="002A5907" w14:textId="175C73A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u w:val="single"/>
                <w:lang w:val="bg-BG"/>
              </w:rPr>
            </w:pPr>
            <w:r w:rsidRPr="00782BF9">
              <w:rPr>
                <w:noProof/>
                <w:lang w:val="bg-BG"/>
              </w:rPr>
              <w:t xml:space="preserve">Постигане на добро екологично състояние на повърхностните и подземните водни тела, засегнати от инвестиции 3. </w:t>
            </w:r>
          </w:p>
        </w:tc>
        <w:tc>
          <w:tcPr>
            <w:tcW w:w="1275" w:type="dxa"/>
            <w:shd w:val="clear" w:color="auto" w:fill="C6EFCE"/>
            <w:vAlign w:val="center"/>
          </w:tcPr>
          <w:p w14:paraId="73A603D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Публикуване на резултатите на уебсайта на националните органи по водите</w:t>
            </w:r>
          </w:p>
        </w:tc>
        <w:tc>
          <w:tcPr>
            <w:tcW w:w="1095" w:type="dxa"/>
            <w:shd w:val="clear" w:color="auto" w:fill="C6EFCE"/>
            <w:vAlign w:val="center"/>
          </w:tcPr>
          <w:p w14:paraId="42EEF01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890" w:type="dxa"/>
            <w:shd w:val="clear" w:color="auto" w:fill="C6EFCE"/>
            <w:vAlign w:val="center"/>
          </w:tcPr>
          <w:p w14:paraId="637E144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850" w:type="dxa"/>
            <w:shd w:val="clear" w:color="auto" w:fill="C6EFCE"/>
            <w:vAlign w:val="center"/>
          </w:tcPr>
          <w:p w14:paraId="76DD954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851" w:type="dxa"/>
            <w:shd w:val="clear" w:color="auto" w:fill="C6EFCE"/>
            <w:vAlign w:val="center"/>
          </w:tcPr>
          <w:p w14:paraId="2DB5A82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Т4 Г. </w:t>
            </w:r>
          </w:p>
        </w:tc>
        <w:tc>
          <w:tcPr>
            <w:tcW w:w="772" w:type="dxa"/>
            <w:shd w:val="clear" w:color="auto" w:fill="C6EFCE"/>
            <w:vAlign w:val="center"/>
          </w:tcPr>
          <w:p w14:paraId="2D01B44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2025</w:t>
            </w:r>
          </w:p>
        </w:tc>
        <w:tc>
          <w:tcPr>
            <w:tcW w:w="4426" w:type="dxa"/>
            <w:shd w:val="clear" w:color="auto" w:fill="C6EFCE"/>
            <w:vAlign w:val="center"/>
          </w:tcPr>
          <w:p w14:paraId="356D8073" w14:textId="0BDF8847"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Извършва се мониторинг на водните обекти, засегнати от инвестиция 3, за да се гарантира, че повърхностните и подземните водни обекти, засегнати от инвестицията по плана за възстановяване и устойчивост, са в добро екологично състояние (или че ако е постигнато добро състояние, то не се е влошило). Трябва да се постигне добро екологично състояние на съответните водни обекти, както е определено в Рамковата Директива 2000/60/ЕО за водите. </w:t>
            </w:r>
          </w:p>
        </w:tc>
      </w:tr>
      <w:tr w:rsidR="00DC4301" w:rsidRPr="00782BF9" w14:paraId="1BAAB771" w14:textId="77777777" w:rsidTr="00CE3BAD">
        <w:trPr>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4D505AB7" w14:textId="74F519CB" w:rsidR="00CE3BAD" w:rsidRPr="00782BF9" w:rsidRDefault="006B5475">
            <w:pPr>
              <w:pStyle w:val="P68B1DB1-Normal10"/>
              <w:spacing w:after="0" w:line="240" w:lineRule="auto"/>
              <w:rPr>
                <w:b w:val="0"/>
                <w:noProof/>
                <w:lang w:val="bg-BG"/>
              </w:rPr>
            </w:pPr>
            <w:r w:rsidRPr="00782BF9">
              <w:rPr>
                <w:noProof/>
                <w:lang w:val="bg-BG"/>
              </w:rPr>
              <w:t>72</w:t>
            </w:r>
          </w:p>
        </w:tc>
        <w:tc>
          <w:tcPr>
            <w:tcW w:w="1417" w:type="dxa"/>
            <w:shd w:val="clear" w:color="auto" w:fill="C6EFCE"/>
            <w:vAlign w:val="center"/>
          </w:tcPr>
          <w:p w14:paraId="1EB4F912" w14:textId="3E77BEDF"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C4.I2 Създаване на система за мониторинг</w:t>
            </w:r>
          </w:p>
        </w:tc>
        <w:tc>
          <w:tcPr>
            <w:tcW w:w="992" w:type="dxa"/>
            <w:shd w:val="clear" w:color="auto" w:fill="C6EFCE"/>
            <w:vAlign w:val="center"/>
          </w:tcPr>
          <w:p w14:paraId="1FC3F22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60" w:type="dxa"/>
            <w:shd w:val="clear" w:color="auto" w:fill="C6EFCE"/>
            <w:vAlign w:val="center"/>
          </w:tcPr>
          <w:p w14:paraId="3B2E322A"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Цялостна система за мониторинг на местно равнище</w:t>
            </w:r>
          </w:p>
        </w:tc>
        <w:tc>
          <w:tcPr>
            <w:tcW w:w="1275" w:type="dxa"/>
            <w:shd w:val="clear" w:color="auto" w:fill="C6EFCE"/>
            <w:vAlign w:val="center"/>
          </w:tcPr>
          <w:p w14:paraId="7647473A"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Приключване </w:t>
            </w:r>
          </w:p>
        </w:tc>
        <w:tc>
          <w:tcPr>
            <w:tcW w:w="1095" w:type="dxa"/>
            <w:shd w:val="clear" w:color="auto" w:fill="C6EFCE"/>
            <w:vAlign w:val="center"/>
          </w:tcPr>
          <w:p w14:paraId="27847156"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sz w:val="18"/>
                <w:lang w:val="bg-BG"/>
              </w:rPr>
            </w:pPr>
          </w:p>
        </w:tc>
        <w:tc>
          <w:tcPr>
            <w:tcW w:w="890" w:type="dxa"/>
            <w:shd w:val="clear" w:color="auto" w:fill="C6EFCE"/>
            <w:vAlign w:val="center"/>
          </w:tcPr>
          <w:p w14:paraId="1EFCAE0F"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sz w:val="18"/>
                <w:lang w:val="bg-BG"/>
              </w:rPr>
            </w:pPr>
          </w:p>
        </w:tc>
        <w:tc>
          <w:tcPr>
            <w:tcW w:w="850" w:type="dxa"/>
            <w:shd w:val="clear" w:color="auto" w:fill="C6EFCE"/>
            <w:vAlign w:val="center"/>
          </w:tcPr>
          <w:p w14:paraId="5EAE49AB"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sz w:val="18"/>
                <w:lang w:val="bg-BG"/>
              </w:rPr>
            </w:pPr>
          </w:p>
        </w:tc>
        <w:tc>
          <w:tcPr>
            <w:tcW w:w="851" w:type="dxa"/>
            <w:shd w:val="clear" w:color="auto" w:fill="C6EFCE"/>
            <w:vAlign w:val="center"/>
          </w:tcPr>
          <w:p w14:paraId="5F4D054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Т4 Г.</w:t>
            </w:r>
          </w:p>
        </w:tc>
        <w:tc>
          <w:tcPr>
            <w:tcW w:w="772" w:type="dxa"/>
            <w:shd w:val="clear" w:color="auto" w:fill="C6EFCE"/>
            <w:vAlign w:val="center"/>
          </w:tcPr>
          <w:p w14:paraId="28CF6A2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2024</w:t>
            </w:r>
          </w:p>
        </w:tc>
        <w:tc>
          <w:tcPr>
            <w:tcW w:w="4426" w:type="dxa"/>
            <w:shd w:val="clear" w:color="auto" w:fill="C6EFCE"/>
            <w:vAlign w:val="center"/>
          </w:tcPr>
          <w:p w14:paraId="382918D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bg-BG"/>
              </w:rPr>
            </w:pPr>
            <w:r w:rsidRPr="00782BF9">
              <w:rPr>
                <w:noProof/>
                <w:lang w:val="bg-BG"/>
              </w:rPr>
              <w:t>На местно равнище е въведена</w:t>
            </w:r>
            <w:r w:rsidRPr="00782BF9">
              <w:rPr>
                <w:rFonts w:ascii="Calibri" w:hAnsi="Calibri"/>
                <w:noProof/>
                <w:lang w:val="bg-BG"/>
              </w:rPr>
              <w:t>всеобхватна система за мониторинг на подземните и повърхностните води (количествено и качествено състояние) в съответствие с препоръките на Насоките за мониторинг на подземните води (Насоки 15, Обща стратегия за прилагане, Рамкова Директива 2000/60/ЕО за водите). Увеличаването на броя на станциите за дистанционно наблюдение обхваща регионите, в които се осъществяват инвестициите по този компонент. Данните от системата за мониторинг се оповестяват публично. Данните от местната мониторингова система се използват за оценка на водочерпенето както от подземни, така и от повърхностни води в райони, засегнати от инвестициите, подпомагани по плана</w:t>
            </w:r>
            <w:r w:rsidRPr="00782BF9">
              <w:rPr>
                <w:noProof/>
                <w:lang w:val="bg-BG"/>
              </w:rPr>
              <w:t>. Въз основа на данни в реално време системата за мониторинг се използва като инструмент за гарантиране на предприемането на незабавни действия в случай на влошаване на качеството или количеството на водата.</w:t>
            </w:r>
          </w:p>
        </w:tc>
      </w:tr>
      <w:tr w:rsidR="00DC4301" w:rsidRPr="00782BF9" w14:paraId="161D07F6" w14:textId="77777777" w:rsidTr="00CE3BAD">
        <w:trPr>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7F4C1A87" w14:textId="79EB7AE0" w:rsidR="00CE3BAD" w:rsidRPr="00782BF9" w:rsidRDefault="006B5475">
            <w:pPr>
              <w:pStyle w:val="P68B1DB1-Normal10"/>
              <w:spacing w:after="0" w:line="240" w:lineRule="auto"/>
              <w:rPr>
                <w:b w:val="0"/>
                <w:noProof/>
                <w:lang w:val="bg-BG"/>
              </w:rPr>
            </w:pPr>
            <w:r w:rsidRPr="00782BF9">
              <w:rPr>
                <w:noProof/>
                <w:lang w:val="bg-BG"/>
              </w:rPr>
              <w:t>73</w:t>
            </w:r>
          </w:p>
        </w:tc>
        <w:tc>
          <w:tcPr>
            <w:tcW w:w="1417" w:type="dxa"/>
            <w:shd w:val="clear" w:color="auto" w:fill="C6EFCE"/>
            <w:vAlign w:val="center"/>
          </w:tcPr>
          <w:p w14:paraId="6A1CDB64" w14:textId="12E23DAB"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C4.I2 Създаване на система за мониторинг</w:t>
            </w:r>
          </w:p>
        </w:tc>
        <w:tc>
          <w:tcPr>
            <w:tcW w:w="992" w:type="dxa"/>
            <w:shd w:val="clear" w:color="auto" w:fill="C6EFCE"/>
            <w:vAlign w:val="center"/>
          </w:tcPr>
          <w:p w14:paraId="70197ED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60" w:type="dxa"/>
            <w:shd w:val="clear" w:color="auto" w:fill="C6EFCE"/>
            <w:vAlign w:val="center"/>
          </w:tcPr>
          <w:p w14:paraId="1D24E7F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Цялостна система за мониторинг на национално равнище </w:t>
            </w:r>
          </w:p>
        </w:tc>
        <w:tc>
          <w:tcPr>
            <w:tcW w:w="1275" w:type="dxa"/>
            <w:shd w:val="clear" w:color="auto" w:fill="C6EFCE"/>
            <w:vAlign w:val="center"/>
          </w:tcPr>
          <w:p w14:paraId="2BE29B3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Приключване </w:t>
            </w:r>
          </w:p>
        </w:tc>
        <w:tc>
          <w:tcPr>
            <w:tcW w:w="1095" w:type="dxa"/>
            <w:shd w:val="clear" w:color="auto" w:fill="C6EFCE"/>
            <w:vAlign w:val="center"/>
          </w:tcPr>
          <w:p w14:paraId="2F6922D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lang w:val="bg-BG"/>
              </w:rPr>
            </w:pPr>
            <w:r w:rsidRPr="00782BF9">
              <w:rPr>
                <w:noProof/>
                <w:lang w:val="bg-BG"/>
              </w:rPr>
              <w:t xml:space="preserve"> </w:t>
            </w:r>
          </w:p>
        </w:tc>
        <w:tc>
          <w:tcPr>
            <w:tcW w:w="890" w:type="dxa"/>
            <w:shd w:val="clear" w:color="auto" w:fill="C6EFCE"/>
            <w:vAlign w:val="center"/>
          </w:tcPr>
          <w:p w14:paraId="6F6B2D4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lang w:val="bg-BG"/>
              </w:rPr>
            </w:pPr>
            <w:r w:rsidRPr="00782BF9">
              <w:rPr>
                <w:noProof/>
                <w:lang w:val="bg-BG"/>
              </w:rPr>
              <w:t xml:space="preserve"> </w:t>
            </w:r>
          </w:p>
        </w:tc>
        <w:tc>
          <w:tcPr>
            <w:tcW w:w="850" w:type="dxa"/>
            <w:shd w:val="clear" w:color="auto" w:fill="C6EFCE"/>
            <w:vAlign w:val="center"/>
          </w:tcPr>
          <w:p w14:paraId="7DB426E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lang w:val="bg-BG"/>
              </w:rPr>
            </w:pPr>
            <w:r w:rsidRPr="00782BF9">
              <w:rPr>
                <w:noProof/>
                <w:lang w:val="bg-BG"/>
              </w:rPr>
              <w:t xml:space="preserve"> </w:t>
            </w:r>
          </w:p>
        </w:tc>
        <w:tc>
          <w:tcPr>
            <w:tcW w:w="851" w:type="dxa"/>
            <w:shd w:val="clear" w:color="auto" w:fill="C6EFCE"/>
            <w:vAlign w:val="center"/>
          </w:tcPr>
          <w:p w14:paraId="034625F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Т4 Г.</w:t>
            </w:r>
          </w:p>
        </w:tc>
        <w:tc>
          <w:tcPr>
            <w:tcW w:w="772" w:type="dxa"/>
            <w:shd w:val="clear" w:color="auto" w:fill="C6EFCE"/>
            <w:vAlign w:val="center"/>
          </w:tcPr>
          <w:p w14:paraId="352A724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2025</w:t>
            </w:r>
          </w:p>
        </w:tc>
        <w:tc>
          <w:tcPr>
            <w:tcW w:w="4426" w:type="dxa"/>
            <w:shd w:val="clear" w:color="auto" w:fill="C6EFCE"/>
            <w:vAlign w:val="center"/>
          </w:tcPr>
          <w:p w14:paraId="386F04E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bg-BG"/>
              </w:rPr>
            </w:pPr>
            <w:r w:rsidRPr="00782BF9">
              <w:rPr>
                <w:noProof/>
                <w:lang w:val="bg-BG"/>
              </w:rPr>
              <w:t>На национално равнище е въведена</w:t>
            </w:r>
            <w:r w:rsidRPr="00782BF9">
              <w:rPr>
                <w:rFonts w:ascii="Calibri" w:hAnsi="Calibri"/>
                <w:noProof/>
                <w:lang w:val="bg-BG"/>
              </w:rPr>
              <w:t xml:space="preserve">всеобхватна система за мониторинг на подземните и повърхностните води (количествено и качествено състояние) в съответствие с препоръките от Насоките за мониторинг на подземните води (Насоки 15, Обща стратегия за прилагане, Рамкова Директива 2000/60/ЕО за водите). Данните от системата за мониторинг се оповестяват публично. </w:t>
            </w:r>
            <w:r w:rsidRPr="00782BF9">
              <w:rPr>
                <w:noProof/>
                <w:lang w:val="bg-BG"/>
              </w:rPr>
              <w:t xml:space="preserve">Въз основа на данни в реално време системата за мониторинг се използва като инструмент за гарантиране на предприемането на незабавни действия в случай на влошаване на качеството или количеството на водата. </w:t>
            </w:r>
          </w:p>
        </w:tc>
      </w:tr>
      <w:tr w:rsidR="00DC4301" w:rsidRPr="00782BF9" w14:paraId="72755492" w14:textId="77777777" w:rsidTr="00CE3BAD">
        <w:trPr>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72C7389D" w14:textId="7DFB7156" w:rsidR="00CE3BAD" w:rsidRPr="00782BF9" w:rsidRDefault="006B5475">
            <w:pPr>
              <w:pStyle w:val="P68B1DB1-Normal10"/>
              <w:spacing w:after="0" w:line="240" w:lineRule="auto"/>
              <w:rPr>
                <w:b w:val="0"/>
                <w:noProof/>
                <w:lang w:val="bg-BG"/>
              </w:rPr>
            </w:pPr>
            <w:r w:rsidRPr="00782BF9">
              <w:rPr>
                <w:noProof/>
                <w:lang w:val="bg-BG"/>
              </w:rPr>
              <w:t>74</w:t>
            </w:r>
          </w:p>
        </w:tc>
        <w:tc>
          <w:tcPr>
            <w:tcW w:w="1417" w:type="dxa"/>
            <w:shd w:val="clear" w:color="auto" w:fill="C6EFCE"/>
            <w:vAlign w:val="center"/>
          </w:tcPr>
          <w:p w14:paraId="5FD3CD7A" w14:textId="0C6475A2"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C4.I2 Създаване на система за мониторинг </w:t>
            </w:r>
          </w:p>
        </w:tc>
        <w:tc>
          <w:tcPr>
            <w:tcW w:w="992" w:type="dxa"/>
            <w:shd w:val="clear" w:color="auto" w:fill="C6EFCE"/>
            <w:vAlign w:val="center"/>
          </w:tcPr>
          <w:p w14:paraId="5B7EB7A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Целеви </w:t>
            </w:r>
          </w:p>
        </w:tc>
        <w:tc>
          <w:tcPr>
            <w:tcW w:w="1560" w:type="dxa"/>
            <w:shd w:val="clear" w:color="auto" w:fill="C6EFCE"/>
            <w:vAlign w:val="center"/>
          </w:tcPr>
          <w:p w14:paraId="2757946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Разработване на всеобхватна система за мониторинг на национално равнище </w:t>
            </w:r>
          </w:p>
        </w:tc>
        <w:tc>
          <w:tcPr>
            <w:tcW w:w="1275" w:type="dxa"/>
            <w:shd w:val="clear" w:color="auto" w:fill="C6EFCE"/>
            <w:vAlign w:val="center"/>
          </w:tcPr>
          <w:p w14:paraId="65E5D384"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95" w:type="dxa"/>
            <w:shd w:val="clear" w:color="auto" w:fill="C6EFCE"/>
            <w:vAlign w:val="center"/>
          </w:tcPr>
          <w:p w14:paraId="3CF0587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lang w:val="bg-BG"/>
              </w:rPr>
            </w:pPr>
            <w:r w:rsidRPr="00782BF9">
              <w:rPr>
                <w:noProof/>
                <w:lang w:val="bg-BG"/>
              </w:rPr>
              <w:t xml:space="preserve">Брой на инсталираните съоръжения </w:t>
            </w:r>
          </w:p>
        </w:tc>
        <w:tc>
          <w:tcPr>
            <w:tcW w:w="890" w:type="dxa"/>
            <w:shd w:val="clear" w:color="auto" w:fill="C6EFCE"/>
            <w:vAlign w:val="center"/>
          </w:tcPr>
          <w:p w14:paraId="6B7E2A6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lang w:val="bg-BG"/>
              </w:rPr>
            </w:pPr>
            <w:r w:rsidRPr="00782BF9">
              <w:rPr>
                <w:noProof/>
                <w:lang w:val="bg-BG"/>
              </w:rPr>
              <w:t>0</w:t>
            </w:r>
          </w:p>
        </w:tc>
        <w:tc>
          <w:tcPr>
            <w:tcW w:w="850" w:type="dxa"/>
            <w:shd w:val="clear" w:color="auto" w:fill="C6EFCE"/>
            <w:vAlign w:val="center"/>
          </w:tcPr>
          <w:p w14:paraId="622D066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noProof/>
                <w:lang w:val="bg-BG"/>
              </w:rPr>
            </w:pPr>
            <w:r w:rsidRPr="00782BF9">
              <w:rPr>
                <w:noProof/>
                <w:lang w:val="bg-BG"/>
              </w:rPr>
              <w:t>90</w:t>
            </w:r>
          </w:p>
        </w:tc>
        <w:tc>
          <w:tcPr>
            <w:tcW w:w="851" w:type="dxa"/>
            <w:shd w:val="clear" w:color="auto" w:fill="C6EFCE"/>
            <w:vAlign w:val="center"/>
          </w:tcPr>
          <w:p w14:paraId="745BBA1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Т4 Г.</w:t>
            </w:r>
          </w:p>
        </w:tc>
        <w:tc>
          <w:tcPr>
            <w:tcW w:w="772" w:type="dxa"/>
            <w:shd w:val="clear" w:color="auto" w:fill="C6EFCE"/>
            <w:vAlign w:val="center"/>
          </w:tcPr>
          <w:p w14:paraId="7DFEFD49"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2025</w:t>
            </w:r>
          </w:p>
        </w:tc>
        <w:tc>
          <w:tcPr>
            <w:tcW w:w="4426" w:type="dxa"/>
            <w:shd w:val="clear" w:color="auto" w:fill="C6EFCE"/>
            <w:vAlign w:val="center"/>
          </w:tcPr>
          <w:p w14:paraId="3A47E051" w14:textId="1F28A203"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bg-BG"/>
              </w:rPr>
            </w:pPr>
            <w:r w:rsidRPr="00782BF9">
              <w:rPr>
                <w:noProof/>
                <w:lang w:val="bg-BG"/>
              </w:rPr>
              <w:t>Проектът включва изграждането на най-малко 30 нови повърхностни хидрографски станции и сондирането на повече от 60 нови кладенци за подобряване на системата за мониторинг на подземната повърхност. Данните, получени от системата за мониторинг, се оповестяват публично и своевременно.</w:t>
            </w:r>
          </w:p>
        </w:tc>
      </w:tr>
      <w:tr w:rsidR="00DC4301" w:rsidRPr="00782BF9" w14:paraId="7A184EE5" w14:textId="77777777" w:rsidTr="00CE3BAD">
        <w:trPr>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1A3A5A61" w14:textId="3237EB93" w:rsidR="00CE3BAD" w:rsidRPr="00782BF9" w:rsidRDefault="006B5475">
            <w:pPr>
              <w:pStyle w:val="P68B1DB1-Normal10"/>
              <w:spacing w:after="0" w:line="240" w:lineRule="auto"/>
              <w:rPr>
                <w:b w:val="0"/>
                <w:noProof/>
                <w:lang w:val="bg-BG"/>
              </w:rPr>
            </w:pPr>
            <w:r w:rsidRPr="00782BF9">
              <w:rPr>
                <w:noProof/>
                <w:lang w:val="bg-BG"/>
              </w:rPr>
              <w:t>75</w:t>
            </w:r>
          </w:p>
        </w:tc>
        <w:tc>
          <w:tcPr>
            <w:tcW w:w="1417" w:type="dxa"/>
            <w:shd w:val="clear" w:color="auto" w:fill="C6EFCE"/>
            <w:vAlign w:val="center"/>
          </w:tcPr>
          <w:p w14:paraId="4BAA0019" w14:textId="0501774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C4.I3 Защита на природата</w:t>
            </w:r>
          </w:p>
        </w:tc>
        <w:tc>
          <w:tcPr>
            <w:tcW w:w="992" w:type="dxa"/>
            <w:shd w:val="clear" w:color="auto" w:fill="C6EFCE"/>
            <w:vAlign w:val="center"/>
          </w:tcPr>
          <w:p w14:paraId="53D2962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Ключов етап</w:t>
            </w:r>
          </w:p>
        </w:tc>
        <w:tc>
          <w:tcPr>
            <w:tcW w:w="1560" w:type="dxa"/>
            <w:shd w:val="clear" w:color="auto" w:fill="C6EFCE"/>
            <w:vAlign w:val="center"/>
          </w:tcPr>
          <w:p w14:paraId="50D70C3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Проектиране на проекта „Подобряване на сигурността на екологичното водоснабдяване в защитената зона по „Натура 2000“ Hanság</w:t>
            </w:r>
          </w:p>
        </w:tc>
        <w:tc>
          <w:tcPr>
            <w:tcW w:w="1275" w:type="dxa"/>
            <w:shd w:val="clear" w:color="auto" w:fill="C6EFCE"/>
            <w:vAlign w:val="center"/>
          </w:tcPr>
          <w:p w14:paraId="64FB8C3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Приемане на дизайна </w:t>
            </w:r>
          </w:p>
        </w:tc>
        <w:tc>
          <w:tcPr>
            <w:tcW w:w="1095" w:type="dxa"/>
            <w:shd w:val="clear" w:color="auto" w:fill="C6EFCE"/>
            <w:vAlign w:val="center"/>
          </w:tcPr>
          <w:p w14:paraId="213F00B6"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sz w:val="18"/>
                <w:lang w:val="bg-BG"/>
              </w:rPr>
            </w:pPr>
          </w:p>
        </w:tc>
        <w:tc>
          <w:tcPr>
            <w:tcW w:w="890" w:type="dxa"/>
            <w:shd w:val="clear" w:color="auto" w:fill="C6EFCE"/>
            <w:vAlign w:val="center"/>
          </w:tcPr>
          <w:p w14:paraId="090AFAB8"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sz w:val="18"/>
                <w:lang w:val="bg-BG"/>
              </w:rPr>
            </w:pPr>
          </w:p>
        </w:tc>
        <w:tc>
          <w:tcPr>
            <w:tcW w:w="850" w:type="dxa"/>
            <w:shd w:val="clear" w:color="auto" w:fill="C6EFCE"/>
            <w:vAlign w:val="center"/>
          </w:tcPr>
          <w:p w14:paraId="05412BF4"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sz w:val="18"/>
                <w:lang w:val="bg-BG"/>
              </w:rPr>
            </w:pPr>
          </w:p>
        </w:tc>
        <w:tc>
          <w:tcPr>
            <w:tcW w:w="851" w:type="dxa"/>
            <w:shd w:val="clear" w:color="auto" w:fill="C6EFCE"/>
            <w:vAlign w:val="center"/>
          </w:tcPr>
          <w:p w14:paraId="303FF19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Т2 Г.</w:t>
            </w:r>
          </w:p>
        </w:tc>
        <w:tc>
          <w:tcPr>
            <w:tcW w:w="772" w:type="dxa"/>
            <w:shd w:val="clear" w:color="auto" w:fill="C6EFCE"/>
            <w:vAlign w:val="center"/>
          </w:tcPr>
          <w:p w14:paraId="20238E9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2023</w:t>
            </w:r>
          </w:p>
        </w:tc>
        <w:tc>
          <w:tcPr>
            <w:tcW w:w="4426" w:type="dxa"/>
            <w:shd w:val="clear" w:color="auto" w:fill="C6EFCE"/>
            <w:vAlign w:val="center"/>
          </w:tcPr>
          <w:p w14:paraId="0F22DA5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bg-BG"/>
              </w:rPr>
            </w:pPr>
            <w:r w:rsidRPr="00782BF9">
              <w:rPr>
                <w:rFonts w:ascii="Calibri" w:hAnsi="Calibri"/>
                <w:noProof/>
                <w:lang w:val="bg-BG"/>
              </w:rPr>
              <w:t xml:space="preserve">Приемане на проекта, насочен към подобряване на сигурността на водоснабдяването в защитената зона по </w:t>
            </w:r>
            <w:r w:rsidRPr="00782BF9">
              <w:rPr>
                <w:noProof/>
                <w:lang w:val="bg-BG"/>
              </w:rPr>
              <w:t>„Натура 2000“ Hanság</w:t>
            </w:r>
            <w:r w:rsidRPr="00782BF9">
              <w:rPr>
                <w:rFonts w:ascii="Calibri" w:hAnsi="Calibri"/>
                <w:noProof/>
                <w:lang w:val="bg-BG"/>
              </w:rPr>
              <w:t xml:space="preserve">. </w:t>
            </w:r>
          </w:p>
          <w:p w14:paraId="471E925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bg-BG"/>
              </w:rPr>
            </w:pPr>
            <w:r w:rsidRPr="00782BF9">
              <w:rPr>
                <w:noProof/>
                <w:lang w:val="bg-BG"/>
              </w:rPr>
              <w:t xml:space="preserve">Проектът включва значителни природосъобразни решения за задържане на вода, влажни зони и торфища, по-специално N02 — възстановяване и управление на влажни зони, и N13 — </w:t>
            </w:r>
            <w:r w:rsidRPr="00782BF9">
              <w:rPr>
                <w:rFonts w:ascii="Calibri" w:hAnsi="Calibri"/>
                <w:noProof/>
                <w:lang w:val="bg-BG"/>
              </w:rPr>
              <w:t>възстановяване на естественото проникване в подземните води. Като цяло при проектирането се дава приоритет на използването на природосъобразни решения въз основа на най-добрите практики. Предоставя се описание на природосъобразните решения, интегрирани в</w:t>
            </w:r>
            <w:r w:rsidRPr="00782BF9">
              <w:rPr>
                <w:noProof/>
                <w:lang w:val="bg-BG"/>
              </w:rPr>
              <w:t xml:space="preserve"> проекта, както и обосновка за ситуациите, в които природосъобразните решения не са могли да бъдат включени при проектирането на проекта. </w:t>
            </w:r>
            <w:r w:rsidRPr="00782BF9">
              <w:rPr>
                <w:rFonts w:ascii="Calibri" w:hAnsi="Calibri"/>
                <w:noProof/>
                <w:lang w:val="bg-BG"/>
              </w:rPr>
              <w:t>Инфилтирането на вода от канали през техните брегове не се счита за природосъобразни решения.</w:t>
            </w:r>
          </w:p>
          <w:p w14:paraId="7AE02A67"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p w14:paraId="04C7B0BA" w14:textId="77777777"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rFonts w:eastAsia="Calibri" w:cs="Calibri"/>
                <w:noProof/>
                <w:lang w:val="bg-BG"/>
              </w:rPr>
            </w:pPr>
            <w:r w:rsidRPr="00782BF9">
              <w:rPr>
                <w:noProof/>
                <w:lang w:val="bg-BG"/>
              </w:rPr>
              <w:t xml:space="preserve">ОВОС се извършва в съответствие с Директива 2011/92/ЕС, както и съответните оценки в контекста на Директива 2000/60/ЕО и Директива 92/43/ЕИО. Всички мерки, определени в рамките на ОВОС и оценката съгласно Директива 2000/60/ЕО и Директива 92/43/ЕИО, се включват в проекта. </w:t>
            </w:r>
          </w:p>
          <w:p w14:paraId="1A61F596" w14:textId="77777777"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rFonts w:eastAsia="Calibri" w:cs="Calibri"/>
                <w:noProof/>
                <w:lang w:val="bg-BG"/>
              </w:rPr>
            </w:pPr>
            <w:r w:rsidRPr="00782BF9">
              <w:rPr>
                <w:noProof/>
                <w:lang w:val="bg-BG"/>
              </w:rPr>
              <w:t xml:space="preserve">При водовземане се издава съответното разрешително от съответния орган. Водочерпенето се избягва, когато съответните водни обекти са или се очаква да бъдат в по-ниско от добро или потенциално добро състояние. </w:t>
            </w:r>
          </w:p>
          <w:p w14:paraId="7BD3740F" w14:textId="5ACA350C"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r>
      <w:tr w:rsidR="00DC4301" w:rsidRPr="00782BF9" w14:paraId="7EEA7DDB" w14:textId="77777777" w:rsidTr="00CE3BAD">
        <w:trPr>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11979351" w14:textId="26553FA5" w:rsidR="00CE3BAD" w:rsidRPr="00782BF9" w:rsidRDefault="006B5475">
            <w:pPr>
              <w:pStyle w:val="P68B1DB1-Normal10"/>
              <w:spacing w:after="0" w:line="240" w:lineRule="auto"/>
              <w:rPr>
                <w:b w:val="0"/>
                <w:noProof/>
                <w:lang w:val="bg-BG"/>
              </w:rPr>
            </w:pPr>
            <w:r w:rsidRPr="00782BF9">
              <w:rPr>
                <w:noProof/>
                <w:lang w:val="bg-BG"/>
              </w:rPr>
              <w:t>76</w:t>
            </w:r>
          </w:p>
        </w:tc>
        <w:tc>
          <w:tcPr>
            <w:tcW w:w="1417" w:type="dxa"/>
            <w:shd w:val="clear" w:color="auto" w:fill="C6EFCE"/>
            <w:vAlign w:val="center"/>
          </w:tcPr>
          <w:p w14:paraId="7EFB4218" w14:textId="2449DE2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C4.I3 Защита на природата</w:t>
            </w:r>
          </w:p>
        </w:tc>
        <w:tc>
          <w:tcPr>
            <w:tcW w:w="992" w:type="dxa"/>
            <w:shd w:val="clear" w:color="auto" w:fill="C6EFCE"/>
            <w:vAlign w:val="center"/>
          </w:tcPr>
          <w:p w14:paraId="0823915A"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Ключов етап</w:t>
            </w:r>
          </w:p>
        </w:tc>
        <w:tc>
          <w:tcPr>
            <w:tcW w:w="1560" w:type="dxa"/>
            <w:shd w:val="clear" w:color="auto" w:fill="C6EFCE"/>
            <w:vAlign w:val="center"/>
          </w:tcPr>
          <w:p w14:paraId="578BDC4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Приключване на проекта „Подобряване на сигурността на екологичното водоснабдяване в защитената зона по „Натура 2000“ Hanság</w:t>
            </w:r>
          </w:p>
        </w:tc>
        <w:tc>
          <w:tcPr>
            <w:tcW w:w="1275" w:type="dxa"/>
            <w:shd w:val="clear" w:color="auto" w:fill="C6EFCE"/>
            <w:vAlign w:val="center"/>
          </w:tcPr>
          <w:p w14:paraId="2B8E343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Доклад за приключване</w:t>
            </w:r>
          </w:p>
        </w:tc>
        <w:tc>
          <w:tcPr>
            <w:tcW w:w="1095" w:type="dxa"/>
            <w:shd w:val="clear" w:color="auto" w:fill="C6EFCE"/>
            <w:vAlign w:val="center"/>
          </w:tcPr>
          <w:p w14:paraId="0975B9BD"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sz w:val="18"/>
                <w:lang w:val="bg-BG"/>
              </w:rPr>
            </w:pPr>
          </w:p>
        </w:tc>
        <w:tc>
          <w:tcPr>
            <w:tcW w:w="890" w:type="dxa"/>
            <w:shd w:val="clear" w:color="auto" w:fill="C6EFCE"/>
            <w:vAlign w:val="center"/>
          </w:tcPr>
          <w:p w14:paraId="04632B08"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sz w:val="18"/>
                <w:lang w:val="bg-BG"/>
              </w:rPr>
            </w:pPr>
          </w:p>
        </w:tc>
        <w:tc>
          <w:tcPr>
            <w:tcW w:w="850" w:type="dxa"/>
            <w:shd w:val="clear" w:color="auto" w:fill="C6EFCE"/>
            <w:vAlign w:val="center"/>
          </w:tcPr>
          <w:p w14:paraId="6B767B30"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sz w:val="18"/>
                <w:lang w:val="bg-BG"/>
              </w:rPr>
            </w:pPr>
          </w:p>
        </w:tc>
        <w:tc>
          <w:tcPr>
            <w:tcW w:w="851" w:type="dxa"/>
            <w:shd w:val="clear" w:color="auto" w:fill="C6EFCE"/>
            <w:vAlign w:val="center"/>
          </w:tcPr>
          <w:p w14:paraId="3B60E3D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Т2 Г.</w:t>
            </w:r>
          </w:p>
        </w:tc>
        <w:tc>
          <w:tcPr>
            <w:tcW w:w="772" w:type="dxa"/>
            <w:shd w:val="clear" w:color="auto" w:fill="C6EFCE"/>
            <w:vAlign w:val="center"/>
          </w:tcPr>
          <w:p w14:paraId="0F125FD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2026</w:t>
            </w:r>
          </w:p>
        </w:tc>
        <w:tc>
          <w:tcPr>
            <w:tcW w:w="4426" w:type="dxa"/>
            <w:shd w:val="clear" w:color="auto" w:fill="C6EFCE"/>
            <w:vAlign w:val="center"/>
          </w:tcPr>
          <w:p w14:paraId="4EF38AA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bg-BG"/>
              </w:rPr>
            </w:pPr>
            <w:r w:rsidRPr="00782BF9">
              <w:rPr>
                <w:noProof/>
                <w:lang w:val="bg-BG"/>
              </w:rPr>
              <w:t>Доклад за приключване на инвестицията, разработена с цел подобряване на сигурността на екологичното водоснабдяване в защитената зона по „Натура 2000“ Hanság. Тя</w:t>
            </w:r>
            <w:r w:rsidRPr="00782BF9">
              <w:rPr>
                <w:rFonts w:ascii="Calibri" w:hAnsi="Calibri"/>
                <w:noProof/>
                <w:lang w:val="bg-BG"/>
              </w:rPr>
              <w:t xml:space="preserve"> доказва, че проектът е завършен в съответствие с проекта на инвестицията.  </w:t>
            </w:r>
          </w:p>
          <w:p w14:paraId="701C0B4D" w14:textId="77777777"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rFonts w:eastAsia="Calibri" w:cs="Calibri"/>
                <w:noProof/>
                <w:lang w:val="bg-BG"/>
              </w:rPr>
            </w:pPr>
            <w:r w:rsidRPr="00782BF9">
              <w:rPr>
                <w:noProof/>
                <w:lang w:val="bg-BG"/>
              </w:rPr>
              <w:t xml:space="preserve">Докладът включва оценка на използването на природосъобразни решения за задържане на вода, влажни зони и възстановяване на торфищата.  </w:t>
            </w:r>
          </w:p>
        </w:tc>
      </w:tr>
      <w:tr w:rsidR="00DC4301" w:rsidRPr="00782BF9" w14:paraId="1BE9893F" w14:textId="77777777" w:rsidTr="00CE3BAD">
        <w:trPr>
          <w:trHeight w:val="60"/>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04EB488D" w14:textId="2F775D3B" w:rsidR="00CE3BAD" w:rsidRPr="00782BF9" w:rsidRDefault="006B5475">
            <w:pPr>
              <w:pStyle w:val="P68B1DB1-Normal10"/>
              <w:spacing w:after="0" w:line="240" w:lineRule="auto"/>
              <w:jc w:val="both"/>
              <w:rPr>
                <w:b w:val="0"/>
                <w:noProof/>
                <w:lang w:val="bg-BG"/>
              </w:rPr>
            </w:pPr>
            <w:r w:rsidRPr="00782BF9">
              <w:rPr>
                <w:noProof/>
                <w:lang w:val="bg-BG"/>
              </w:rPr>
              <w:t>77</w:t>
            </w:r>
          </w:p>
        </w:tc>
        <w:tc>
          <w:tcPr>
            <w:tcW w:w="1417" w:type="dxa"/>
            <w:shd w:val="clear" w:color="auto" w:fill="C6EFCE"/>
            <w:vAlign w:val="center"/>
          </w:tcPr>
          <w:p w14:paraId="514B04CA" w14:textId="40DD0FBB"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C4.I3 Защита на природата</w:t>
            </w:r>
          </w:p>
        </w:tc>
        <w:tc>
          <w:tcPr>
            <w:tcW w:w="992" w:type="dxa"/>
            <w:shd w:val="clear" w:color="auto" w:fill="C6EFCE"/>
            <w:vAlign w:val="center"/>
          </w:tcPr>
          <w:p w14:paraId="4603A2BB"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Целеви</w:t>
            </w:r>
          </w:p>
        </w:tc>
        <w:tc>
          <w:tcPr>
            <w:tcW w:w="1560" w:type="dxa"/>
            <w:shd w:val="clear" w:color="auto" w:fill="C6EFCE"/>
            <w:vAlign w:val="center"/>
          </w:tcPr>
          <w:p w14:paraId="1486C89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Увеличаване на комбинираното покритие на хектари зелена инфраструктура или защитени зони по „Натура 2000“, към които е насочено възстановяване на естествената хидрология </w:t>
            </w:r>
          </w:p>
        </w:tc>
        <w:tc>
          <w:tcPr>
            <w:tcW w:w="1275" w:type="dxa"/>
            <w:shd w:val="clear" w:color="auto" w:fill="C6EFCE"/>
            <w:vAlign w:val="center"/>
          </w:tcPr>
          <w:p w14:paraId="11CAD900" w14:textId="77777777" w:rsidR="00CE3BAD" w:rsidRPr="00782BF9" w:rsidRDefault="00CE3B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noProof/>
                <w:sz w:val="18"/>
                <w:lang w:val="bg-BG"/>
              </w:rPr>
            </w:pPr>
          </w:p>
        </w:tc>
        <w:tc>
          <w:tcPr>
            <w:tcW w:w="1095" w:type="dxa"/>
            <w:shd w:val="clear" w:color="auto" w:fill="C6EFCE"/>
            <w:vAlign w:val="center"/>
          </w:tcPr>
          <w:p w14:paraId="2DF37DB0"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Брой</w:t>
            </w:r>
          </w:p>
        </w:tc>
        <w:tc>
          <w:tcPr>
            <w:tcW w:w="890" w:type="dxa"/>
            <w:shd w:val="clear" w:color="auto" w:fill="C6EFCE"/>
            <w:vAlign w:val="center"/>
          </w:tcPr>
          <w:p w14:paraId="7129949D"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0</w:t>
            </w:r>
          </w:p>
        </w:tc>
        <w:tc>
          <w:tcPr>
            <w:tcW w:w="850" w:type="dxa"/>
            <w:shd w:val="clear" w:color="auto" w:fill="C6EFCE"/>
            <w:vAlign w:val="center"/>
          </w:tcPr>
          <w:p w14:paraId="63373668" w14:textId="7A53BEF5"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4</w:t>
            </w:r>
            <w:r w:rsidRPr="00782BF9">
              <w:rPr>
                <w:noProof/>
                <w:color w:val="006100"/>
                <w:lang w:val="bg-BG"/>
              </w:rPr>
              <w:t xml:space="preserve"> </w:t>
            </w:r>
            <w:r w:rsidRPr="00782BF9">
              <w:rPr>
                <w:noProof/>
                <w:lang w:val="bg-BG"/>
              </w:rPr>
              <w:t>950</w:t>
            </w:r>
          </w:p>
        </w:tc>
        <w:tc>
          <w:tcPr>
            <w:tcW w:w="851" w:type="dxa"/>
            <w:shd w:val="clear" w:color="auto" w:fill="C6EFCE"/>
            <w:vAlign w:val="center"/>
          </w:tcPr>
          <w:p w14:paraId="582F18DC"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Т2 Г.</w:t>
            </w:r>
          </w:p>
        </w:tc>
        <w:tc>
          <w:tcPr>
            <w:tcW w:w="772" w:type="dxa"/>
            <w:shd w:val="clear" w:color="auto" w:fill="C6EFCE"/>
            <w:vAlign w:val="center"/>
          </w:tcPr>
          <w:p w14:paraId="21D98B09"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2026</w:t>
            </w:r>
          </w:p>
        </w:tc>
        <w:tc>
          <w:tcPr>
            <w:tcW w:w="4426" w:type="dxa"/>
            <w:shd w:val="clear" w:color="auto" w:fill="C6EFCE"/>
            <w:vAlign w:val="center"/>
          </w:tcPr>
          <w:p w14:paraId="31B7AD50" w14:textId="79D1A3E1"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bg-BG"/>
              </w:rPr>
            </w:pPr>
            <w:r w:rsidRPr="00782BF9">
              <w:rPr>
                <w:rFonts w:ascii="Calibri" w:hAnsi="Calibri"/>
                <w:noProof/>
                <w:lang w:val="bg-BG"/>
              </w:rPr>
              <w:t>Комбинираното покритие на зелената инфраструктура, защитените зони или защитените зони по „Натура 2000“, към които е насочено възстановяване на естествената хидрология, се увеличава с 4</w:t>
            </w:r>
            <w:r w:rsidRPr="00782BF9">
              <w:rPr>
                <w:noProof/>
                <w:color w:val="006100"/>
                <w:lang w:val="bg-BG"/>
              </w:rPr>
              <w:t xml:space="preserve"> </w:t>
            </w:r>
            <w:r w:rsidRPr="00782BF9">
              <w:rPr>
                <w:rFonts w:ascii="Calibri" w:hAnsi="Calibri"/>
                <w:noProof/>
                <w:lang w:val="bg-BG"/>
              </w:rPr>
              <w:t>950 хектара.</w:t>
            </w:r>
          </w:p>
          <w:p w14:paraId="6E80B61E" w14:textId="1140746E"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rFonts w:eastAsia="Calibri" w:cs="Calibri"/>
                <w:noProof/>
                <w:lang w:val="bg-BG"/>
              </w:rPr>
            </w:pPr>
            <w:r w:rsidRPr="00782BF9">
              <w:rPr>
                <w:noProof/>
                <w:lang w:val="bg-BG"/>
              </w:rPr>
              <w:t xml:space="preserve">Това се измерва чрез броя на възстановените хектари в съответствие с целите за опазване и в съответствие с разпоредбите на Директива 2009/147/ЕО относно опазването на дивите птици (Директива за птиците) и Директива 92/43/ЕИО за опазване на естествените местообитания и на дивата флора и фауна (Директива за местообитанията). </w:t>
            </w:r>
          </w:p>
          <w:p w14:paraId="5AD797D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bg-BG"/>
              </w:rPr>
            </w:pPr>
            <w:r w:rsidRPr="00782BF9">
              <w:rPr>
                <w:rFonts w:ascii="Calibri" w:hAnsi="Calibri"/>
                <w:noProof/>
                <w:lang w:val="bg-BG"/>
              </w:rPr>
              <w:t xml:space="preserve">Освен това Дирекцията за национален парк Ferto-Ha nság представя доклад за оценка на въздействието на инвестицията върху възстановяването на влажните зони и торфищата с оглед на целите за опазване на защитената зона по „Натура 2000“, включително хидрологията и подобряването на състоянието на местообитанията и видовете.   </w:t>
            </w:r>
          </w:p>
        </w:tc>
      </w:tr>
      <w:tr w:rsidR="00DC4301" w:rsidRPr="00782BF9" w14:paraId="0A572A4B" w14:textId="77777777" w:rsidTr="00CE3BAD">
        <w:trPr>
          <w:trHeight w:val="60"/>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694303CF" w14:textId="7A7FF85C" w:rsidR="00CE3BAD" w:rsidRPr="00782BF9" w:rsidRDefault="006B5475">
            <w:pPr>
              <w:pStyle w:val="P68B1DB1-Normal10"/>
              <w:spacing w:after="0" w:line="240" w:lineRule="auto"/>
              <w:jc w:val="both"/>
              <w:rPr>
                <w:b w:val="0"/>
                <w:noProof/>
                <w:lang w:val="bg-BG"/>
              </w:rPr>
            </w:pPr>
            <w:r w:rsidRPr="00782BF9">
              <w:rPr>
                <w:noProof/>
                <w:lang w:val="bg-BG"/>
              </w:rPr>
              <w:t>78</w:t>
            </w:r>
          </w:p>
        </w:tc>
        <w:tc>
          <w:tcPr>
            <w:tcW w:w="1417" w:type="dxa"/>
            <w:shd w:val="clear" w:color="auto" w:fill="C6EFCE"/>
            <w:vAlign w:val="center"/>
          </w:tcPr>
          <w:p w14:paraId="4AF618CE" w14:textId="6043B5AF"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C4.R2 Ускоряване на мерките за адаптиране към изменението на климата в управлението на водите </w:t>
            </w:r>
          </w:p>
        </w:tc>
        <w:tc>
          <w:tcPr>
            <w:tcW w:w="992" w:type="dxa"/>
            <w:shd w:val="clear" w:color="auto" w:fill="C6EFCE"/>
            <w:vAlign w:val="center"/>
          </w:tcPr>
          <w:p w14:paraId="5E22734C"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Ключов етап </w:t>
            </w:r>
          </w:p>
        </w:tc>
        <w:tc>
          <w:tcPr>
            <w:tcW w:w="1560" w:type="dxa"/>
            <w:shd w:val="clear" w:color="auto" w:fill="C6EFCE"/>
            <w:vAlign w:val="center"/>
          </w:tcPr>
          <w:p w14:paraId="6AAE09FE"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Доклад на работната група за устойчиво управление на водите </w:t>
            </w:r>
          </w:p>
        </w:tc>
        <w:tc>
          <w:tcPr>
            <w:tcW w:w="1275" w:type="dxa"/>
            <w:shd w:val="clear" w:color="auto" w:fill="C6EFCE"/>
            <w:vAlign w:val="center"/>
          </w:tcPr>
          <w:p w14:paraId="31C237E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rFonts w:ascii="Calibri" w:hAnsi="Calibri"/>
                <w:noProof/>
                <w:lang w:val="bg-BG"/>
              </w:rPr>
              <w:t>Публикуване на доклада</w:t>
            </w:r>
            <w:r w:rsidRPr="00782BF9">
              <w:rPr>
                <w:noProof/>
                <w:lang w:val="bg-BG"/>
              </w:rPr>
              <w:t xml:space="preserve"> </w:t>
            </w:r>
          </w:p>
        </w:tc>
        <w:tc>
          <w:tcPr>
            <w:tcW w:w="1095" w:type="dxa"/>
            <w:shd w:val="clear" w:color="auto" w:fill="C6EFCE"/>
            <w:vAlign w:val="center"/>
          </w:tcPr>
          <w:p w14:paraId="02E68E14" w14:textId="77777777" w:rsidR="00CE3BAD" w:rsidRPr="00782BF9" w:rsidRDefault="00CE3B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90" w:type="dxa"/>
            <w:shd w:val="clear" w:color="auto" w:fill="C6EFCE"/>
            <w:vAlign w:val="center"/>
          </w:tcPr>
          <w:p w14:paraId="61E558D9" w14:textId="77777777" w:rsidR="00CE3BAD" w:rsidRPr="00782BF9" w:rsidRDefault="00CE3B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shd w:val="clear" w:color="auto" w:fill="C6EFCE"/>
            <w:vAlign w:val="center"/>
          </w:tcPr>
          <w:p w14:paraId="368E76E5" w14:textId="77777777" w:rsidR="00CE3BAD" w:rsidRPr="00782BF9" w:rsidRDefault="00CE3B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1" w:type="dxa"/>
            <w:shd w:val="clear" w:color="auto" w:fill="C6EFCE"/>
            <w:vAlign w:val="center"/>
          </w:tcPr>
          <w:p w14:paraId="1273F58D"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Т4 Г. </w:t>
            </w:r>
          </w:p>
        </w:tc>
        <w:tc>
          <w:tcPr>
            <w:tcW w:w="772" w:type="dxa"/>
            <w:shd w:val="clear" w:color="auto" w:fill="C6EFCE"/>
            <w:vAlign w:val="center"/>
          </w:tcPr>
          <w:p w14:paraId="059FEB35"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2023</w:t>
            </w:r>
          </w:p>
        </w:tc>
        <w:tc>
          <w:tcPr>
            <w:tcW w:w="4426" w:type="dxa"/>
            <w:shd w:val="clear" w:color="auto" w:fill="C6EFCE"/>
            <w:vAlign w:val="center"/>
          </w:tcPr>
          <w:p w14:paraId="630F0095" w14:textId="77777777"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rFonts w:eastAsia="Calibri" w:cs="Calibri"/>
                <w:noProof/>
                <w:lang w:val="bg-BG"/>
              </w:rPr>
            </w:pPr>
            <w:r w:rsidRPr="00782BF9">
              <w:rPr>
                <w:noProof/>
                <w:lang w:val="bg-BG"/>
              </w:rPr>
              <w:t xml:space="preserve">Създава се работна група за устойчиво управление на водите, която включва по-специално международни експерти, признати в областта на практиките за устойчиво управление на водите и природосъобразните решения. </w:t>
            </w:r>
          </w:p>
          <w:p w14:paraId="51963409" w14:textId="77777777"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rFonts w:eastAsia="Calibri" w:cs="Calibri"/>
                <w:noProof/>
                <w:lang w:val="bg-BG"/>
              </w:rPr>
            </w:pPr>
            <w:r w:rsidRPr="00782BF9">
              <w:rPr>
                <w:noProof/>
                <w:lang w:val="bg-BG"/>
              </w:rPr>
              <w:t xml:space="preserve">Работната група публикува доклад, съдържащ препоръки относно: повишена подготвеност и реагиране при екстремни метеорологични явления; мониторинг на стратегиите за адаптиране към изменението на климата (включително рамка на политиката и структура на управление); подобряване на знанията в областта на адаптацията и екологичната осведоменост, както и подобряване на използването на интервенции за адаптиране към изменението на климата, като природосъобразни решения. </w:t>
            </w:r>
          </w:p>
        </w:tc>
      </w:tr>
      <w:tr w:rsidR="00DC4301" w:rsidRPr="00782BF9" w14:paraId="7D0F632D" w14:textId="77777777" w:rsidTr="00CE3BAD">
        <w:trPr>
          <w:trHeight w:val="1070"/>
          <w:jc w:val="center"/>
        </w:trPr>
        <w:tc>
          <w:tcPr>
            <w:cnfStyle w:val="001000000000" w:firstRow="0" w:lastRow="0" w:firstColumn="1" w:lastColumn="0" w:oddVBand="0" w:evenVBand="0" w:oddHBand="0" w:evenHBand="0" w:firstRowFirstColumn="0" w:firstRowLastColumn="0" w:lastRowFirstColumn="0" w:lastRowLastColumn="0"/>
            <w:tcW w:w="1135" w:type="dxa"/>
            <w:shd w:val="clear" w:color="auto" w:fill="C6EFCE"/>
            <w:vAlign w:val="center"/>
          </w:tcPr>
          <w:p w14:paraId="4CFE3DBC" w14:textId="1DEB8D03" w:rsidR="00CE3BAD" w:rsidRPr="00782BF9" w:rsidRDefault="006B5475">
            <w:pPr>
              <w:pStyle w:val="P68B1DB1-Normal10"/>
              <w:spacing w:after="0" w:line="240" w:lineRule="auto"/>
              <w:jc w:val="both"/>
              <w:rPr>
                <w:b w:val="0"/>
                <w:noProof/>
                <w:lang w:val="bg-BG"/>
              </w:rPr>
            </w:pPr>
            <w:r w:rsidRPr="00782BF9">
              <w:rPr>
                <w:noProof/>
                <w:lang w:val="bg-BG"/>
              </w:rPr>
              <w:t>79</w:t>
            </w:r>
          </w:p>
        </w:tc>
        <w:tc>
          <w:tcPr>
            <w:tcW w:w="1417" w:type="dxa"/>
            <w:shd w:val="clear" w:color="auto" w:fill="C6EFCE"/>
            <w:vAlign w:val="center"/>
          </w:tcPr>
          <w:p w14:paraId="509341DE" w14:textId="1D3E4F48"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C4.R2 Ускоряване на мерките за адаптиране към изменението на климата в управлението на водите  </w:t>
            </w:r>
          </w:p>
        </w:tc>
        <w:tc>
          <w:tcPr>
            <w:tcW w:w="992" w:type="dxa"/>
            <w:shd w:val="clear" w:color="auto" w:fill="C6EFCE"/>
            <w:vAlign w:val="center"/>
          </w:tcPr>
          <w:p w14:paraId="3C52C30E"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Ключов етап </w:t>
            </w:r>
          </w:p>
        </w:tc>
        <w:tc>
          <w:tcPr>
            <w:tcW w:w="1560" w:type="dxa"/>
            <w:shd w:val="clear" w:color="auto" w:fill="C6EFCE"/>
            <w:vAlign w:val="center"/>
          </w:tcPr>
          <w:p w14:paraId="4E11CF05" w14:textId="76D6DD2A"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Изпълнение на план за действие въз основа на препоръките, изготвени от работната група </w:t>
            </w:r>
          </w:p>
        </w:tc>
        <w:tc>
          <w:tcPr>
            <w:tcW w:w="1275" w:type="dxa"/>
            <w:shd w:val="clear" w:color="auto" w:fill="C6EFCE"/>
            <w:vAlign w:val="center"/>
          </w:tcPr>
          <w:p w14:paraId="1C3FD1FA" w14:textId="77777777"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rFonts w:eastAsia="Calibri" w:cs="Calibri"/>
                <w:noProof/>
                <w:lang w:val="bg-BG"/>
              </w:rPr>
            </w:pPr>
            <w:r w:rsidRPr="00782BF9">
              <w:rPr>
                <w:noProof/>
                <w:lang w:val="bg-BG"/>
              </w:rPr>
              <w:t xml:space="preserve">Планът за действие е изпълнен </w:t>
            </w:r>
          </w:p>
        </w:tc>
        <w:tc>
          <w:tcPr>
            <w:tcW w:w="1095" w:type="dxa"/>
            <w:shd w:val="clear" w:color="auto" w:fill="C6EFCE"/>
            <w:vAlign w:val="center"/>
          </w:tcPr>
          <w:p w14:paraId="57673185" w14:textId="77777777" w:rsidR="00CE3BAD" w:rsidRPr="00782BF9" w:rsidRDefault="00CE3B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90" w:type="dxa"/>
            <w:shd w:val="clear" w:color="auto" w:fill="C6EFCE"/>
            <w:vAlign w:val="center"/>
          </w:tcPr>
          <w:p w14:paraId="2CE3A305" w14:textId="77777777" w:rsidR="00CE3BAD" w:rsidRPr="00782BF9" w:rsidRDefault="00CE3B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shd w:val="clear" w:color="auto" w:fill="C6EFCE"/>
            <w:vAlign w:val="center"/>
          </w:tcPr>
          <w:p w14:paraId="33F1B947" w14:textId="77777777" w:rsidR="00CE3BAD" w:rsidRPr="00782BF9" w:rsidRDefault="00CE3B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1" w:type="dxa"/>
            <w:shd w:val="clear" w:color="auto" w:fill="C6EFCE"/>
            <w:vAlign w:val="center"/>
          </w:tcPr>
          <w:p w14:paraId="5B5DB70D"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Т2 Г.</w:t>
            </w:r>
          </w:p>
        </w:tc>
        <w:tc>
          <w:tcPr>
            <w:tcW w:w="772" w:type="dxa"/>
            <w:shd w:val="clear" w:color="auto" w:fill="C6EFCE"/>
            <w:vAlign w:val="center"/>
          </w:tcPr>
          <w:p w14:paraId="35445AE5"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2025</w:t>
            </w:r>
          </w:p>
        </w:tc>
        <w:tc>
          <w:tcPr>
            <w:tcW w:w="4426" w:type="dxa"/>
            <w:shd w:val="clear" w:color="auto" w:fill="C6EFCE"/>
            <w:vAlign w:val="center"/>
          </w:tcPr>
          <w:p w14:paraId="1A5FCF9F" w14:textId="77777777"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rFonts w:eastAsia="Calibri" w:cs="Calibri"/>
                <w:noProof/>
                <w:lang w:val="bg-BG"/>
              </w:rPr>
            </w:pPr>
            <w:r w:rsidRPr="00782BF9">
              <w:rPr>
                <w:noProof/>
                <w:lang w:val="bg-BG"/>
              </w:rPr>
              <w:t xml:space="preserve">Изготвеният от работната група доклад се представя за обществена консултация и на международни форуми. </w:t>
            </w:r>
          </w:p>
          <w:p w14:paraId="68ACC4BA" w14:textId="77777777"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rFonts w:eastAsia="Calibri" w:cs="Calibri"/>
                <w:noProof/>
                <w:lang w:val="bg-BG"/>
              </w:rPr>
            </w:pPr>
            <w:r w:rsidRPr="00782BF9">
              <w:rPr>
                <w:noProof/>
                <w:lang w:val="bg-BG"/>
              </w:rPr>
              <w:t xml:space="preserve">Въз основа на тези препоръки и обмен се разработва и публикува план за действие. </w:t>
            </w:r>
          </w:p>
          <w:p w14:paraId="7DF6B875" w14:textId="05F44A64" w:rsidR="00CE3BAD" w:rsidRPr="00782BF9" w:rsidRDefault="006B5475">
            <w:pPr>
              <w:pStyle w:val="P68B1DB1-Normal12"/>
              <w:spacing w:after="0" w:line="240" w:lineRule="auto"/>
              <w:cnfStyle w:val="000000000000" w:firstRow="0" w:lastRow="0" w:firstColumn="0" w:lastColumn="0" w:oddVBand="0" w:evenVBand="0" w:oddHBand="0" w:evenHBand="0" w:firstRowFirstColumn="0" w:firstRowLastColumn="0" w:lastRowFirstColumn="0" w:lastRowLastColumn="0"/>
              <w:rPr>
                <w:rFonts w:eastAsia="Calibri" w:cs="Calibri"/>
                <w:noProof/>
                <w:lang w:val="bg-BG"/>
              </w:rPr>
            </w:pPr>
            <w:r w:rsidRPr="00782BF9">
              <w:rPr>
                <w:noProof/>
                <w:lang w:val="bg-BG"/>
              </w:rPr>
              <w:t xml:space="preserve">Неговото прилагане приключва, включително всички необходими законодателни изменения. </w:t>
            </w:r>
          </w:p>
        </w:tc>
      </w:tr>
    </w:tbl>
    <w:p w14:paraId="24F56EA0" w14:textId="77777777" w:rsidR="00CE3BAD" w:rsidRPr="00782BF9" w:rsidRDefault="00CE3BAD">
      <w:pPr>
        <w:rPr>
          <w:noProof/>
          <w:lang w:val="bg-BG"/>
        </w:rPr>
        <w:sectPr w:rsidR="00CE3BAD" w:rsidRPr="00782BF9" w:rsidSect="00D637EC">
          <w:headerReference w:type="even" r:id="rId69"/>
          <w:headerReference w:type="default" r:id="rId70"/>
          <w:footerReference w:type="even" r:id="rId71"/>
          <w:footerReference w:type="default" r:id="rId72"/>
          <w:headerReference w:type="first" r:id="rId73"/>
          <w:footerReference w:type="first" r:id="rId74"/>
          <w:pgSz w:w="16838" w:h="11906" w:orient="landscape"/>
          <w:pgMar w:top="1418" w:right="1418" w:bottom="1418" w:left="1418" w:header="709" w:footer="709" w:gutter="0"/>
          <w:cols w:space="708"/>
          <w:docGrid w:linePitch="360"/>
        </w:sectPr>
      </w:pPr>
    </w:p>
    <w:p w14:paraId="5ED9C277" w14:textId="2E0BC486" w:rsidR="00CE3BAD" w:rsidRPr="00782BF9" w:rsidRDefault="006B5475">
      <w:pPr>
        <w:pStyle w:val="Heading2"/>
        <w:keepNext w:val="0"/>
        <w:ind w:left="0" w:firstLine="0"/>
        <w:rPr>
          <w:smallCaps/>
          <w:noProof/>
          <w:lang w:val="bg-BG"/>
        </w:rPr>
      </w:pPr>
      <w:r w:rsidRPr="00782BF9">
        <w:rPr>
          <w:smallCaps/>
          <w:noProof/>
          <w:lang w:val="bg-BG"/>
        </w:rPr>
        <w:t>Д. КОМПОНЕНТ 5:</w:t>
      </w:r>
      <w:r w:rsidRPr="00782BF9">
        <w:rPr>
          <w:noProof/>
          <w:lang w:val="bg-BG"/>
        </w:rPr>
        <w:t xml:space="preserve"> </w:t>
      </w:r>
      <w:r w:rsidRPr="00782BF9">
        <w:rPr>
          <w:smallCaps/>
          <w:noProof/>
          <w:lang w:val="bg-BG"/>
        </w:rPr>
        <w:t>УСТОЙЧИВ ЕКОЛОГОСЪОБРАЗЕН ТРАНСПОРТ</w:t>
      </w:r>
    </w:p>
    <w:p w14:paraId="63062C84" w14:textId="77777777" w:rsidR="00CE3BAD" w:rsidRPr="00782BF9" w:rsidRDefault="00CE3BAD">
      <w:pPr>
        <w:pStyle w:val="Text1"/>
        <w:keepNext w:val="0"/>
        <w:rPr>
          <w:noProof/>
          <w:lang w:val="bg-BG"/>
        </w:rPr>
      </w:pPr>
    </w:p>
    <w:p w14:paraId="7EE6A342" w14:textId="61245C2D" w:rsidR="00CE3BAD" w:rsidRPr="00782BF9" w:rsidRDefault="006B5475">
      <w:pPr>
        <w:pStyle w:val="Text1"/>
        <w:keepNext w:val="0"/>
        <w:spacing w:before="0" w:after="120" w:line="240" w:lineRule="auto"/>
        <w:rPr>
          <w:noProof/>
          <w:lang w:val="bg-BG"/>
        </w:rPr>
      </w:pPr>
      <w:r w:rsidRPr="00782BF9">
        <w:rPr>
          <w:noProof/>
          <w:lang w:val="bg-BG"/>
        </w:rPr>
        <w:t>Този компонент от унгарския план за възстановяване и устойчивост е насочен към необходимостта от засилване на приноса на транспортния сектор за намаляване на емисиите на парникови газове и замърсители, от ускоряване на модернизацията на транспортната мрежа и подвижния състав, от повишаване на привлекателността на устойчивите видове транспорт, по-специално на обществения транспорт, и от подобряване на социалното и териториалното сближаване.</w:t>
      </w:r>
    </w:p>
    <w:p w14:paraId="5EEE825A" w14:textId="1999224A" w:rsidR="00CE3BAD" w:rsidRPr="00782BF9" w:rsidRDefault="006B5475">
      <w:pPr>
        <w:pStyle w:val="Text1"/>
        <w:keepNext w:val="0"/>
        <w:spacing w:before="0" w:after="120" w:line="240" w:lineRule="auto"/>
        <w:rPr>
          <w:noProof/>
          <w:lang w:val="bg-BG"/>
        </w:rPr>
      </w:pPr>
      <w:r w:rsidRPr="00782BF9">
        <w:rPr>
          <w:noProof/>
          <w:lang w:val="bg-BG"/>
        </w:rPr>
        <w:t xml:space="preserve">Целта на този компонент е да се насърчи устойчивата мобилност, да се укрепи общественият транспорт с ниски въглеродни емисии, да се намалят отрицателните външни ефекти на транспорта (по-специално задръстванията, емисиите и произшествията) и да се осигурят достъпни видове транспорт, най-вече чрез укрепване на инфраструктурата и превозните средства на обществения транспорт. Очаква се мерките по този компонент да доведат до намаляване на емисиите, дължащи се на транспорта, чрез насърчаване на използването на екологосъобразни градски и крайградски видове транспорт и по-общо чрез укрепване на алтернативите на отделните автомобили и товарния автомобилен транспорт. Очаква се общественият транспорт да стане по-привлекателен, което ще доведе до това повече потребители да преминат от личен автомобил към обществен транспорт. Очаква се също така по-стабилната железопътна инфраструктура да улесни прехвърлянето на товари към други видове транспорт. За тази цел този компонент се състои от реформи и инвестиции, които насърчават устойчивия транспорт чрез модернизация на важни железопътни линии в региона на Будапеща и в коридора TEN-T, закупуване на автобуси с нулеви емисии за обществения транспорт, модернизиране на системата за управление на железопътните линии и въвеждане на единна ценова и информационна система за обществения транспорт. </w:t>
      </w:r>
    </w:p>
    <w:p w14:paraId="7D1E821F" w14:textId="766D3D73" w:rsidR="00CE3BAD" w:rsidRPr="00782BF9" w:rsidRDefault="006B5475">
      <w:pPr>
        <w:pStyle w:val="Text1"/>
        <w:keepNext w:val="0"/>
        <w:spacing w:before="0" w:after="120" w:line="240" w:lineRule="auto"/>
        <w:rPr>
          <w:noProof/>
          <w:lang w:val="bg-BG"/>
        </w:rPr>
      </w:pPr>
      <w:r w:rsidRPr="00782BF9">
        <w:rPr>
          <w:noProof/>
          <w:lang w:val="bg-BG"/>
        </w:rPr>
        <w:t>Компонентът допринася за изпълнението на специфичните за всяка държава препоръки за съсредоточаване на свързаната с инвестициите икономическа политика върху транспортната инфраструктура, като се вземат предвид регионалните различия, и за съсредоточаване на инвестициите върху екологичния преход, по-специално устойчивия транспорт (специфична за държавата препоръка 3 през 2019 г. и 2020 г.), и върху намаляването на зависимостта от изкопаеми горива в транспорта чрез увеличаване на усилията за енергийна ефективност, по-специално чрез електрификация (Специфична за държавата препоръка 6 през 2022 г.).</w:t>
      </w:r>
    </w:p>
    <w:p w14:paraId="51E213BB" w14:textId="77777777" w:rsidR="00CE3BAD" w:rsidRPr="00782BF9" w:rsidRDefault="006B5475">
      <w:pPr>
        <w:pStyle w:val="Text1"/>
        <w:keepNext w:val="0"/>
        <w:spacing w:before="0" w:after="120" w:line="240" w:lineRule="auto"/>
        <w:rPr>
          <w:noProof/>
          <w:lang w:val="bg-BG"/>
        </w:rPr>
      </w:pPr>
      <w:r w:rsidRPr="00782BF9">
        <w:rPr>
          <w:noProof/>
          <w:lang w:val="bg-BG"/>
        </w:rPr>
        <w:t xml:space="preserve">Очаква се никоя мярка в този компонент да не нанася значителни вреди на екологичните цели по смисъла на член 17 от Регламент (ЕС) 2020/852, като се вземе предвид описанието на мерките и стъпките за смекчаване, определени в плана в съответствие с техническите насоки за НЗВ (2021/C58/01). </w:t>
      </w:r>
    </w:p>
    <w:p w14:paraId="691BE15F" w14:textId="77777777" w:rsidR="00CE3BAD" w:rsidRPr="00782BF9" w:rsidRDefault="00CE3BAD">
      <w:pPr>
        <w:pStyle w:val="Text1"/>
        <w:spacing w:before="0" w:after="120" w:line="240" w:lineRule="auto"/>
        <w:rPr>
          <w:noProof/>
          <w:lang w:val="bg-BG"/>
        </w:rPr>
      </w:pPr>
    </w:p>
    <w:p w14:paraId="6DA1DDB0" w14:textId="454CF508" w:rsidR="00CE3BAD" w:rsidRPr="00782BF9" w:rsidRDefault="006B5475">
      <w:pPr>
        <w:pStyle w:val="Heading2"/>
        <w:keepNext w:val="0"/>
        <w:spacing w:before="0" w:after="120" w:line="240" w:lineRule="auto"/>
        <w:ind w:left="0" w:firstLine="0"/>
        <w:rPr>
          <w:noProof/>
          <w:lang w:val="bg-BG"/>
        </w:rPr>
      </w:pPr>
      <w:bookmarkStart w:id="2" w:name="_Toc71726477"/>
      <w:bookmarkStart w:id="3" w:name="_Toc71728150"/>
      <w:r w:rsidRPr="00782BF9">
        <w:rPr>
          <w:noProof/>
          <w:lang w:val="bg-BG"/>
        </w:rPr>
        <w:t xml:space="preserve">Д.1. </w:t>
      </w:r>
      <w:r w:rsidRPr="00782BF9">
        <w:rPr>
          <w:noProof/>
          <w:lang w:val="bg-BG"/>
        </w:rPr>
        <w:tab/>
        <w:t>Описание на реформите и инвестициите за безвъзмездна финансова подкрепа</w:t>
      </w:r>
      <w:bookmarkEnd w:id="2"/>
      <w:bookmarkEnd w:id="3"/>
    </w:p>
    <w:p w14:paraId="23AF327D" w14:textId="334BCDD5" w:rsidR="00CE3BAD" w:rsidRPr="00782BF9" w:rsidRDefault="00315798">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5.</w:t>
      </w:r>
      <w:r w:rsidRPr="00782BF9">
        <w:rPr>
          <w:noProof/>
          <w:lang w:val="bg-BG"/>
        </w:rPr>
        <w:t>I</w:t>
      </w:r>
      <w:r w:rsidR="006B5475" w:rsidRPr="00782BF9">
        <w:rPr>
          <w:noProof/>
          <w:lang w:val="bg-BG"/>
        </w:rPr>
        <w:t>1: Изграждане на капацитет на крайградската железопътна мрежа</w:t>
      </w:r>
    </w:p>
    <w:p w14:paraId="47080573" w14:textId="3F8FE569" w:rsidR="00CE3BAD" w:rsidRPr="00782BF9" w:rsidRDefault="006B5475">
      <w:pPr>
        <w:pStyle w:val="Text1"/>
        <w:keepNext w:val="0"/>
        <w:spacing w:before="0" w:after="120" w:line="240" w:lineRule="auto"/>
        <w:rPr>
          <w:noProof/>
          <w:lang w:val="bg-BG"/>
        </w:rPr>
      </w:pPr>
      <w:r w:rsidRPr="00782BF9">
        <w:rPr>
          <w:noProof/>
          <w:lang w:val="bg-BG"/>
        </w:rPr>
        <w:t xml:space="preserve">Целта на инвестицията е да се повиши привлекателността на обществения железопътен транспорт около и в Будапеща чрез модернизиране на 46 км железопътни линии по следните участъци от три главни крайградски железопътни линии (HÉV): </w:t>
      </w:r>
    </w:p>
    <w:p w14:paraId="19C5E86B" w14:textId="316E417C" w:rsidR="00CE3BAD" w:rsidRPr="00782BF9" w:rsidRDefault="006B5475">
      <w:pPr>
        <w:pStyle w:val="Text1"/>
        <w:numPr>
          <w:ilvl w:val="0"/>
          <w:numId w:val="7"/>
        </w:numPr>
        <w:spacing w:before="0" w:after="120" w:line="240" w:lineRule="auto"/>
        <w:rPr>
          <w:noProof/>
          <w:lang w:val="bg-BG"/>
        </w:rPr>
      </w:pPr>
      <w:r w:rsidRPr="00782BF9">
        <w:rPr>
          <w:noProof/>
          <w:lang w:val="bg-BG"/>
        </w:rPr>
        <w:t xml:space="preserve">Szentendre — Pomáz — Budakalász — Békásmegyer (H5); </w:t>
      </w:r>
    </w:p>
    <w:p w14:paraId="587209F7" w14:textId="69C9DD3F" w:rsidR="00CE3BAD" w:rsidRPr="00782BF9" w:rsidRDefault="006B5475">
      <w:pPr>
        <w:pStyle w:val="Text1"/>
        <w:numPr>
          <w:ilvl w:val="0"/>
          <w:numId w:val="7"/>
        </w:numPr>
        <w:spacing w:before="0" w:after="120" w:line="240" w:lineRule="auto"/>
        <w:rPr>
          <w:noProof/>
          <w:lang w:val="bg-BG"/>
        </w:rPr>
      </w:pPr>
      <w:r w:rsidRPr="00782BF9">
        <w:rPr>
          <w:noProof/>
          <w:lang w:val="bg-BG"/>
        </w:rPr>
        <w:t xml:space="preserve">Ráckeve — Tököl — Szigetszentmiklós — Milleniumtelep (H6); </w:t>
      </w:r>
    </w:p>
    <w:p w14:paraId="29F5324E" w14:textId="77777777" w:rsidR="00CE3BAD" w:rsidRPr="00782BF9" w:rsidRDefault="006B5475">
      <w:pPr>
        <w:pStyle w:val="Text1"/>
        <w:keepNext w:val="0"/>
        <w:numPr>
          <w:ilvl w:val="0"/>
          <w:numId w:val="7"/>
        </w:numPr>
        <w:spacing w:before="0" w:after="120" w:line="240" w:lineRule="auto"/>
        <w:rPr>
          <w:noProof/>
          <w:lang w:val="bg-BG"/>
        </w:rPr>
      </w:pPr>
      <w:r w:rsidRPr="00782BF9">
        <w:rPr>
          <w:noProof/>
          <w:lang w:val="bg-BG"/>
        </w:rPr>
        <w:t>Csepel — мост Kvtest (H7).</w:t>
      </w:r>
    </w:p>
    <w:p w14:paraId="3E97B18E" w14:textId="0039B7C5" w:rsidR="00CE3BAD" w:rsidRPr="00782BF9" w:rsidRDefault="006B5475">
      <w:pPr>
        <w:pStyle w:val="Text1"/>
        <w:keepNext w:val="0"/>
        <w:spacing w:before="0" w:after="120" w:line="240" w:lineRule="auto"/>
        <w:rPr>
          <w:noProof/>
          <w:lang w:val="bg-BG"/>
        </w:rPr>
      </w:pPr>
      <w:r w:rsidRPr="00782BF9">
        <w:rPr>
          <w:noProof/>
          <w:lang w:val="bg-BG"/>
        </w:rPr>
        <w:t>Системата HÉV е самостоятелна железопътна система с олекотена конструкция в крайградска/градска среда, която трябва да бъде модернизирана, за да се използва пълният ѝ потенциал. Инвестицията се състои в модернизиране на железопътните коловози и включва също така модернизация на спирки и гари по тези линии, подмяна на тяговата система, инсталиране на нови съоръжения за съхранение на велосипеди B + R и създаване на нови интермодални центрове.</w:t>
      </w:r>
    </w:p>
    <w:p w14:paraId="55221D34" w14:textId="454CF508" w:rsidR="00CE3BAD" w:rsidRPr="00782BF9" w:rsidRDefault="00CE3BAD">
      <w:pPr>
        <w:pStyle w:val="Text1"/>
        <w:keepNext w:val="0"/>
        <w:spacing w:before="0" w:after="120" w:line="240" w:lineRule="auto"/>
        <w:rPr>
          <w:noProof/>
          <w:lang w:val="bg-BG"/>
        </w:rPr>
      </w:pPr>
    </w:p>
    <w:p w14:paraId="5C83588B" w14:textId="733A47C0" w:rsidR="00CE3BAD" w:rsidRPr="00782BF9" w:rsidRDefault="006B5475">
      <w:pPr>
        <w:pStyle w:val="Text1"/>
        <w:keepNext w:val="0"/>
        <w:spacing w:before="0" w:after="120" w:line="240" w:lineRule="auto"/>
        <w:rPr>
          <w:noProof/>
          <w:lang w:val="bg-BG"/>
        </w:rPr>
      </w:pPr>
      <w:r w:rsidRPr="00782BF9">
        <w:rPr>
          <w:noProof/>
          <w:lang w:val="bg-BG"/>
        </w:rPr>
        <w:t>Изпълнението на инвестицията трябва да приключи до 30 юни 2026 г.</w:t>
      </w:r>
    </w:p>
    <w:p w14:paraId="77830E93" w14:textId="733A47C0" w:rsidR="00CE3BAD" w:rsidRPr="00782BF9" w:rsidRDefault="00CE3BAD">
      <w:pPr>
        <w:pStyle w:val="Text1"/>
        <w:keepNext w:val="0"/>
        <w:spacing w:before="0" w:after="120" w:line="240" w:lineRule="auto"/>
        <w:rPr>
          <w:noProof/>
          <w:lang w:val="bg-BG"/>
        </w:rPr>
      </w:pPr>
    </w:p>
    <w:p w14:paraId="35E8C309" w14:textId="796E7AFC" w:rsidR="00CE3BAD" w:rsidRPr="00782BF9" w:rsidRDefault="00315798">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5.</w:t>
      </w:r>
      <w:r w:rsidRPr="00782BF9">
        <w:rPr>
          <w:noProof/>
          <w:lang w:val="bg-BG"/>
        </w:rPr>
        <w:t>I</w:t>
      </w:r>
      <w:r w:rsidR="006B5475" w:rsidRPr="00782BF9">
        <w:rPr>
          <w:noProof/>
          <w:lang w:val="bg-BG"/>
        </w:rPr>
        <w:t>2: Смяна на претоварването на железопътната мрежа по коридора TEN-T</w:t>
      </w:r>
    </w:p>
    <w:p w14:paraId="3D8EF162" w14:textId="733A47C0" w:rsidR="00CE3BAD" w:rsidRPr="00782BF9" w:rsidRDefault="006B5475">
      <w:pPr>
        <w:pStyle w:val="Text1"/>
        <w:keepNext w:val="0"/>
        <w:spacing w:before="0" w:after="120" w:line="240" w:lineRule="auto"/>
        <w:rPr>
          <w:noProof/>
          <w:lang w:val="bg-BG"/>
        </w:rPr>
      </w:pPr>
      <w:r w:rsidRPr="00782BF9">
        <w:rPr>
          <w:noProof/>
          <w:lang w:val="bg-BG"/>
        </w:rPr>
        <w:t>Целта на инвестицията е да се насочи товарният трафик на дълги разстояния към видове транспорт с ниски емисии на CO2 и да се подобри използването на товарния и пътническия транспорт на дълги разстояния чрез премахване на участъците с недостатъчен капацитет и ограниченията на капацитета в железопътната мрежа TEN-T.</w:t>
      </w:r>
    </w:p>
    <w:p w14:paraId="2FCF1086" w14:textId="7DB2000E" w:rsidR="00CE3BAD" w:rsidRPr="00782BF9" w:rsidRDefault="006B5475">
      <w:pPr>
        <w:pStyle w:val="Text1"/>
        <w:keepNext w:val="0"/>
        <w:spacing w:before="0" w:after="120" w:line="240" w:lineRule="auto"/>
        <w:rPr>
          <w:noProof/>
          <w:lang w:val="bg-BG"/>
        </w:rPr>
      </w:pPr>
      <w:r w:rsidRPr="00782BF9">
        <w:rPr>
          <w:noProof/>
          <w:lang w:val="bg-BG"/>
        </w:rPr>
        <w:t>Инвестицията се състои в значително модернизиране на два електрифицирани железопътни участъка:</w:t>
      </w:r>
    </w:p>
    <w:p w14:paraId="35B9A8F1" w14:textId="3D15412B" w:rsidR="00CE3BAD" w:rsidRPr="00782BF9" w:rsidRDefault="006B5475">
      <w:pPr>
        <w:pStyle w:val="Text1"/>
        <w:keepNext w:val="0"/>
        <w:numPr>
          <w:ilvl w:val="0"/>
          <w:numId w:val="9"/>
        </w:numPr>
        <w:spacing w:before="0" w:after="120" w:line="240" w:lineRule="auto"/>
        <w:rPr>
          <w:noProof/>
          <w:lang w:val="bg-BG"/>
        </w:rPr>
      </w:pPr>
      <w:r w:rsidRPr="00782BF9">
        <w:rPr>
          <w:noProof/>
          <w:lang w:val="bg-BG"/>
        </w:rPr>
        <w:t>Участъкът от линията Almásfüzitő-Komárom с дължина 11 km е критичен тесен участък, който понастоящем е обект на постоянни бавни сигнали. Инвестицията трябва да позволява увеличаване на скоростта по този участък (разрешена скорост от 160 km/h). Тя включва също изграждането или модернизирането на съответно липсващи или остарели съоръжения за превоз на пътници, като например надлези или пешеходни пътеки. Изпълнението на това действие трябва да приключи до 31 март 2026 г.</w:t>
      </w:r>
    </w:p>
    <w:p w14:paraId="2E92EB3C" w14:textId="7F672E25" w:rsidR="00CE3BAD" w:rsidRPr="00782BF9" w:rsidRDefault="006B5475">
      <w:pPr>
        <w:pStyle w:val="Text1"/>
        <w:keepNext w:val="0"/>
        <w:numPr>
          <w:ilvl w:val="0"/>
          <w:numId w:val="9"/>
        </w:numPr>
        <w:spacing w:before="0" w:after="120" w:line="240" w:lineRule="auto"/>
        <w:rPr>
          <w:noProof/>
          <w:lang w:val="bg-BG"/>
        </w:rPr>
      </w:pPr>
      <w:r w:rsidRPr="00782BF9">
        <w:rPr>
          <w:noProof/>
          <w:lang w:val="bg-BG"/>
        </w:rPr>
        <w:t>Инвестицията ще реконструира железопътната отсечка Békéscsaba — Lőkösháza с дължина 30,3 km, за да се даде възможност за увеличаване на скоростта в тази отсечка (разрешена скорост от 160 km/h), включително разширяване на линията до две коловози и цялостно обновяване с развитието на управлението на влака ETCS L2 и модернизирането на гарите Kétegyháza и Lőkösháza. Изпълнението на това действие трябва да приключи до 30 юни 2026 г.</w:t>
      </w:r>
    </w:p>
    <w:p w14:paraId="308B92DB" w14:textId="733A47C0" w:rsidR="00CE3BAD" w:rsidRPr="00782BF9" w:rsidRDefault="00CE3BAD">
      <w:pPr>
        <w:pStyle w:val="Text1"/>
        <w:keepNext w:val="0"/>
        <w:spacing w:before="0" w:after="120" w:line="240" w:lineRule="auto"/>
        <w:ind w:left="720"/>
        <w:rPr>
          <w:noProof/>
          <w:lang w:val="bg-BG"/>
        </w:rPr>
      </w:pPr>
    </w:p>
    <w:p w14:paraId="555733CA" w14:textId="2C2BCB18" w:rsidR="00CE3BAD" w:rsidRPr="00782BF9" w:rsidRDefault="00315798">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5.</w:t>
      </w:r>
      <w:r w:rsidRPr="00782BF9">
        <w:rPr>
          <w:noProof/>
          <w:lang w:val="bg-BG"/>
        </w:rPr>
        <w:t>I</w:t>
      </w:r>
      <w:r w:rsidR="006B5475" w:rsidRPr="00782BF9">
        <w:rPr>
          <w:noProof/>
          <w:lang w:val="bg-BG"/>
        </w:rPr>
        <w:t>3: Развитие на автобусен транспорт с нулеви емисии</w:t>
      </w:r>
    </w:p>
    <w:p w14:paraId="0D6AA1CE" w14:textId="08589081" w:rsidR="00CE3BAD" w:rsidRPr="00782BF9" w:rsidRDefault="006B5475">
      <w:pPr>
        <w:pStyle w:val="Text1"/>
        <w:keepNext w:val="0"/>
        <w:spacing w:before="0" w:after="120" w:line="240" w:lineRule="auto"/>
        <w:rPr>
          <w:noProof/>
          <w:lang w:val="bg-BG"/>
        </w:rPr>
      </w:pPr>
      <w:r w:rsidRPr="00782BF9">
        <w:rPr>
          <w:noProof/>
          <w:lang w:val="bg-BG"/>
        </w:rPr>
        <w:t xml:space="preserve">Целта на инвестицията е да се поднови и декарбонизира паркът от обществен транспорт в Унгария чрез осигуряване на автобуси с нулеви емисии в съответствие с Директивата за чистите превозни средства. </w:t>
      </w:r>
    </w:p>
    <w:p w14:paraId="4ECE1202" w14:textId="207229A7" w:rsidR="00CE3BAD" w:rsidRPr="00782BF9" w:rsidRDefault="006B5475">
      <w:pPr>
        <w:pStyle w:val="Text1"/>
        <w:keepNext w:val="0"/>
        <w:spacing w:before="0" w:after="120" w:line="240" w:lineRule="auto"/>
        <w:rPr>
          <w:noProof/>
          <w:lang w:val="bg-BG"/>
        </w:rPr>
      </w:pPr>
      <w:r w:rsidRPr="00782BF9">
        <w:rPr>
          <w:noProof/>
          <w:lang w:val="bg-BG"/>
        </w:rPr>
        <w:t>Инвестицията се състои в замяната от местни органи или оператори на обществени услуги на 300 автобуса, използващи изкопаеми горива, с нови електрически автобуси и в изграждането на същия брой зарядни точки в рамките на програмата „Зелени автобуси“. Финансовата подкрепа се предоставя под формата на безвъзмездни средства на общини или оператори на услуги (които са допустими във всички градове с повече от 25 000 жители) след покана за представяне на предложения. Автобусите се използват за предоставяне на обществени услуги за пътнически превоз по договори за обществени услуги. Системите за безопасност на превозните средства на закупените автобуси трябва да отговарят на изискванията на ЕС.</w:t>
      </w:r>
    </w:p>
    <w:p w14:paraId="5295BD14" w14:textId="733A47C0" w:rsidR="00CE3BAD" w:rsidRPr="00782BF9" w:rsidRDefault="006B5475">
      <w:pPr>
        <w:pStyle w:val="Text1"/>
        <w:keepNext w:val="0"/>
        <w:spacing w:before="0" w:after="120" w:line="240" w:lineRule="auto"/>
        <w:rPr>
          <w:noProof/>
          <w:lang w:val="bg-BG"/>
        </w:rPr>
      </w:pPr>
      <w:r w:rsidRPr="00782BF9">
        <w:rPr>
          <w:noProof/>
          <w:lang w:val="bg-BG"/>
        </w:rPr>
        <w:t>Изпълнението на инвестицията трябва да приключи до 31 декември 2025 г.</w:t>
      </w:r>
    </w:p>
    <w:p w14:paraId="4CA3B6CC" w14:textId="733A47C0" w:rsidR="00CE3BAD" w:rsidRPr="00782BF9" w:rsidRDefault="00CE3BAD">
      <w:pPr>
        <w:pStyle w:val="Text1"/>
        <w:keepNext w:val="0"/>
        <w:spacing w:before="0" w:after="120" w:line="240" w:lineRule="auto"/>
        <w:rPr>
          <w:noProof/>
          <w:lang w:val="bg-BG"/>
        </w:rPr>
      </w:pPr>
    </w:p>
    <w:p w14:paraId="558386C0" w14:textId="2158ED48" w:rsidR="00CE3BAD" w:rsidRPr="00782BF9" w:rsidRDefault="00315798">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5.</w:t>
      </w:r>
      <w:r w:rsidRPr="00782BF9">
        <w:rPr>
          <w:noProof/>
          <w:lang w:val="bg-BG"/>
        </w:rPr>
        <w:t>I</w:t>
      </w:r>
      <w:r w:rsidR="006B5475" w:rsidRPr="00782BF9">
        <w:rPr>
          <w:noProof/>
          <w:lang w:val="bg-BG"/>
        </w:rPr>
        <w:t>4: Внедряване на централно управление на движението по железопътните линии на TEN-T</w:t>
      </w:r>
    </w:p>
    <w:p w14:paraId="31D54F77" w14:textId="77777777" w:rsidR="00CE3BAD" w:rsidRPr="00782BF9" w:rsidRDefault="006B5475">
      <w:pPr>
        <w:pStyle w:val="Text1"/>
        <w:keepNext w:val="0"/>
        <w:spacing w:before="0" w:after="120" w:line="240" w:lineRule="auto"/>
        <w:rPr>
          <w:noProof/>
          <w:lang w:val="bg-BG"/>
        </w:rPr>
      </w:pPr>
      <w:r w:rsidRPr="00782BF9">
        <w:rPr>
          <w:noProof/>
          <w:lang w:val="bg-BG"/>
        </w:rPr>
        <w:t>Целта на инвестицията е да се подобри надеждността и сигурността на железопътната мрежа чрез въвеждането на централизирана система за управление, като се подобри нейната ефективност и в крайна сметка нейната привлекателност.</w:t>
      </w:r>
    </w:p>
    <w:p w14:paraId="5F56484B" w14:textId="2C54C6A3" w:rsidR="00CE3BAD" w:rsidRPr="00782BF9" w:rsidRDefault="006B5475">
      <w:pPr>
        <w:pStyle w:val="Text1"/>
        <w:spacing w:before="0" w:after="120" w:line="240" w:lineRule="auto"/>
        <w:rPr>
          <w:noProof/>
          <w:lang w:val="bg-BG"/>
        </w:rPr>
      </w:pPr>
      <w:r w:rsidRPr="00782BF9">
        <w:rPr>
          <w:noProof/>
          <w:lang w:val="bg-BG"/>
        </w:rPr>
        <w:t>Инвестицията се състои в изграждането на централна система за управление на движението (KÖFI) за 239 км главни крайградски и национални железопътни линии, с компютърна поддръжка и информация за влаковете в реално време. Инвестицията обхваща железопътна линия 70, част от широкообхватната трансевропейска транспортна мрежа, и железопътни линии 100а и 80, част от основната трансевропейска транспортна мрежа. Той трябва да осигурява на персонала на контролните органи наблюдение в реално време на информацията за движението на влаковете, като подобрява контрола на движението на влаковете от един център. Очаква се инвестицията да увеличи устойчивостта на участъците от съответната железопътна линия, да осигури потока на движение, да използва резерви за съставяне на разписания, да увеличи капацитета за преминаване и да осигури единна аудиовизуална информация за пътниците.</w:t>
      </w:r>
    </w:p>
    <w:p w14:paraId="0C204AB4" w14:textId="4B552086" w:rsidR="00CE3BAD" w:rsidRPr="00782BF9" w:rsidRDefault="006B5475">
      <w:pPr>
        <w:pStyle w:val="Text1"/>
        <w:keepNext w:val="0"/>
        <w:spacing w:before="0" w:after="120" w:line="240" w:lineRule="auto"/>
        <w:rPr>
          <w:noProof/>
          <w:lang w:val="bg-BG"/>
        </w:rPr>
      </w:pPr>
      <w:r w:rsidRPr="00782BF9">
        <w:rPr>
          <w:noProof/>
          <w:lang w:val="bg-BG"/>
        </w:rPr>
        <w:t>Изпълнението на инвестицията трябва да приключи до 30 юни 2026 г.</w:t>
      </w:r>
    </w:p>
    <w:p w14:paraId="293C48C7" w14:textId="77777777" w:rsidR="00CE3BAD" w:rsidRPr="00782BF9" w:rsidRDefault="00CE3BAD">
      <w:pPr>
        <w:pStyle w:val="Text1"/>
        <w:keepNext w:val="0"/>
        <w:spacing w:before="0" w:after="120" w:line="240" w:lineRule="auto"/>
        <w:rPr>
          <w:noProof/>
          <w:lang w:val="bg-BG"/>
        </w:rPr>
      </w:pPr>
    </w:p>
    <w:p w14:paraId="7197AECF" w14:textId="331D986B" w:rsidR="00CE3BAD" w:rsidRPr="00782BF9" w:rsidRDefault="00315798">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5.</w:t>
      </w:r>
      <w:r w:rsidRPr="00782BF9">
        <w:rPr>
          <w:noProof/>
          <w:lang w:val="bg-BG"/>
        </w:rPr>
        <w:t>I</w:t>
      </w:r>
      <w:r w:rsidR="006B5475" w:rsidRPr="00782BF9">
        <w:rPr>
          <w:noProof/>
          <w:lang w:val="bg-BG"/>
        </w:rPr>
        <w:t xml:space="preserve">5: Развитие на трамвайната и тролейбусната система на Будапеща </w:t>
      </w:r>
    </w:p>
    <w:p w14:paraId="631A2C7D" w14:textId="77777777" w:rsidR="00CE3BAD" w:rsidRPr="00782BF9" w:rsidRDefault="006B5475">
      <w:pPr>
        <w:pStyle w:val="Text1"/>
        <w:spacing w:before="0" w:after="120" w:line="240" w:lineRule="auto"/>
        <w:rPr>
          <w:noProof/>
          <w:lang w:val="bg-BG"/>
        </w:rPr>
      </w:pPr>
      <w:r w:rsidRPr="00782BF9">
        <w:rPr>
          <w:noProof/>
          <w:lang w:val="bg-BG"/>
        </w:rPr>
        <w:t>Целта на инвестицията е да се подобри транспортната инфраструктура на Будапеща чрез закупуване на нови трамваи и обновяване на тролейбусните инфраструктури. Целта на инвестицията е да се подобрят условията за пътуване, да се увеличи транспортният капацитет и да се осигури по-голямо териториално покритие при използването на нови превозни средства.</w:t>
      </w:r>
    </w:p>
    <w:p w14:paraId="7E29A9D2" w14:textId="4E44BE9A" w:rsidR="00CE3BAD" w:rsidRPr="00782BF9" w:rsidRDefault="006B5475">
      <w:pPr>
        <w:pStyle w:val="Text1"/>
        <w:spacing w:before="0" w:after="120" w:line="240" w:lineRule="auto"/>
        <w:rPr>
          <w:noProof/>
          <w:lang w:val="bg-BG"/>
        </w:rPr>
      </w:pPr>
      <w:r w:rsidRPr="00782BF9">
        <w:rPr>
          <w:noProof/>
          <w:lang w:val="bg-BG"/>
        </w:rPr>
        <w:t xml:space="preserve">Инвестицията подкрепя закупуването на нови, енергийноефективни превозни средства с нулеви преки емисии на CO2 от изходната тръба на последния шумозаглушител, които да заменят старите превозни средства. Инвестицията също така подкрепя инфраструктурата, свързана с трамвайните и тролейбусните системи, чрез обновяване на редица важни елементи от транспортната инфраструктура, като спирки, гари, коловози и други по-малки по мащаб разработки. </w:t>
      </w:r>
    </w:p>
    <w:p w14:paraId="1F64EB81" w14:textId="77777777" w:rsidR="00CE3BAD" w:rsidRPr="00782BF9" w:rsidRDefault="006B5475">
      <w:pPr>
        <w:pStyle w:val="Text1"/>
        <w:keepNext w:val="0"/>
        <w:spacing w:before="0" w:after="120" w:line="240" w:lineRule="auto"/>
        <w:rPr>
          <w:noProof/>
          <w:lang w:val="bg-BG"/>
        </w:rPr>
      </w:pPr>
      <w:r w:rsidRPr="00782BF9">
        <w:rPr>
          <w:noProof/>
          <w:lang w:val="bg-BG"/>
        </w:rPr>
        <w:t>Изпълнението на инвестицията трябва да приключи до 30 юни 2026 г.</w:t>
      </w:r>
    </w:p>
    <w:p w14:paraId="4C309017" w14:textId="77777777" w:rsidR="00CE3BAD" w:rsidRPr="00782BF9" w:rsidRDefault="00CE3BAD">
      <w:pPr>
        <w:pStyle w:val="Text1"/>
        <w:keepNext w:val="0"/>
        <w:spacing w:before="0" w:after="120" w:line="240" w:lineRule="auto"/>
        <w:rPr>
          <w:noProof/>
          <w:lang w:val="bg-BG"/>
        </w:rPr>
      </w:pPr>
    </w:p>
    <w:p w14:paraId="681AA33B" w14:textId="77777777" w:rsidR="00CE3BAD" w:rsidRPr="00782BF9" w:rsidRDefault="006B5475">
      <w:pPr>
        <w:pStyle w:val="P68B1DB1-Normal2"/>
        <w:spacing w:after="120" w:line="240" w:lineRule="auto"/>
        <w:jc w:val="both"/>
        <w:rPr>
          <w:rFonts w:cs="Times New Roman"/>
          <w:noProof/>
          <w:lang w:val="bg-BG"/>
        </w:rPr>
      </w:pPr>
      <w:r w:rsidRPr="00782BF9">
        <w:rPr>
          <w:noProof/>
          <w:lang w:val="bg-BG"/>
        </w:rPr>
        <w:t>C5.R1: Въвеждане на единна национална система за тарифи, продажба на билети и информация за пътниците в автобусния и железопътния транспорт от националния орган за обществен транспорт</w:t>
      </w:r>
    </w:p>
    <w:p w14:paraId="637F89C6" w14:textId="77777777" w:rsidR="00CE3BAD" w:rsidRPr="00782BF9" w:rsidRDefault="006B5475">
      <w:pPr>
        <w:pStyle w:val="Text1"/>
        <w:spacing w:before="0" w:after="120" w:line="240" w:lineRule="auto"/>
        <w:rPr>
          <w:noProof/>
          <w:lang w:val="bg-BG"/>
        </w:rPr>
      </w:pPr>
      <w:r w:rsidRPr="00782BF9">
        <w:rPr>
          <w:noProof/>
          <w:lang w:val="bg-BG"/>
        </w:rPr>
        <w:t>Целта на тази реформа е да се улесни използването на обществения транспорт по мултимодален начин, като се даде възможност за по-лесно съчетаване на железопътни и автобусни транспортни услуги чрез въвеждането на единна тарифна система, система за издаване на билети и информация за пътниците от новосъздадения национален орган за обществен транспорт на национално равнище.</w:t>
      </w:r>
    </w:p>
    <w:p w14:paraId="7FE0DABB" w14:textId="77777777" w:rsidR="00CE3BAD" w:rsidRPr="00782BF9" w:rsidRDefault="006B5475">
      <w:pPr>
        <w:pStyle w:val="Text1"/>
        <w:spacing w:before="0" w:after="120" w:line="240" w:lineRule="auto"/>
        <w:rPr>
          <w:noProof/>
          <w:lang w:val="bg-BG"/>
        </w:rPr>
      </w:pPr>
      <w:r w:rsidRPr="00782BF9">
        <w:rPr>
          <w:noProof/>
          <w:lang w:val="bg-BG"/>
        </w:rPr>
        <w:t xml:space="preserve">Реформата се състои във въвеждането на единна национална система за тарифи, издаване на билети и информация за пътниците за различните видове обществен транспорт (местни и междуградски автобуси и влакове) чрез цифрови средства. Инфраструктурата за предоставяне на електронни билети не е част от тази реформа и не се финансира от плана за възстановяване и устойчивост. </w:t>
      </w:r>
    </w:p>
    <w:p w14:paraId="52D732FF" w14:textId="4F5EB8B5" w:rsidR="00CE3BAD" w:rsidRPr="00782BF9" w:rsidRDefault="006B5475">
      <w:pPr>
        <w:pStyle w:val="Text1"/>
        <w:spacing w:before="0" w:after="120" w:line="240" w:lineRule="auto"/>
        <w:rPr>
          <w:noProof/>
          <w:lang w:val="bg-BG"/>
        </w:rPr>
      </w:pPr>
      <w:r w:rsidRPr="00782BF9">
        <w:rPr>
          <w:noProof/>
          <w:lang w:val="bg-BG"/>
        </w:rPr>
        <w:t>Реформата въвежда съответната регулаторна рамка. По-специално се създава национален орган за обществен транспорт и с нов регламент се определя институционалната рамка по отношение на методите и процедурите за новата тарифна система, схемите за билети и наличието на информация за пътниците.</w:t>
      </w:r>
    </w:p>
    <w:p w14:paraId="4976514B" w14:textId="4185C4A0" w:rsidR="00CE3BAD" w:rsidRPr="00782BF9" w:rsidRDefault="006B5475">
      <w:pPr>
        <w:pStyle w:val="Text1"/>
        <w:spacing w:before="0" w:after="120" w:line="240" w:lineRule="auto"/>
        <w:rPr>
          <w:noProof/>
          <w:lang w:val="bg-BG"/>
        </w:rPr>
      </w:pPr>
      <w:r w:rsidRPr="00782BF9">
        <w:rPr>
          <w:noProof/>
          <w:lang w:val="bg-BG"/>
        </w:rPr>
        <w:t>Реформата също така въвежда в действие необходимата инфраструктура за продажба на билети, по-специално автомати за продажба на билети, платформа за информация за пътуванията в реално време и тарифна информация, включваща влак, автобус и местен транспорт, портал OpenData, съдържащ данни за пътническия транспорт, и система за информация за пътниците в реално време.</w:t>
      </w:r>
    </w:p>
    <w:p w14:paraId="7F2ED7AA" w14:textId="43D4FDA0" w:rsidR="00CE3BAD" w:rsidRPr="00782BF9" w:rsidRDefault="006B5475">
      <w:pPr>
        <w:pStyle w:val="Text1"/>
        <w:spacing w:before="0" w:after="120" w:line="240" w:lineRule="auto"/>
        <w:rPr>
          <w:noProof/>
          <w:lang w:val="bg-BG"/>
        </w:rPr>
      </w:pPr>
      <w:r w:rsidRPr="00782BF9">
        <w:rPr>
          <w:noProof/>
          <w:lang w:val="bg-BG"/>
        </w:rPr>
        <w:t>Реформата ще даде възможност на потребителите да закупуват билети за цялата страна, да изискват информация за разписанието и да проверяват текущото състояние на движението чрез единна платформа. Получената система третира всички пътувания с железопътен и автобусен обмен като един субект, предоставя обобщена информация и издава един билет за целия маршрут. Информацията за разписанието и в реално време трябва да бъде публично достъпна и изложена на железопътните и автобусните гари.</w:t>
      </w:r>
    </w:p>
    <w:p w14:paraId="09EAF8F0" w14:textId="1C7A4D39" w:rsidR="00CE3BAD" w:rsidRPr="00782BF9" w:rsidRDefault="006B5475">
      <w:pPr>
        <w:pStyle w:val="Text1"/>
        <w:spacing w:before="0" w:after="120" w:line="240" w:lineRule="auto"/>
        <w:rPr>
          <w:noProof/>
          <w:lang w:val="bg-BG"/>
        </w:rPr>
      </w:pPr>
      <w:r w:rsidRPr="00782BF9">
        <w:rPr>
          <w:noProof/>
          <w:lang w:val="bg-BG"/>
        </w:rPr>
        <w:t xml:space="preserve">Системата е недискриминационна и се основава на формати за обмен на данни в съответствие с изискванията на ЕС (делегиран регламент (ЕС) 2017/1926 на Комисията) и е в съответствие със задачите на националния орган за обществен транспорт на всички нива и услуги на регионалните транспортни дружества. </w:t>
      </w:r>
    </w:p>
    <w:p w14:paraId="165CD792" w14:textId="314D13E6" w:rsidR="00CE3BAD" w:rsidRPr="00782BF9" w:rsidRDefault="006B5475">
      <w:pPr>
        <w:pStyle w:val="Text1"/>
        <w:spacing w:before="0" w:after="120" w:line="240" w:lineRule="auto"/>
        <w:rPr>
          <w:noProof/>
          <w:lang w:val="bg-BG"/>
        </w:rPr>
      </w:pPr>
      <w:r w:rsidRPr="00782BF9">
        <w:rPr>
          <w:noProof/>
          <w:lang w:val="bg-BG"/>
        </w:rPr>
        <w:t>Изпълнението на реформата трябва да приключи до 31 декември 2025 г.</w:t>
      </w:r>
    </w:p>
    <w:p w14:paraId="02C6C15A" w14:textId="77777777" w:rsidR="00CE3BAD" w:rsidRPr="00782BF9" w:rsidRDefault="00CE3BAD">
      <w:pPr>
        <w:pStyle w:val="Text1"/>
        <w:keepNext w:val="0"/>
        <w:spacing w:before="0" w:after="120" w:line="240" w:lineRule="auto"/>
        <w:rPr>
          <w:noProof/>
          <w:lang w:val="bg-BG"/>
        </w:rPr>
      </w:pPr>
    </w:p>
    <w:p w14:paraId="1DF44DD9" w14:textId="77777777" w:rsidR="00CE3BAD" w:rsidRPr="00782BF9" w:rsidRDefault="00CE3BAD">
      <w:pPr>
        <w:pStyle w:val="Text1"/>
        <w:keepNext w:val="0"/>
        <w:rPr>
          <w:noProof/>
          <w:lang w:val="bg-BG"/>
        </w:rPr>
      </w:pPr>
    </w:p>
    <w:p w14:paraId="513013B9" w14:textId="77777777" w:rsidR="00CE3BAD" w:rsidRPr="00782BF9" w:rsidRDefault="00CE3BAD">
      <w:pPr>
        <w:spacing w:after="160" w:line="256" w:lineRule="auto"/>
        <w:rPr>
          <w:b/>
          <w:noProof/>
          <w:u w:val="single"/>
          <w:lang w:val="bg-BG"/>
        </w:rPr>
        <w:sectPr w:rsidR="00CE3BAD" w:rsidRPr="00782BF9" w:rsidSect="00D637EC">
          <w:headerReference w:type="even" r:id="rId75"/>
          <w:headerReference w:type="default" r:id="rId76"/>
          <w:footerReference w:type="even" r:id="rId77"/>
          <w:footerReference w:type="default" r:id="rId78"/>
          <w:headerReference w:type="first" r:id="rId79"/>
          <w:footerReference w:type="first" r:id="rId80"/>
          <w:pgSz w:w="11906" w:h="16838"/>
          <w:pgMar w:top="1418" w:right="1418" w:bottom="1418" w:left="1418" w:header="709" w:footer="709" w:gutter="0"/>
          <w:cols w:space="708"/>
          <w:docGrid w:linePitch="360"/>
        </w:sectPr>
      </w:pPr>
    </w:p>
    <w:p w14:paraId="14A26796" w14:textId="77777777" w:rsidR="00CE3BAD" w:rsidRPr="00782BF9" w:rsidRDefault="006B5475">
      <w:pPr>
        <w:pStyle w:val="Heading2"/>
        <w:spacing w:after="120"/>
        <w:ind w:left="0" w:firstLine="0"/>
        <w:rPr>
          <w:noProof/>
          <w:lang w:val="bg-BG"/>
        </w:rPr>
      </w:pPr>
      <w:r w:rsidRPr="00782BF9">
        <w:rPr>
          <w:noProof/>
          <w:lang w:val="bg-BG"/>
        </w:rPr>
        <w:t xml:space="preserve">Д.2. </w:t>
      </w:r>
      <w:r w:rsidRPr="00782BF9">
        <w:rPr>
          <w:noProof/>
          <w:lang w:val="bg-BG"/>
        </w:rPr>
        <w:tab/>
        <w:t>Ключови етапи, цели, показатели и график за мониторинг и изпълнение на безвъзмездната финансова подкрепа</w:t>
      </w:r>
    </w:p>
    <w:tbl>
      <w:tblPr>
        <w:tblW w:w="15065" w:type="dxa"/>
        <w:jc w:val="center"/>
        <w:tblLayout w:type="fixed"/>
        <w:tblLook w:val="04A0" w:firstRow="1" w:lastRow="0" w:firstColumn="1" w:lastColumn="0" w:noHBand="0" w:noVBand="1"/>
      </w:tblPr>
      <w:tblGrid>
        <w:gridCol w:w="1134"/>
        <w:gridCol w:w="1598"/>
        <w:gridCol w:w="1096"/>
        <w:gridCol w:w="1701"/>
        <w:gridCol w:w="1417"/>
        <w:gridCol w:w="1031"/>
        <w:gridCol w:w="1011"/>
        <w:gridCol w:w="709"/>
        <w:gridCol w:w="832"/>
        <w:gridCol w:w="776"/>
        <w:gridCol w:w="3760"/>
      </w:tblGrid>
      <w:tr w:rsidR="00CE3BAD" w:rsidRPr="00782BF9" w14:paraId="2E82F85E" w14:textId="77777777">
        <w:trPr>
          <w:trHeight w:val="661"/>
          <w:tblHeader/>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56C9260" w14:textId="77777777" w:rsidR="00CE3BAD" w:rsidRPr="00782BF9" w:rsidRDefault="006B5475">
            <w:pPr>
              <w:pStyle w:val="P68B1DB1-Normal9"/>
              <w:spacing w:after="0" w:line="240" w:lineRule="auto"/>
              <w:jc w:val="center"/>
              <w:rPr>
                <w:noProof/>
                <w:lang w:val="bg-BG"/>
              </w:rPr>
            </w:pPr>
            <w:r w:rsidRPr="00782BF9">
              <w:rPr>
                <w:noProof/>
                <w:lang w:val="bg-BG"/>
              </w:rPr>
              <w:t>Пореден номер</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1383F26" w14:textId="77777777" w:rsidR="00CE3BAD" w:rsidRPr="00782BF9" w:rsidRDefault="006B5475">
            <w:pPr>
              <w:pStyle w:val="P68B1DB1-Normal9"/>
              <w:spacing w:after="0" w:line="240" w:lineRule="auto"/>
              <w:jc w:val="center"/>
              <w:rPr>
                <w:noProof/>
                <w:lang w:val="bg-BG"/>
              </w:rPr>
            </w:pPr>
            <w:r w:rsidRPr="00782BF9">
              <w:rPr>
                <w:noProof/>
                <w:lang w:val="bg-BG"/>
              </w:rPr>
              <w:t>Свързана мярка (реформа или инвестиции)</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5DB5938" w14:textId="77777777" w:rsidR="00CE3BAD" w:rsidRPr="00782BF9" w:rsidRDefault="006B5475">
            <w:pPr>
              <w:pStyle w:val="P68B1DB1-Normal9"/>
              <w:spacing w:after="0" w:line="240" w:lineRule="auto"/>
              <w:jc w:val="center"/>
              <w:rPr>
                <w:noProof/>
                <w:lang w:val="bg-BG"/>
              </w:rPr>
            </w:pPr>
            <w:r w:rsidRPr="00782BF9">
              <w:rPr>
                <w:noProof/>
                <w:lang w:val="bg-BG"/>
              </w:rPr>
              <w:t>Milestone/</w:t>
            </w:r>
          </w:p>
          <w:p w14:paraId="4AFA669A" w14:textId="77777777" w:rsidR="00CE3BAD" w:rsidRPr="00782BF9" w:rsidRDefault="006B5475">
            <w:pPr>
              <w:pStyle w:val="P68B1DB1-Normal9"/>
              <w:spacing w:after="0" w:line="240" w:lineRule="auto"/>
              <w:jc w:val="center"/>
              <w:rPr>
                <w:noProof/>
                <w:lang w:val="bg-BG"/>
              </w:rPr>
            </w:pPr>
            <w:r w:rsidRPr="00782BF9">
              <w:rPr>
                <w:noProof/>
                <w:lang w:val="bg-BG"/>
              </w:rPr>
              <w:t>Целеви</w:t>
            </w:r>
          </w:p>
        </w:tc>
        <w:tc>
          <w:tcPr>
            <w:tcW w:w="1701" w:type="dxa"/>
            <w:vMerge w:val="restar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33EF0B3" w14:textId="77777777" w:rsidR="00CE3BAD" w:rsidRPr="00782BF9" w:rsidRDefault="006B5475">
            <w:pPr>
              <w:pStyle w:val="P68B1DB1-Normal9"/>
              <w:spacing w:after="0" w:line="240" w:lineRule="auto"/>
              <w:jc w:val="center"/>
              <w:rPr>
                <w:noProof/>
                <w:lang w:val="bg-BG"/>
              </w:rPr>
            </w:pPr>
            <w:r w:rsidRPr="00782BF9">
              <w:rPr>
                <w:noProof/>
                <w:lang w:val="bg-BG"/>
              </w:rPr>
              <w:t>Име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A4B2D5" w14:textId="77777777" w:rsidR="00CE3BAD" w:rsidRPr="00782BF9" w:rsidRDefault="006B5475">
            <w:pPr>
              <w:pStyle w:val="P68B1DB1-Normal10"/>
              <w:spacing w:after="0" w:line="240" w:lineRule="auto"/>
              <w:jc w:val="center"/>
              <w:rPr>
                <w:b/>
                <w:noProof/>
                <w:lang w:val="bg-BG"/>
              </w:rPr>
            </w:pPr>
            <w:r w:rsidRPr="00782BF9">
              <w:rPr>
                <w:b/>
                <w:noProof/>
                <w:lang w:val="bg-BG"/>
              </w:rPr>
              <w:t>Качествени индикатори</w:t>
            </w:r>
            <w:r w:rsidRPr="00782BF9">
              <w:rPr>
                <w:noProof/>
                <w:lang w:val="bg-BG"/>
              </w:rPr>
              <w:t xml:space="preserve"> </w:t>
            </w:r>
            <w:r w:rsidRPr="00782BF9">
              <w:rPr>
                <w:noProof/>
                <w:lang w:val="bg-BG"/>
              </w:rPr>
              <w:br/>
            </w:r>
            <w:r w:rsidRPr="00782BF9">
              <w:rPr>
                <w:b/>
                <w:noProof/>
                <w:lang w:val="bg-BG"/>
              </w:rPr>
              <w:t>(за ключовите етапи)</w:t>
            </w:r>
          </w:p>
        </w:tc>
        <w:tc>
          <w:tcPr>
            <w:tcW w:w="2751" w:type="dxa"/>
            <w:gridSpan w:val="3"/>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696D6ADF" w14:textId="77777777" w:rsidR="00CE3BAD" w:rsidRPr="00782BF9" w:rsidRDefault="006B5475">
            <w:pPr>
              <w:pStyle w:val="P68B1DB1-Normal9"/>
              <w:spacing w:after="0" w:line="240" w:lineRule="auto"/>
              <w:jc w:val="center"/>
              <w:rPr>
                <w:noProof/>
                <w:lang w:val="bg-BG"/>
              </w:rPr>
            </w:pPr>
            <w:r w:rsidRPr="00782BF9">
              <w:rPr>
                <w:noProof/>
                <w:lang w:val="bg-BG"/>
              </w:rPr>
              <w:t>Количествени показатели (за целите)</w:t>
            </w:r>
          </w:p>
        </w:tc>
        <w:tc>
          <w:tcPr>
            <w:tcW w:w="1608" w:type="dxa"/>
            <w:gridSpan w:val="2"/>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25A9E785" w14:textId="2389DE05" w:rsidR="00CE3BAD" w:rsidRPr="00782BF9" w:rsidRDefault="006B5475">
            <w:pPr>
              <w:pStyle w:val="P68B1DB1-Normal9"/>
              <w:spacing w:after="0" w:line="240" w:lineRule="auto"/>
              <w:jc w:val="center"/>
              <w:rPr>
                <w:noProof/>
                <w:lang w:val="bg-BG"/>
              </w:rPr>
            </w:pPr>
            <w:r w:rsidRPr="00782BF9">
              <w:rPr>
                <w:noProof/>
                <w:lang w:val="bg-BG"/>
              </w:rPr>
              <w:t>Примерен график за приключване</w:t>
            </w:r>
          </w:p>
        </w:tc>
        <w:tc>
          <w:tcPr>
            <w:tcW w:w="376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223B27C" w14:textId="11946DA5" w:rsidR="00CE3BAD" w:rsidRPr="00782BF9" w:rsidRDefault="006B5475">
            <w:pPr>
              <w:pStyle w:val="P68B1DB1-Normal9"/>
              <w:spacing w:after="0" w:line="240" w:lineRule="auto"/>
              <w:jc w:val="center"/>
              <w:rPr>
                <w:noProof/>
                <w:lang w:val="bg-BG"/>
              </w:rPr>
            </w:pPr>
            <w:r w:rsidRPr="00782BF9">
              <w:rPr>
                <w:noProof/>
                <w:lang w:val="bg-BG"/>
              </w:rPr>
              <w:t>Описание на всеки ключов етап и цел</w:t>
            </w:r>
          </w:p>
        </w:tc>
      </w:tr>
      <w:tr w:rsidR="00CE3BAD" w:rsidRPr="00782BF9" w14:paraId="323C3975" w14:textId="77777777">
        <w:trPr>
          <w:trHeight w:val="557"/>
          <w:tblHeade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7F0644" w14:textId="77777777" w:rsidR="00CE3BAD" w:rsidRPr="00782BF9" w:rsidRDefault="00CE3BAD">
            <w:pPr>
              <w:spacing w:after="0" w:line="240" w:lineRule="auto"/>
              <w:jc w:val="center"/>
              <w:rPr>
                <w:rFonts w:eastAsia="Times New Roman" w:cstheme="minorHAnsi"/>
                <w:b/>
                <w:noProof/>
                <w:sz w:val="18"/>
                <w:lang w:val="bg-BG"/>
              </w:rPr>
            </w:pPr>
          </w:p>
        </w:tc>
        <w:tc>
          <w:tcPr>
            <w:tcW w:w="1598" w:type="dxa"/>
            <w:vMerge/>
            <w:tcBorders>
              <w:left w:val="single" w:sz="4" w:space="0" w:color="auto"/>
              <w:right w:val="single" w:sz="4" w:space="0" w:color="auto"/>
            </w:tcBorders>
            <w:vAlign w:val="center"/>
            <w:hideMark/>
          </w:tcPr>
          <w:p w14:paraId="31204090" w14:textId="77777777" w:rsidR="00CE3BAD" w:rsidRPr="00782BF9" w:rsidRDefault="00CE3BAD">
            <w:pPr>
              <w:spacing w:after="0" w:line="240" w:lineRule="auto"/>
              <w:jc w:val="center"/>
              <w:rPr>
                <w:rFonts w:eastAsia="Times New Roman" w:cstheme="minorHAnsi"/>
                <w:b/>
                <w:noProof/>
                <w:sz w:val="18"/>
                <w:lang w:val="bg-BG"/>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3D59907B" w14:textId="77777777" w:rsidR="00CE3BAD" w:rsidRPr="00782BF9" w:rsidRDefault="00CE3BAD">
            <w:pPr>
              <w:spacing w:after="0" w:line="240" w:lineRule="auto"/>
              <w:jc w:val="center"/>
              <w:rPr>
                <w:rFonts w:eastAsia="Times New Roman" w:cstheme="minorHAnsi"/>
                <w:b/>
                <w:noProof/>
                <w:sz w:val="18"/>
                <w:lang w:val="bg-BG"/>
              </w:rPr>
            </w:pPr>
          </w:p>
        </w:tc>
        <w:tc>
          <w:tcPr>
            <w:tcW w:w="1701" w:type="dxa"/>
            <w:vMerge/>
            <w:tcBorders>
              <w:left w:val="single" w:sz="4" w:space="0" w:color="auto"/>
              <w:right w:val="single" w:sz="4" w:space="0" w:color="auto"/>
            </w:tcBorders>
            <w:vAlign w:val="center"/>
            <w:hideMark/>
          </w:tcPr>
          <w:p w14:paraId="3008930E" w14:textId="77777777" w:rsidR="00CE3BAD" w:rsidRPr="00782BF9" w:rsidRDefault="00CE3BAD">
            <w:pPr>
              <w:spacing w:after="0" w:line="240" w:lineRule="auto"/>
              <w:jc w:val="center"/>
              <w:rPr>
                <w:rFonts w:eastAsia="Times New Roman" w:cstheme="minorHAnsi"/>
                <w:b/>
                <w:noProof/>
                <w:sz w:val="18"/>
                <w:lang w:val="bg-BG"/>
              </w:rPr>
            </w:pPr>
          </w:p>
        </w:tc>
        <w:tc>
          <w:tcPr>
            <w:tcW w:w="1417" w:type="dxa"/>
            <w:vMerge/>
            <w:tcBorders>
              <w:top w:val="single" w:sz="4" w:space="0" w:color="auto"/>
              <w:left w:val="single" w:sz="4" w:space="0" w:color="auto"/>
              <w:bottom w:val="single" w:sz="4" w:space="0" w:color="auto"/>
            </w:tcBorders>
            <w:vAlign w:val="center"/>
            <w:hideMark/>
          </w:tcPr>
          <w:p w14:paraId="53FE47CB" w14:textId="77777777" w:rsidR="00CE3BAD" w:rsidRPr="00782BF9" w:rsidRDefault="00CE3BAD">
            <w:pPr>
              <w:spacing w:after="0" w:line="240" w:lineRule="auto"/>
              <w:jc w:val="center"/>
              <w:rPr>
                <w:rFonts w:eastAsia="Times New Roman" w:cstheme="minorHAnsi"/>
                <w:b/>
                <w:noProof/>
                <w:sz w:val="18"/>
                <w:lang w:val="bg-BG"/>
              </w:rPr>
            </w:pPr>
          </w:p>
        </w:tc>
        <w:tc>
          <w:tcPr>
            <w:tcW w:w="103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150A11"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Единица мярка</w:t>
            </w:r>
          </w:p>
        </w:tc>
        <w:tc>
          <w:tcPr>
            <w:tcW w:w="10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B30076B" w14:textId="4E6BF0F3" w:rsidR="00CE3BAD" w:rsidRPr="00782BF9" w:rsidRDefault="006B5475">
            <w:pPr>
              <w:pStyle w:val="P68B1DB1-Normal9"/>
              <w:spacing w:after="0" w:line="240" w:lineRule="auto"/>
              <w:jc w:val="center"/>
              <w:rPr>
                <w:rFonts w:eastAsia="Times New Roman"/>
                <w:noProof/>
                <w:lang w:val="bg-BG"/>
              </w:rPr>
            </w:pPr>
            <w:r w:rsidRPr="00782BF9">
              <w:rPr>
                <w:noProof/>
                <w:lang w:val="bg-BG"/>
              </w:rPr>
              <w:t>Базова линия</w:t>
            </w:r>
          </w:p>
        </w:tc>
        <w:tc>
          <w:tcPr>
            <w:tcW w:w="7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995429"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Цел</w:t>
            </w:r>
          </w:p>
        </w:tc>
        <w:tc>
          <w:tcPr>
            <w:tcW w:w="8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13E7CE4"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Тримесечие</w:t>
            </w:r>
          </w:p>
        </w:tc>
        <w:tc>
          <w:tcPr>
            <w:tcW w:w="77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54A020E"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Година</w:t>
            </w:r>
          </w:p>
        </w:tc>
        <w:tc>
          <w:tcPr>
            <w:tcW w:w="3760" w:type="dxa"/>
            <w:vMerge/>
            <w:tcBorders>
              <w:top w:val="single" w:sz="4" w:space="0" w:color="auto"/>
              <w:bottom w:val="single" w:sz="4" w:space="0" w:color="auto"/>
              <w:right w:val="single" w:sz="4" w:space="0" w:color="auto"/>
            </w:tcBorders>
            <w:vAlign w:val="center"/>
            <w:hideMark/>
          </w:tcPr>
          <w:p w14:paraId="433DBB03" w14:textId="77777777" w:rsidR="00CE3BAD" w:rsidRPr="00782BF9" w:rsidRDefault="00CE3BAD">
            <w:pPr>
              <w:spacing w:after="0" w:line="240" w:lineRule="auto"/>
              <w:rPr>
                <w:rFonts w:eastAsia="Times New Roman" w:cstheme="minorHAnsi"/>
                <w:b/>
                <w:noProof/>
                <w:sz w:val="18"/>
                <w:lang w:val="bg-BG"/>
              </w:rPr>
            </w:pPr>
          </w:p>
        </w:tc>
      </w:tr>
      <w:tr w:rsidR="00CE3BAD" w:rsidRPr="00782BF9" w14:paraId="7FD9518C" w14:textId="77777777">
        <w:trPr>
          <w:trHeight w:val="3012"/>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4B750F66" w14:textId="3FE8800C" w:rsidR="00CE3BAD" w:rsidRPr="00782BF9" w:rsidRDefault="006B5475">
            <w:pPr>
              <w:pStyle w:val="P68B1DB1-Normal10"/>
              <w:spacing w:after="0" w:line="240" w:lineRule="auto"/>
              <w:rPr>
                <w:rFonts w:eastAsia="Calibri"/>
                <w:noProof/>
                <w:lang w:val="bg-BG"/>
              </w:rPr>
            </w:pPr>
            <w:r w:rsidRPr="00782BF9">
              <w:rPr>
                <w:noProof/>
                <w:lang w:val="bg-BG"/>
              </w:rPr>
              <w:t>80</w:t>
            </w:r>
          </w:p>
        </w:tc>
        <w:tc>
          <w:tcPr>
            <w:tcW w:w="1598" w:type="dxa"/>
            <w:tcBorders>
              <w:top w:val="single" w:sz="4" w:space="0" w:color="auto"/>
              <w:left w:val="nil"/>
              <w:bottom w:val="single" w:sz="4" w:space="0" w:color="auto"/>
              <w:right w:val="single" w:sz="4" w:space="0" w:color="auto"/>
            </w:tcBorders>
            <w:shd w:val="clear" w:color="auto" w:fill="C6EFCE"/>
            <w:vAlign w:val="center"/>
            <w:hideMark/>
          </w:tcPr>
          <w:p w14:paraId="64DCAA59" w14:textId="07978CE8" w:rsidR="00CE3BAD" w:rsidRPr="00782BF9" w:rsidRDefault="006B5475">
            <w:pPr>
              <w:pStyle w:val="P68B1DB1-Normal10"/>
              <w:spacing w:after="0" w:line="240" w:lineRule="auto"/>
              <w:rPr>
                <w:rFonts w:eastAsia="Calibri"/>
                <w:noProof/>
                <w:lang w:val="bg-BG"/>
              </w:rPr>
            </w:pPr>
            <w:r w:rsidRPr="00782BF9">
              <w:rPr>
                <w:noProof/>
                <w:lang w:val="bg-BG"/>
              </w:rPr>
              <w:t>C5.I1 Изграждане на капацитет на крайградската железопътна мрежа</w:t>
            </w:r>
          </w:p>
        </w:tc>
        <w:tc>
          <w:tcPr>
            <w:tcW w:w="1096" w:type="dxa"/>
            <w:tcBorders>
              <w:top w:val="single" w:sz="4" w:space="0" w:color="auto"/>
              <w:left w:val="nil"/>
              <w:bottom w:val="single" w:sz="4" w:space="0" w:color="auto"/>
              <w:right w:val="single" w:sz="4" w:space="0" w:color="auto"/>
            </w:tcBorders>
            <w:shd w:val="clear" w:color="auto" w:fill="C6EFCE"/>
            <w:noWrap/>
            <w:vAlign w:val="center"/>
            <w:hideMark/>
          </w:tcPr>
          <w:p w14:paraId="00800090" w14:textId="77777777"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701" w:type="dxa"/>
            <w:tcBorders>
              <w:top w:val="single" w:sz="4" w:space="0" w:color="auto"/>
              <w:left w:val="nil"/>
              <w:bottom w:val="single" w:sz="4" w:space="0" w:color="auto"/>
              <w:right w:val="single" w:sz="4" w:space="0" w:color="auto"/>
            </w:tcBorders>
            <w:shd w:val="clear" w:color="auto" w:fill="C6EFCE"/>
            <w:vAlign w:val="center"/>
            <w:hideMark/>
          </w:tcPr>
          <w:p w14:paraId="49A23AD3" w14:textId="77777777" w:rsidR="00CE3BAD" w:rsidRPr="00782BF9" w:rsidRDefault="006B5475">
            <w:pPr>
              <w:pStyle w:val="P68B1DB1-Normal10"/>
              <w:spacing w:after="0" w:line="240" w:lineRule="auto"/>
              <w:rPr>
                <w:rFonts w:eastAsia="Calibri"/>
                <w:noProof/>
                <w:lang w:val="bg-BG"/>
              </w:rPr>
            </w:pPr>
            <w:r w:rsidRPr="00782BF9">
              <w:rPr>
                <w:noProof/>
                <w:lang w:val="bg-BG"/>
              </w:rPr>
              <w:t>Подписване на договори за строителни работи за подновяване и разширяване на линии H5, H6 и H7</w:t>
            </w:r>
          </w:p>
        </w:tc>
        <w:tc>
          <w:tcPr>
            <w:tcW w:w="1417" w:type="dxa"/>
            <w:tcBorders>
              <w:top w:val="single" w:sz="4" w:space="0" w:color="auto"/>
              <w:left w:val="nil"/>
              <w:bottom w:val="single" w:sz="4" w:space="0" w:color="auto"/>
              <w:right w:val="single" w:sz="4" w:space="0" w:color="auto"/>
            </w:tcBorders>
            <w:shd w:val="clear" w:color="auto" w:fill="C6EFCE"/>
            <w:vAlign w:val="center"/>
            <w:hideMark/>
          </w:tcPr>
          <w:p w14:paraId="6FB7986D" w14:textId="77777777" w:rsidR="00CE3BAD" w:rsidRPr="00782BF9" w:rsidRDefault="006B5475">
            <w:pPr>
              <w:pStyle w:val="P68B1DB1-Normal10"/>
              <w:spacing w:after="0" w:line="240" w:lineRule="auto"/>
              <w:rPr>
                <w:rFonts w:eastAsia="Calibri"/>
                <w:noProof/>
                <w:lang w:val="bg-BG"/>
              </w:rPr>
            </w:pPr>
            <w:r w:rsidRPr="00782BF9">
              <w:rPr>
                <w:noProof/>
                <w:lang w:val="bg-BG"/>
              </w:rPr>
              <w:t>Подписване на договори</w:t>
            </w:r>
          </w:p>
        </w:tc>
        <w:tc>
          <w:tcPr>
            <w:tcW w:w="1031" w:type="dxa"/>
            <w:tcBorders>
              <w:top w:val="single" w:sz="4" w:space="0" w:color="auto"/>
              <w:left w:val="nil"/>
              <w:bottom w:val="single" w:sz="4" w:space="0" w:color="auto"/>
              <w:right w:val="single" w:sz="4" w:space="0" w:color="auto"/>
            </w:tcBorders>
            <w:shd w:val="clear" w:color="auto" w:fill="C6EFCE"/>
            <w:noWrap/>
            <w:vAlign w:val="center"/>
            <w:hideMark/>
          </w:tcPr>
          <w:p w14:paraId="715F88DA" w14:textId="5C055747" w:rsidR="00CE3BAD" w:rsidRPr="00782BF9" w:rsidRDefault="00CE3BAD">
            <w:pPr>
              <w:spacing w:after="0" w:line="240" w:lineRule="auto"/>
              <w:jc w:val="center"/>
              <w:rPr>
                <w:rFonts w:eastAsia="Calibri"/>
                <w:noProof/>
                <w:sz w:val="18"/>
                <w:lang w:val="bg-BG"/>
              </w:rPr>
            </w:pPr>
          </w:p>
        </w:tc>
        <w:tc>
          <w:tcPr>
            <w:tcW w:w="1011" w:type="dxa"/>
            <w:tcBorders>
              <w:top w:val="single" w:sz="4" w:space="0" w:color="auto"/>
              <w:left w:val="nil"/>
              <w:bottom w:val="single" w:sz="4" w:space="0" w:color="auto"/>
              <w:right w:val="single" w:sz="4" w:space="0" w:color="auto"/>
            </w:tcBorders>
            <w:shd w:val="clear" w:color="auto" w:fill="C6EFCE"/>
            <w:noWrap/>
            <w:vAlign w:val="center"/>
            <w:hideMark/>
          </w:tcPr>
          <w:p w14:paraId="79120BC0" w14:textId="53F22512" w:rsidR="00CE3BAD" w:rsidRPr="00782BF9" w:rsidRDefault="00CE3BAD">
            <w:pPr>
              <w:spacing w:after="0" w:line="240" w:lineRule="auto"/>
              <w:jc w:val="center"/>
              <w:rPr>
                <w:rFonts w:eastAsia="Calibri"/>
                <w:noProof/>
                <w:sz w:val="18"/>
                <w:lang w:val="bg-BG"/>
              </w:rPr>
            </w:pPr>
          </w:p>
        </w:tc>
        <w:tc>
          <w:tcPr>
            <w:tcW w:w="709" w:type="dxa"/>
            <w:tcBorders>
              <w:top w:val="single" w:sz="4" w:space="0" w:color="auto"/>
              <w:left w:val="nil"/>
              <w:bottom w:val="single" w:sz="4" w:space="0" w:color="auto"/>
              <w:right w:val="single" w:sz="4" w:space="0" w:color="auto"/>
            </w:tcBorders>
            <w:shd w:val="clear" w:color="auto" w:fill="C6EFCE"/>
            <w:noWrap/>
            <w:vAlign w:val="center"/>
            <w:hideMark/>
          </w:tcPr>
          <w:p w14:paraId="4459CEFE" w14:textId="0B84FB0F" w:rsidR="00CE3BAD" w:rsidRPr="00782BF9" w:rsidRDefault="00CE3BAD">
            <w:pPr>
              <w:spacing w:after="0" w:line="240" w:lineRule="auto"/>
              <w:jc w:val="center"/>
              <w:rPr>
                <w:rFonts w:eastAsia="Calibri"/>
                <w:noProof/>
                <w:sz w:val="18"/>
                <w:lang w:val="bg-BG"/>
              </w:rPr>
            </w:pPr>
          </w:p>
        </w:tc>
        <w:tc>
          <w:tcPr>
            <w:tcW w:w="832" w:type="dxa"/>
            <w:tcBorders>
              <w:top w:val="single" w:sz="4" w:space="0" w:color="auto"/>
              <w:left w:val="nil"/>
              <w:bottom w:val="single" w:sz="4" w:space="0" w:color="auto"/>
              <w:right w:val="single" w:sz="4" w:space="0" w:color="auto"/>
            </w:tcBorders>
            <w:shd w:val="clear" w:color="auto" w:fill="C6EFCE"/>
            <w:vAlign w:val="center"/>
            <w:hideMark/>
          </w:tcPr>
          <w:p w14:paraId="4466C50F"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Т3 Г.</w:t>
            </w:r>
          </w:p>
        </w:tc>
        <w:tc>
          <w:tcPr>
            <w:tcW w:w="776" w:type="dxa"/>
            <w:tcBorders>
              <w:top w:val="single" w:sz="4" w:space="0" w:color="auto"/>
              <w:left w:val="nil"/>
              <w:bottom w:val="single" w:sz="4" w:space="0" w:color="auto"/>
              <w:right w:val="single" w:sz="4" w:space="0" w:color="auto"/>
            </w:tcBorders>
            <w:shd w:val="clear" w:color="auto" w:fill="C6EFCE"/>
            <w:vAlign w:val="center"/>
            <w:hideMark/>
          </w:tcPr>
          <w:p w14:paraId="35A2A1AC" w14:textId="75011F71" w:rsidR="00CE3BAD" w:rsidRPr="00782BF9" w:rsidRDefault="006B5475">
            <w:pPr>
              <w:pStyle w:val="P68B1DB1-Normal10"/>
              <w:spacing w:after="0" w:line="240" w:lineRule="auto"/>
              <w:rPr>
                <w:rFonts w:eastAsia="Calibri"/>
                <w:noProof/>
                <w:lang w:val="bg-BG"/>
              </w:rPr>
            </w:pPr>
            <w:r w:rsidRPr="00782BF9">
              <w:rPr>
                <w:noProof/>
                <w:lang w:val="bg-BG"/>
              </w:rPr>
              <w:t>2024</w:t>
            </w:r>
          </w:p>
        </w:tc>
        <w:tc>
          <w:tcPr>
            <w:tcW w:w="3760" w:type="dxa"/>
            <w:tcBorders>
              <w:top w:val="single" w:sz="4" w:space="0" w:color="auto"/>
              <w:left w:val="nil"/>
              <w:bottom w:val="single" w:sz="4" w:space="0" w:color="auto"/>
              <w:right w:val="single" w:sz="4" w:space="0" w:color="auto"/>
            </w:tcBorders>
            <w:shd w:val="clear" w:color="auto" w:fill="C6EFCE"/>
            <w:vAlign w:val="center"/>
            <w:hideMark/>
          </w:tcPr>
          <w:p w14:paraId="3B21196E" w14:textId="5FB2FEF6" w:rsidR="00CE3BAD" w:rsidRPr="00782BF9" w:rsidRDefault="006B5475">
            <w:pPr>
              <w:pStyle w:val="P68B1DB1-Normal10"/>
              <w:spacing w:after="0" w:line="240" w:lineRule="auto"/>
              <w:rPr>
                <w:rFonts w:eastAsia="Calibri"/>
                <w:noProof/>
                <w:lang w:val="bg-BG"/>
              </w:rPr>
            </w:pPr>
            <w:r w:rsidRPr="00782BF9">
              <w:rPr>
                <w:noProof/>
                <w:lang w:val="bg-BG"/>
              </w:rPr>
              <w:t xml:space="preserve">Приключила открита процедура за възлагане на обществена поръчка за модернизация и разширяване на крайградски железопътни линии за следните крайградски електрифицирани железопътни участъци: </w:t>
            </w:r>
            <w:r w:rsidRPr="00782BF9">
              <w:rPr>
                <w:noProof/>
                <w:lang w:val="bg-BG"/>
              </w:rPr>
              <w:br/>
              <w:t xml:space="preserve">— Szentendre — Pomáz — Budakalász — Békásmegyer (H5); </w:t>
            </w:r>
            <w:r w:rsidRPr="00782BF9">
              <w:rPr>
                <w:noProof/>
                <w:lang w:val="bg-BG"/>
              </w:rPr>
              <w:br/>
              <w:t xml:space="preserve">— Ráckeve — Tököl — Szigetszentmiklós — Milleniumtelep (H6); </w:t>
            </w:r>
            <w:r w:rsidRPr="00782BF9">
              <w:rPr>
                <w:noProof/>
                <w:lang w:val="bg-BG"/>
              </w:rPr>
              <w:br/>
              <w:t xml:space="preserve">— Csepel — Kvtest Bridge (H7). </w:t>
            </w:r>
            <w:r w:rsidRPr="00782BF9">
              <w:rPr>
                <w:noProof/>
                <w:lang w:val="bg-BG"/>
              </w:rPr>
              <w:br/>
              <w:t>Подписаните договори включват обновяване на коловоза за общо 46 km (действието не включва участъка Batthyány tér-Békásmegyer с дължина 10 km), електрозахранването (тягова система за постоянен ток 1 V</w:t>
            </w:r>
            <w:r w:rsidRPr="00782BF9">
              <w:rPr>
                <w:noProof/>
                <w:color w:val="006100"/>
                <w:lang w:val="bg-BG"/>
              </w:rPr>
              <w:t xml:space="preserve"> </w:t>
            </w:r>
            <w:r w:rsidRPr="00782BF9">
              <w:rPr>
                <w:noProof/>
                <w:lang w:val="bg-BG"/>
              </w:rPr>
              <w:t>500 V), възстановяването на спирачните точки и кръстовините.</w:t>
            </w:r>
          </w:p>
        </w:tc>
      </w:tr>
      <w:tr w:rsidR="00CE3BAD" w:rsidRPr="00782BF9" w14:paraId="5639546D" w14:textId="77777777">
        <w:trPr>
          <w:trHeight w:val="93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hideMark/>
          </w:tcPr>
          <w:p w14:paraId="4F1A57BA" w14:textId="2F43C38D" w:rsidR="00CE3BAD" w:rsidRPr="00782BF9" w:rsidRDefault="006B5475">
            <w:pPr>
              <w:pStyle w:val="P68B1DB1-Normal10"/>
              <w:spacing w:after="0" w:line="240" w:lineRule="auto"/>
              <w:rPr>
                <w:rFonts w:eastAsia="Calibri"/>
                <w:noProof/>
                <w:lang w:val="bg-BG"/>
              </w:rPr>
            </w:pPr>
            <w:r w:rsidRPr="00782BF9">
              <w:rPr>
                <w:noProof/>
                <w:lang w:val="bg-BG"/>
              </w:rPr>
              <w:t>81</w:t>
            </w:r>
          </w:p>
        </w:tc>
        <w:tc>
          <w:tcPr>
            <w:tcW w:w="1598" w:type="dxa"/>
            <w:tcBorders>
              <w:top w:val="nil"/>
              <w:left w:val="nil"/>
              <w:bottom w:val="single" w:sz="4" w:space="0" w:color="auto"/>
              <w:right w:val="single" w:sz="4" w:space="0" w:color="auto"/>
            </w:tcBorders>
            <w:shd w:val="clear" w:color="auto" w:fill="C6EFCE"/>
            <w:vAlign w:val="center"/>
            <w:hideMark/>
          </w:tcPr>
          <w:p w14:paraId="40A45BC1" w14:textId="2628486D" w:rsidR="00CE3BAD" w:rsidRPr="00782BF9" w:rsidRDefault="006B5475">
            <w:pPr>
              <w:pStyle w:val="P68B1DB1-Normal10"/>
              <w:spacing w:after="0" w:line="240" w:lineRule="auto"/>
              <w:rPr>
                <w:rFonts w:eastAsia="Calibri"/>
                <w:noProof/>
                <w:lang w:val="bg-BG"/>
              </w:rPr>
            </w:pPr>
            <w:r w:rsidRPr="00782BF9">
              <w:rPr>
                <w:noProof/>
                <w:lang w:val="bg-BG"/>
              </w:rPr>
              <w:t>C5.I1 Изграждане на капацитет на крайградската железопътна мрежа</w:t>
            </w:r>
          </w:p>
        </w:tc>
        <w:tc>
          <w:tcPr>
            <w:tcW w:w="1096" w:type="dxa"/>
            <w:tcBorders>
              <w:top w:val="nil"/>
              <w:left w:val="nil"/>
              <w:bottom w:val="single" w:sz="4" w:space="0" w:color="auto"/>
              <w:right w:val="single" w:sz="4" w:space="0" w:color="auto"/>
            </w:tcBorders>
            <w:shd w:val="clear" w:color="auto" w:fill="C6EFCE"/>
            <w:noWrap/>
            <w:vAlign w:val="center"/>
            <w:hideMark/>
          </w:tcPr>
          <w:p w14:paraId="7C60C524" w14:textId="77777777"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701" w:type="dxa"/>
            <w:tcBorders>
              <w:top w:val="nil"/>
              <w:left w:val="nil"/>
              <w:bottom w:val="single" w:sz="4" w:space="0" w:color="auto"/>
              <w:right w:val="single" w:sz="4" w:space="0" w:color="auto"/>
            </w:tcBorders>
            <w:shd w:val="clear" w:color="auto" w:fill="C6EFCE"/>
            <w:vAlign w:val="center"/>
            <w:hideMark/>
          </w:tcPr>
          <w:p w14:paraId="2777E19A" w14:textId="13A72207" w:rsidR="00CE3BAD" w:rsidRPr="00782BF9" w:rsidRDefault="006B5475">
            <w:pPr>
              <w:pStyle w:val="P68B1DB1-Normal10"/>
              <w:spacing w:after="0" w:line="240" w:lineRule="auto"/>
              <w:rPr>
                <w:rFonts w:eastAsia="Calibri"/>
                <w:noProof/>
                <w:lang w:val="bg-BG"/>
              </w:rPr>
            </w:pPr>
            <w:r w:rsidRPr="00782BF9">
              <w:rPr>
                <w:noProof/>
                <w:lang w:val="bg-BG"/>
              </w:rPr>
              <w:t>50</w:t>
            </w:r>
            <w:r w:rsidRPr="00782BF9">
              <w:rPr>
                <w:noProof/>
                <w:color w:val="006100"/>
                <w:lang w:val="bg-BG"/>
              </w:rPr>
              <w:t xml:space="preserve"> </w:t>
            </w:r>
            <w:r w:rsidRPr="00782BF9">
              <w:rPr>
                <w:noProof/>
                <w:lang w:val="bg-BG"/>
              </w:rPr>
              <w:t>% физическа готовност за разширяване на крайградската железопътна мрежа</w:t>
            </w:r>
          </w:p>
        </w:tc>
        <w:tc>
          <w:tcPr>
            <w:tcW w:w="1417" w:type="dxa"/>
            <w:tcBorders>
              <w:top w:val="nil"/>
              <w:left w:val="nil"/>
              <w:bottom w:val="single" w:sz="4" w:space="0" w:color="auto"/>
              <w:right w:val="single" w:sz="4" w:space="0" w:color="auto"/>
            </w:tcBorders>
            <w:shd w:val="clear" w:color="auto" w:fill="C6EFCE"/>
            <w:vAlign w:val="center"/>
            <w:hideMark/>
          </w:tcPr>
          <w:p w14:paraId="3D169D99" w14:textId="428D8444" w:rsidR="00CE3BAD" w:rsidRPr="00782BF9" w:rsidRDefault="006B5475">
            <w:pPr>
              <w:pStyle w:val="P68B1DB1-Normal10"/>
              <w:spacing w:after="0" w:line="240" w:lineRule="auto"/>
              <w:rPr>
                <w:rFonts w:eastAsia="Calibri"/>
                <w:noProof/>
                <w:lang w:val="bg-BG"/>
              </w:rPr>
            </w:pPr>
            <w:r w:rsidRPr="00782BF9">
              <w:rPr>
                <w:noProof/>
                <w:lang w:val="bg-BG"/>
              </w:rPr>
              <w:t>Докладът на инженера е потвърден за 50</w:t>
            </w:r>
            <w:r w:rsidRPr="00782BF9">
              <w:rPr>
                <w:noProof/>
                <w:color w:val="006100"/>
                <w:lang w:val="bg-BG"/>
              </w:rPr>
              <w:t xml:space="preserve"> </w:t>
            </w:r>
            <w:r w:rsidRPr="00782BF9">
              <w:rPr>
                <w:noProof/>
                <w:lang w:val="bg-BG"/>
              </w:rPr>
              <w:t>% физическа готовност</w:t>
            </w:r>
          </w:p>
        </w:tc>
        <w:tc>
          <w:tcPr>
            <w:tcW w:w="1031" w:type="dxa"/>
            <w:tcBorders>
              <w:top w:val="nil"/>
              <w:left w:val="nil"/>
              <w:bottom w:val="single" w:sz="4" w:space="0" w:color="auto"/>
              <w:right w:val="single" w:sz="4" w:space="0" w:color="auto"/>
            </w:tcBorders>
            <w:shd w:val="clear" w:color="auto" w:fill="C6EFCE"/>
            <w:noWrap/>
            <w:vAlign w:val="center"/>
            <w:hideMark/>
          </w:tcPr>
          <w:p w14:paraId="27A8C974" w14:textId="726F4035" w:rsidR="00CE3BAD" w:rsidRPr="00782BF9" w:rsidRDefault="00CE3BAD">
            <w:pPr>
              <w:spacing w:after="0" w:line="240" w:lineRule="auto"/>
              <w:jc w:val="center"/>
              <w:rPr>
                <w:rFonts w:eastAsia="Calibri"/>
                <w:noProof/>
                <w:sz w:val="18"/>
                <w:lang w:val="bg-BG"/>
              </w:rPr>
            </w:pPr>
          </w:p>
        </w:tc>
        <w:tc>
          <w:tcPr>
            <w:tcW w:w="1011" w:type="dxa"/>
            <w:tcBorders>
              <w:top w:val="nil"/>
              <w:left w:val="nil"/>
              <w:bottom w:val="single" w:sz="4" w:space="0" w:color="auto"/>
              <w:right w:val="single" w:sz="4" w:space="0" w:color="auto"/>
            </w:tcBorders>
            <w:shd w:val="clear" w:color="auto" w:fill="C6EFCE"/>
            <w:noWrap/>
            <w:vAlign w:val="center"/>
            <w:hideMark/>
          </w:tcPr>
          <w:p w14:paraId="11453CF0" w14:textId="30FF1D74"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hideMark/>
          </w:tcPr>
          <w:p w14:paraId="283F75D7" w14:textId="4619A9B5" w:rsidR="00CE3BAD" w:rsidRPr="00782BF9" w:rsidRDefault="00CE3BAD">
            <w:pPr>
              <w:spacing w:after="0" w:line="240" w:lineRule="auto"/>
              <w:jc w:val="center"/>
              <w:rPr>
                <w:rFonts w:eastAsia="Calibri"/>
                <w:noProof/>
                <w:sz w:val="18"/>
                <w:lang w:val="bg-BG"/>
              </w:rPr>
            </w:pPr>
          </w:p>
        </w:tc>
        <w:tc>
          <w:tcPr>
            <w:tcW w:w="832" w:type="dxa"/>
            <w:tcBorders>
              <w:top w:val="nil"/>
              <w:left w:val="nil"/>
              <w:bottom w:val="single" w:sz="4" w:space="0" w:color="auto"/>
              <w:right w:val="single" w:sz="4" w:space="0" w:color="auto"/>
            </w:tcBorders>
            <w:shd w:val="clear" w:color="auto" w:fill="C6EFCE"/>
            <w:vAlign w:val="center"/>
            <w:hideMark/>
          </w:tcPr>
          <w:p w14:paraId="25988ADB" w14:textId="64D49EDE" w:rsidR="00CE3BAD" w:rsidRPr="00782BF9" w:rsidRDefault="006B5475">
            <w:pPr>
              <w:pStyle w:val="P68B1DB1-Normal10"/>
              <w:spacing w:after="0" w:line="240" w:lineRule="auto"/>
              <w:jc w:val="center"/>
              <w:rPr>
                <w:rFonts w:eastAsia="Calibri"/>
                <w:noProof/>
                <w:lang w:val="bg-BG"/>
              </w:rPr>
            </w:pPr>
            <w:r w:rsidRPr="00782BF9">
              <w:rPr>
                <w:noProof/>
                <w:lang w:val="bg-BG"/>
              </w:rPr>
              <w:t>Т4 Г.</w:t>
            </w:r>
          </w:p>
        </w:tc>
        <w:tc>
          <w:tcPr>
            <w:tcW w:w="776" w:type="dxa"/>
            <w:tcBorders>
              <w:top w:val="nil"/>
              <w:left w:val="nil"/>
              <w:bottom w:val="single" w:sz="4" w:space="0" w:color="auto"/>
              <w:right w:val="single" w:sz="4" w:space="0" w:color="auto"/>
            </w:tcBorders>
            <w:shd w:val="clear" w:color="auto" w:fill="C6EFCE"/>
            <w:vAlign w:val="center"/>
            <w:hideMark/>
          </w:tcPr>
          <w:p w14:paraId="6813AD8D" w14:textId="77777777" w:rsidR="00CE3BAD" w:rsidRPr="00782BF9" w:rsidRDefault="006B5475">
            <w:pPr>
              <w:pStyle w:val="P68B1DB1-Normal10"/>
              <w:spacing w:after="0" w:line="240" w:lineRule="auto"/>
              <w:rPr>
                <w:rFonts w:eastAsia="Calibri"/>
                <w:noProof/>
                <w:lang w:val="bg-BG"/>
              </w:rPr>
            </w:pPr>
            <w:r w:rsidRPr="00782BF9">
              <w:rPr>
                <w:noProof/>
                <w:lang w:val="bg-BG"/>
              </w:rPr>
              <w:t>2025</w:t>
            </w:r>
          </w:p>
        </w:tc>
        <w:tc>
          <w:tcPr>
            <w:tcW w:w="3760" w:type="dxa"/>
            <w:tcBorders>
              <w:top w:val="nil"/>
              <w:left w:val="nil"/>
              <w:bottom w:val="single" w:sz="4" w:space="0" w:color="auto"/>
              <w:right w:val="single" w:sz="4" w:space="0" w:color="auto"/>
            </w:tcBorders>
            <w:shd w:val="clear" w:color="auto" w:fill="C6EFCE"/>
            <w:vAlign w:val="center"/>
            <w:hideMark/>
          </w:tcPr>
          <w:p w14:paraId="55F5EAB0" w14:textId="4BDF8C6E" w:rsidR="00CE3BAD" w:rsidRPr="00782BF9" w:rsidRDefault="006B5475">
            <w:pPr>
              <w:pStyle w:val="P68B1DB1-Normal10"/>
              <w:spacing w:after="0" w:line="240" w:lineRule="auto"/>
              <w:rPr>
                <w:rFonts w:eastAsia="Calibri"/>
                <w:noProof/>
                <w:lang w:val="bg-BG"/>
              </w:rPr>
            </w:pPr>
            <w:r w:rsidRPr="00782BF9">
              <w:rPr>
                <w:noProof/>
                <w:lang w:val="bg-BG"/>
              </w:rPr>
              <w:t xml:space="preserve">Доклад на независимия инженер, показващ техническия прогрес и приключването на договорите за строителни работи, подписани за: изграждане и обновяване на железопътни линии, гари и спирки. </w:t>
            </w:r>
          </w:p>
        </w:tc>
      </w:tr>
      <w:tr w:rsidR="00CE3BAD" w:rsidRPr="00782BF9" w14:paraId="4F02821F" w14:textId="77777777">
        <w:trPr>
          <w:trHeight w:val="248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hideMark/>
          </w:tcPr>
          <w:p w14:paraId="7068C86A" w14:textId="52D978D8" w:rsidR="00CE3BAD" w:rsidRPr="00782BF9" w:rsidRDefault="006B5475">
            <w:pPr>
              <w:pStyle w:val="P68B1DB1-Normal10"/>
              <w:spacing w:after="0" w:line="240" w:lineRule="auto"/>
              <w:rPr>
                <w:rFonts w:eastAsia="Calibri"/>
                <w:noProof/>
                <w:lang w:val="bg-BG"/>
              </w:rPr>
            </w:pPr>
            <w:r w:rsidRPr="00782BF9">
              <w:rPr>
                <w:noProof/>
                <w:lang w:val="bg-BG"/>
              </w:rPr>
              <w:t>82</w:t>
            </w:r>
          </w:p>
        </w:tc>
        <w:tc>
          <w:tcPr>
            <w:tcW w:w="1598" w:type="dxa"/>
            <w:tcBorders>
              <w:top w:val="nil"/>
              <w:left w:val="nil"/>
              <w:bottom w:val="single" w:sz="4" w:space="0" w:color="auto"/>
              <w:right w:val="single" w:sz="4" w:space="0" w:color="auto"/>
            </w:tcBorders>
            <w:shd w:val="clear" w:color="auto" w:fill="C6EFCE"/>
            <w:vAlign w:val="center"/>
            <w:hideMark/>
          </w:tcPr>
          <w:p w14:paraId="7EDD7D25" w14:textId="78A3F4BE" w:rsidR="00CE3BAD" w:rsidRPr="00782BF9" w:rsidRDefault="006B5475">
            <w:pPr>
              <w:pStyle w:val="P68B1DB1-Normal10"/>
              <w:spacing w:after="0" w:line="240" w:lineRule="auto"/>
              <w:rPr>
                <w:rFonts w:eastAsia="Calibri"/>
                <w:noProof/>
                <w:lang w:val="bg-BG"/>
              </w:rPr>
            </w:pPr>
            <w:r w:rsidRPr="00782BF9">
              <w:rPr>
                <w:noProof/>
                <w:lang w:val="bg-BG"/>
              </w:rPr>
              <w:t>C5.I1 Изграждане на капацитет на крайградската железопътна мрежа</w:t>
            </w:r>
          </w:p>
        </w:tc>
        <w:tc>
          <w:tcPr>
            <w:tcW w:w="1096" w:type="dxa"/>
            <w:tcBorders>
              <w:top w:val="nil"/>
              <w:left w:val="nil"/>
              <w:bottom w:val="single" w:sz="4" w:space="0" w:color="auto"/>
              <w:right w:val="single" w:sz="4" w:space="0" w:color="auto"/>
            </w:tcBorders>
            <w:shd w:val="clear" w:color="auto" w:fill="C6EFCE"/>
            <w:noWrap/>
            <w:vAlign w:val="center"/>
            <w:hideMark/>
          </w:tcPr>
          <w:p w14:paraId="1216F15A"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hideMark/>
          </w:tcPr>
          <w:p w14:paraId="1535B562" w14:textId="77777777" w:rsidR="00CE3BAD" w:rsidRPr="00782BF9" w:rsidRDefault="006B5475">
            <w:pPr>
              <w:pStyle w:val="P68B1DB1-Normal10"/>
              <w:spacing w:after="0" w:line="240" w:lineRule="auto"/>
              <w:rPr>
                <w:rFonts w:eastAsia="Calibri"/>
                <w:noProof/>
                <w:lang w:val="bg-BG"/>
              </w:rPr>
            </w:pPr>
            <w:r w:rsidRPr="00782BF9">
              <w:rPr>
                <w:noProof/>
                <w:lang w:val="bg-BG"/>
              </w:rPr>
              <w:t>Обновяване на железопътни линии извън TEN-T (H5, H6 и H7)</w:t>
            </w:r>
          </w:p>
        </w:tc>
        <w:tc>
          <w:tcPr>
            <w:tcW w:w="1417" w:type="dxa"/>
            <w:tcBorders>
              <w:top w:val="nil"/>
              <w:left w:val="nil"/>
              <w:bottom w:val="single" w:sz="4" w:space="0" w:color="auto"/>
              <w:right w:val="single" w:sz="4" w:space="0" w:color="auto"/>
            </w:tcBorders>
            <w:shd w:val="clear" w:color="auto" w:fill="C6EFCE"/>
            <w:vAlign w:val="center"/>
            <w:hideMark/>
          </w:tcPr>
          <w:p w14:paraId="487C201B"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 </w:t>
            </w:r>
          </w:p>
        </w:tc>
        <w:tc>
          <w:tcPr>
            <w:tcW w:w="1031" w:type="dxa"/>
            <w:tcBorders>
              <w:top w:val="nil"/>
              <w:left w:val="nil"/>
              <w:bottom w:val="single" w:sz="4" w:space="0" w:color="auto"/>
              <w:right w:val="single" w:sz="4" w:space="0" w:color="auto"/>
            </w:tcBorders>
            <w:shd w:val="clear" w:color="auto" w:fill="C6EFCE"/>
            <w:noWrap/>
            <w:vAlign w:val="center"/>
            <w:hideMark/>
          </w:tcPr>
          <w:p w14:paraId="5CE88BCA" w14:textId="77777777" w:rsidR="00CE3BAD" w:rsidRPr="00782BF9" w:rsidRDefault="006B5475">
            <w:pPr>
              <w:pStyle w:val="P68B1DB1-Normal10"/>
              <w:spacing w:after="0" w:line="240" w:lineRule="auto"/>
              <w:rPr>
                <w:rFonts w:eastAsia="Calibri"/>
                <w:noProof/>
                <w:lang w:val="bg-BG"/>
              </w:rPr>
            </w:pPr>
            <w:r w:rsidRPr="00782BF9">
              <w:rPr>
                <w:noProof/>
                <w:lang w:val="bg-BG"/>
              </w:rPr>
              <w:t>километър</w:t>
            </w:r>
          </w:p>
        </w:tc>
        <w:tc>
          <w:tcPr>
            <w:tcW w:w="1011" w:type="dxa"/>
            <w:tcBorders>
              <w:top w:val="nil"/>
              <w:left w:val="nil"/>
              <w:bottom w:val="single" w:sz="4" w:space="0" w:color="auto"/>
              <w:right w:val="single" w:sz="4" w:space="0" w:color="auto"/>
            </w:tcBorders>
            <w:shd w:val="clear" w:color="auto" w:fill="C6EFCE"/>
            <w:noWrap/>
            <w:vAlign w:val="center"/>
            <w:hideMark/>
          </w:tcPr>
          <w:p w14:paraId="6047B85F" w14:textId="44F122B2"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hideMark/>
          </w:tcPr>
          <w:p w14:paraId="3A78F53F" w14:textId="5A1B335F" w:rsidR="00CE3BAD" w:rsidRPr="00782BF9" w:rsidRDefault="006B5475">
            <w:pPr>
              <w:pStyle w:val="P68B1DB1-Normal10"/>
              <w:spacing w:after="0" w:line="240" w:lineRule="auto"/>
              <w:jc w:val="center"/>
              <w:rPr>
                <w:rFonts w:eastAsia="Calibri"/>
                <w:noProof/>
                <w:lang w:val="bg-BG"/>
              </w:rPr>
            </w:pPr>
            <w:r w:rsidRPr="00782BF9">
              <w:rPr>
                <w:noProof/>
                <w:lang w:val="bg-BG"/>
              </w:rPr>
              <w:t>46</w:t>
            </w:r>
          </w:p>
        </w:tc>
        <w:tc>
          <w:tcPr>
            <w:tcW w:w="832" w:type="dxa"/>
            <w:tcBorders>
              <w:top w:val="nil"/>
              <w:left w:val="nil"/>
              <w:bottom w:val="single" w:sz="4" w:space="0" w:color="auto"/>
              <w:right w:val="single" w:sz="4" w:space="0" w:color="auto"/>
            </w:tcBorders>
            <w:shd w:val="clear" w:color="auto" w:fill="C6EFCE"/>
            <w:vAlign w:val="center"/>
            <w:hideMark/>
          </w:tcPr>
          <w:p w14:paraId="4D653878"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hideMark/>
          </w:tcPr>
          <w:p w14:paraId="3F34317B" w14:textId="77777777" w:rsidR="00CE3BAD" w:rsidRPr="00782BF9" w:rsidRDefault="006B5475">
            <w:pPr>
              <w:pStyle w:val="P68B1DB1-Normal10"/>
              <w:spacing w:after="0" w:line="240" w:lineRule="auto"/>
              <w:rPr>
                <w:rFonts w:eastAsia="Calibri"/>
                <w:noProof/>
                <w:lang w:val="bg-BG"/>
              </w:rPr>
            </w:pPr>
            <w:r w:rsidRPr="00782BF9">
              <w:rPr>
                <w:noProof/>
                <w:lang w:val="bg-BG"/>
              </w:rPr>
              <w:t>2026</w:t>
            </w:r>
          </w:p>
        </w:tc>
        <w:tc>
          <w:tcPr>
            <w:tcW w:w="3760" w:type="dxa"/>
            <w:tcBorders>
              <w:top w:val="nil"/>
              <w:left w:val="nil"/>
              <w:bottom w:val="single" w:sz="4" w:space="0" w:color="auto"/>
              <w:right w:val="single" w:sz="4" w:space="0" w:color="auto"/>
            </w:tcBorders>
            <w:shd w:val="clear" w:color="auto" w:fill="C6EFCE"/>
            <w:vAlign w:val="center"/>
            <w:hideMark/>
          </w:tcPr>
          <w:p w14:paraId="505B0603" w14:textId="59994579" w:rsidR="00CE3BAD" w:rsidRPr="00782BF9" w:rsidRDefault="006B5475">
            <w:pPr>
              <w:pStyle w:val="P68B1DB1-Normal10"/>
              <w:spacing w:after="0" w:line="240" w:lineRule="auto"/>
              <w:rPr>
                <w:rFonts w:eastAsia="Calibri"/>
                <w:noProof/>
                <w:lang w:val="bg-BG"/>
              </w:rPr>
            </w:pPr>
            <w:r w:rsidRPr="00782BF9">
              <w:rPr>
                <w:noProof/>
                <w:lang w:val="bg-BG"/>
              </w:rPr>
              <w:t xml:space="preserve">Модернизирана железопътна линия км по планираните участъци в съответствие с техническите спецификации, посочени в обявлението за обществена поръчка. </w:t>
            </w:r>
            <w:r w:rsidRPr="00782BF9">
              <w:rPr>
                <w:noProof/>
                <w:lang w:val="bg-BG"/>
              </w:rPr>
              <w:br/>
              <w:t>С инвестицията напълно модернизирана крайградска високоскоростна железопътна инфраструктура с подмяна на тягова система за постоянен ток с напрежение 1 V</w:t>
            </w:r>
            <w:r w:rsidRPr="00782BF9">
              <w:rPr>
                <w:noProof/>
                <w:color w:val="006100"/>
                <w:lang w:val="bg-BG"/>
              </w:rPr>
              <w:t xml:space="preserve"> </w:t>
            </w:r>
            <w:r w:rsidRPr="00782BF9">
              <w:rPr>
                <w:noProof/>
                <w:lang w:val="bg-BG"/>
              </w:rPr>
              <w:t>500 V, с което се премахват ограниченията на скоростта.</w:t>
            </w:r>
          </w:p>
        </w:tc>
      </w:tr>
      <w:tr w:rsidR="00CE3BAD" w:rsidRPr="00782BF9" w14:paraId="13E16C94" w14:textId="77777777">
        <w:trPr>
          <w:trHeight w:val="1195"/>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hideMark/>
          </w:tcPr>
          <w:p w14:paraId="2E46C1B8" w14:textId="007B4555" w:rsidR="00CE3BAD" w:rsidRPr="00782BF9" w:rsidRDefault="006B5475">
            <w:pPr>
              <w:pStyle w:val="P68B1DB1-Normal10"/>
              <w:spacing w:after="0" w:line="240" w:lineRule="auto"/>
              <w:rPr>
                <w:rFonts w:eastAsia="Calibri"/>
                <w:noProof/>
                <w:lang w:val="bg-BG"/>
              </w:rPr>
            </w:pPr>
            <w:r w:rsidRPr="00782BF9">
              <w:rPr>
                <w:noProof/>
                <w:lang w:val="bg-BG"/>
              </w:rPr>
              <w:t>83</w:t>
            </w:r>
          </w:p>
        </w:tc>
        <w:tc>
          <w:tcPr>
            <w:tcW w:w="1598" w:type="dxa"/>
            <w:tcBorders>
              <w:top w:val="single" w:sz="4" w:space="0" w:color="auto"/>
              <w:left w:val="nil"/>
              <w:bottom w:val="single" w:sz="4" w:space="0" w:color="auto"/>
              <w:right w:val="single" w:sz="4" w:space="0" w:color="auto"/>
            </w:tcBorders>
            <w:shd w:val="clear" w:color="auto" w:fill="C6EFCE"/>
            <w:vAlign w:val="center"/>
            <w:hideMark/>
          </w:tcPr>
          <w:p w14:paraId="6B827D3E" w14:textId="5C12836E" w:rsidR="00CE3BAD" w:rsidRPr="00782BF9" w:rsidRDefault="006B5475">
            <w:pPr>
              <w:pStyle w:val="P68B1DB1-Normal10"/>
              <w:spacing w:after="0" w:line="240" w:lineRule="auto"/>
              <w:rPr>
                <w:rFonts w:eastAsia="Calibri"/>
                <w:noProof/>
                <w:lang w:val="bg-BG"/>
              </w:rPr>
            </w:pPr>
            <w:r w:rsidRPr="00782BF9">
              <w:rPr>
                <w:noProof/>
                <w:lang w:val="bg-BG"/>
              </w:rPr>
              <w:t>C5.I1 Изграждане на капацитет на крайградската железопътна мрежа</w:t>
            </w:r>
          </w:p>
        </w:tc>
        <w:tc>
          <w:tcPr>
            <w:tcW w:w="1096" w:type="dxa"/>
            <w:tcBorders>
              <w:top w:val="nil"/>
              <w:left w:val="nil"/>
              <w:bottom w:val="single" w:sz="4" w:space="0" w:color="auto"/>
              <w:right w:val="single" w:sz="4" w:space="0" w:color="auto"/>
            </w:tcBorders>
            <w:shd w:val="clear" w:color="auto" w:fill="C6EFCE"/>
            <w:noWrap/>
            <w:vAlign w:val="center"/>
            <w:hideMark/>
          </w:tcPr>
          <w:p w14:paraId="080BA5B8"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single" w:sz="4" w:space="0" w:color="auto"/>
              <w:left w:val="nil"/>
              <w:bottom w:val="single" w:sz="4" w:space="0" w:color="auto"/>
              <w:right w:val="single" w:sz="4" w:space="0" w:color="auto"/>
            </w:tcBorders>
            <w:shd w:val="clear" w:color="auto" w:fill="C6EFCE"/>
            <w:vAlign w:val="center"/>
            <w:hideMark/>
          </w:tcPr>
          <w:p w14:paraId="41E1306D" w14:textId="77777777" w:rsidR="00CE3BAD" w:rsidRPr="00782BF9" w:rsidRDefault="006B5475">
            <w:pPr>
              <w:pStyle w:val="P68B1DB1-Normal10"/>
              <w:spacing w:after="0" w:line="240" w:lineRule="auto"/>
              <w:rPr>
                <w:rFonts w:eastAsia="Calibri"/>
                <w:noProof/>
                <w:lang w:val="bg-BG"/>
              </w:rPr>
            </w:pPr>
            <w:r w:rsidRPr="00782BF9">
              <w:rPr>
                <w:noProof/>
                <w:lang w:val="bg-BG"/>
              </w:rPr>
              <w:t>Обновяване на железопътни гари и спирки</w:t>
            </w:r>
          </w:p>
        </w:tc>
        <w:tc>
          <w:tcPr>
            <w:tcW w:w="1417" w:type="dxa"/>
            <w:tcBorders>
              <w:top w:val="nil"/>
              <w:left w:val="nil"/>
              <w:bottom w:val="single" w:sz="4" w:space="0" w:color="auto"/>
              <w:right w:val="single" w:sz="4" w:space="0" w:color="auto"/>
            </w:tcBorders>
            <w:shd w:val="clear" w:color="auto" w:fill="C6EFCE"/>
            <w:vAlign w:val="center"/>
            <w:hideMark/>
          </w:tcPr>
          <w:p w14:paraId="770BA25B"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 </w:t>
            </w:r>
          </w:p>
        </w:tc>
        <w:tc>
          <w:tcPr>
            <w:tcW w:w="1031" w:type="dxa"/>
            <w:tcBorders>
              <w:top w:val="nil"/>
              <w:left w:val="nil"/>
              <w:bottom w:val="single" w:sz="4" w:space="0" w:color="auto"/>
              <w:right w:val="single" w:sz="4" w:space="0" w:color="auto"/>
            </w:tcBorders>
            <w:shd w:val="clear" w:color="auto" w:fill="C6EFCE"/>
            <w:noWrap/>
            <w:vAlign w:val="center"/>
            <w:hideMark/>
          </w:tcPr>
          <w:p w14:paraId="14607852" w14:textId="77777777" w:rsidR="00CE3BAD" w:rsidRPr="00782BF9" w:rsidRDefault="006B5475">
            <w:pPr>
              <w:pStyle w:val="P68B1DB1-Normal10"/>
              <w:spacing w:after="0" w:line="240" w:lineRule="auto"/>
              <w:rPr>
                <w:rFonts w:eastAsia="Calibri"/>
                <w:noProof/>
                <w:lang w:val="bg-BG"/>
              </w:rPr>
            </w:pPr>
            <w:r w:rsidRPr="00782BF9">
              <w:rPr>
                <w:noProof/>
                <w:lang w:val="bg-BG"/>
              </w:rPr>
              <w:t>Брой</w:t>
            </w:r>
          </w:p>
        </w:tc>
        <w:tc>
          <w:tcPr>
            <w:tcW w:w="1011" w:type="dxa"/>
            <w:tcBorders>
              <w:top w:val="nil"/>
              <w:left w:val="nil"/>
              <w:bottom w:val="single" w:sz="4" w:space="0" w:color="auto"/>
              <w:right w:val="single" w:sz="4" w:space="0" w:color="auto"/>
            </w:tcBorders>
            <w:shd w:val="clear" w:color="auto" w:fill="C6EFCE"/>
            <w:noWrap/>
            <w:vAlign w:val="center"/>
            <w:hideMark/>
          </w:tcPr>
          <w:p w14:paraId="53F48D9F" w14:textId="4D48FCAF"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hideMark/>
          </w:tcPr>
          <w:p w14:paraId="67E9F090" w14:textId="04E31CD0" w:rsidR="00CE3BAD" w:rsidRPr="00782BF9" w:rsidRDefault="006B5475">
            <w:pPr>
              <w:pStyle w:val="P68B1DB1-Normal10"/>
              <w:spacing w:after="0" w:line="240" w:lineRule="auto"/>
              <w:jc w:val="center"/>
              <w:rPr>
                <w:rFonts w:eastAsia="Calibri"/>
                <w:noProof/>
                <w:lang w:val="bg-BG"/>
              </w:rPr>
            </w:pPr>
            <w:r w:rsidRPr="00782BF9">
              <w:rPr>
                <w:noProof/>
                <w:lang w:val="bg-BG"/>
              </w:rPr>
              <w:t>32</w:t>
            </w:r>
          </w:p>
        </w:tc>
        <w:tc>
          <w:tcPr>
            <w:tcW w:w="832" w:type="dxa"/>
            <w:tcBorders>
              <w:top w:val="nil"/>
              <w:left w:val="nil"/>
              <w:bottom w:val="single" w:sz="4" w:space="0" w:color="auto"/>
              <w:right w:val="single" w:sz="4" w:space="0" w:color="auto"/>
            </w:tcBorders>
            <w:shd w:val="clear" w:color="auto" w:fill="C6EFCE"/>
            <w:vAlign w:val="center"/>
            <w:hideMark/>
          </w:tcPr>
          <w:p w14:paraId="14BEC26B"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hideMark/>
          </w:tcPr>
          <w:p w14:paraId="7535513E" w14:textId="77777777" w:rsidR="00CE3BAD" w:rsidRPr="00782BF9" w:rsidRDefault="006B5475">
            <w:pPr>
              <w:pStyle w:val="P68B1DB1-Normal10"/>
              <w:spacing w:after="0" w:line="240" w:lineRule="auto"/>
              <w:rPr>
                <w:rFonts w:eastAsia="Calibri"/>
                <w:noProof/>
                <w:lang w:val="bg-BG"/>
              </w:rPr>
            </w:pPr>
            <w:r w:rsidRPr="00782BF9">
              <w:rPr>
                <w:noProof/>
                <w:lang w:val="bg-BG"/>
              </w:rPr>
              <w:t>2026</w:t>
            </w:r>
          </w:p>
        </w:tc>
        <w:tc>
          <w:tcPr>
            <w:tcW w:w="3760" w:type="dxa"/>
            <w:tcBorders>
              <w:top w:val="nil"/>
              <w:left w:val="nil"/>
              <w:bottom w:val="single" w:sz="4" w:space="0" w:color="auto"/>
              <w:right w:val="single" w:sz="4" w:space="0" w:color="auto"/>
            </w:tcBorders>
            <w:shd w:val="clear" w:color="auto" w:fill="C6EFCE"/>
            <w:vAlign w:val="center"/>
            <w:hideMark/>
          </w:tcPr>
          <w:p w14:paraId="197AB794" w14:textId="25BAE0D0" w:rsidR="00CE3BAD" w:rsidRPr="00782BF9" w:rsidRDefault="006B5475">
            <w:pPr>
              <w:pStyle w:val="P68B1DB1-Normal10"/>
              <w:spacing w:after="0" w:line="240" w:lineRule="auto"/>
              <w:rPr>
                <w:rFonts w:eastAsia="Calibri"/>
                <w:noProof/>
                <w:lang w:val="bg-BG"/>
              </w:rPr>
            </w:pPr>
            <w:r w:rsidRPr="00782BF9">
              <w:rPr>
                <w:noProof/>
                <w:lang w:val="bg-BG"/>
              </w:rPr>
              <w:t>Завършване на модернизирането на 22 спирки и 10 гари по линиите H5, H6 и H7 чрез осигуряване на интермодални връзки: Паркинг P + R с най-малко 1</w:t>
            </w:r>
            <w:r w:rsidRPr="00782BF9">
              <w:rPr>
                <w:noProof/>
                <w:color w:val="006100"/>
                <w:lang w:val="bg-BG"/>
              </w:rPr>
              <w:t xml:space="preserve"> </w:t>
            </w:r>
            <w:r w:rsidRPr="00782BF9">
              <w:rPr>
                <w:noProof/>
                <w:lang w:val="bg-BG"/>
              </w:rPr>
              <w:t xml:space="preserve"> 000 места. Всички спирки и гари са достъпни за групи със специфични нужди, включително високи платформи, осигуряващи безпрепятствени връзки между превозни средства и платформи. </w:t>
            </w:r>
          </w:p>
        </w:tc>
      </w:tr>
      <w:tr w:rsidR="00CE3BAD" w:rsidRPr="00782BF9" w14:paraId="63EAEB04" w14:textId="77777777">
        <w:trPr>
          <w:trHeight w:val="93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tcPr>
          <w:p w14:paraId="4A0F2C00" w14:textId="353EDC78" w:rsidR="00CE3BAD" w:rsidRPr="00782BF9" w:rsidRDefault="006B5475">
            <w:pPr>
              <w:pStyle w:val="P68B1DB1-Normal10"/>
              <w:spacing w:after="0" w:line="240" w:lineRule="auto"/>
              <w:rPr>
                <w:rFonts w:eastAsia="Calibri"/>
                <w:noProof/>
                <w:lang w:val="bg-BG"/>
              </w:rPr>
            </w:pPr>
            <w:r w:rsidRPr="00782BF9">
              <w:rPr>
                <w:noProof/>
                <w:lang w:val="bg-BG"/>
              </w:rPr>
              <w:t>84</w:t>
            </w:r>
          </w:p>
        </w:tc>
        <w:tc>
          <w:tcPr>
            <w:tcW w:w="1598" w:type="dxa"/>
            <w:tcBorders>
              <w:top w:val="nil"/>
              <w:left w:val="nil"/>
              <w:bottom w:val="single" w:sz="4" w:space="0" w:color="auto"/>
              <w:right w:val="single" w:sz="4" w:space="0" w:color="auto"/>
            </w:tcBorders>
            <w:shd w:val="clear" w:color="auto" w:fill="C6EFCE"/>
            <w:vAlign w:val="center"/>
          </w:tcPr>
          <w:p w14:paraId="4317EBB8" w14:textId="5B2C83A6" w:rsidR="00CE3BAD" w:rsidRPr="00782BF9" w:rsidRDefault="006B5475">
            <w:pPr>
              <w:pStyle w:val="P68B1DB1-Normal10"/>
              <w:spacing w:after="0" w:line="240" w:lineRule="auto"/>
              <w:rPr>
                <w:rFonts w:eastAsia="Calibri"/>
                <w:noProof/>
                <w:lang w:val="bg-BG"/>
              </w:rPr>
            </w:pPr>
            <w:r w:rsidRPr="00782BF9">
              <w:rPr>
                <w:noProof/>
                <w:lang w:val="bg-BG"/>
              </w:rPr>
              <w:t>C5.I1 Изграждане на капацитет на крайградската железопътна мрежа</w:t>
            </w:r>
          </w:p>
        </w:tc>
        <w:tc>
          <w:tcPr>
            <w:tcW w:w="1096" w:type="dxa"/>
            <w:tcBorders>
              <w:top w:val="nil"/>
              <w:left w:val="nil"/>
              <w:bottom w:val="single" w:sz="4" w:space="0" w:color="auto"/>
              <w:right w:val="single" w:sz="4" w:space="0" w:color="auto"/>
            </w:tcBorders>
            <w:shd w:val="clear" w:color="auto" w:fill="C6EFCE"/>
            <w:noWrap/>
            <w:vAlign w:val="center"/>
          </w:tcPr>
          <w:p w14:paraId="07BAC505"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tcPr>
          <w:p w14:paraId="2324F5C2" w14:textId="77777777" w:rsidR="00CE3BAD" w:rsidRPr="00782BF9" w:rsidRDefault="006B5475">
            <w:pPr>
              <w:pStyle w:val="P68B1DB1-Normal10"/>
              <w:spacing w:after="0" w:line="240" w:lineRule="auto"/>
              <w:rPr>
                <w:rFonts w:eastAsia="Calibri"/>
                <w:noProof/>
                <w:lang w:val="bg-BG"/>
              </w:rPr>
            </w:pPr>
            <w:r w:rsidRPr="00782BF9">
              <w:rPr>
                <w:noProof/>
                <w:lang w:val="bg-BG"/>
              </w:rPr>
              <w:t>Нови електрически трансформатори или пълна модернизация на съществуващи електрически трансформатори</w:t>
            </w:r>
          </w:p>
        </w:tc>
        <w:tc>
          <w:tcPr>
            <w:tcW w:w="1417" w:type="dxa"/>
            <w:tcBorders>
              <w:top w:val="nil"/>
              <w:left w:val="nil"/>
              <w:bottom w:val="single" w:sz="4" w:space="0" w:color="auto"/>
              <w:right w:val="single" w:sz="4" w:space="0" w:color="auto"/>
            </w:tcBorders>
            <w:shd w:val="clear" w:color="auto" w:fill="C6EFCE"/>
            <w:vAlign w:val="center"/>
          </w:tcPr>
          <w:p w14:paraId="5BF4DC01" w14:textId="77777777" w:rsidR="00CE3BAD" w:rsidRPr="00782BF9" w:rsidRDefault="00CE3BAD">
            <w:pPr>
              <w:spacing w:after="0" w:line="240" w:lineRule="auto"/>
              <w:rPr>
                <w:rFonts w:eastAsia="Calibri"/>
                <w:noProof/>
                <w:sz w:val="18"/>
                <w:lang w:val="bg-BG"/>
              </w:rPr>
            </w:pPr>
          </w:p>
        </w:tc>
        <w:tc>
          <w:tcPr>
            <w:tcW w:w="1031" w:type="dxa"/>
            <w:tcBorders>
              <w:top w:val="nil"/>
              <w:left w:val="nil"/>
              <w:bottom w:val="single" w:sz="4" w:space="0" w:color="auto"/>
              <w:right w:val="single" w:sz="4" w:space="0" w:color="auto"/>
            </w:tcBorders>
            <w:shd w:val="clear" w:color="auto" w:fill="C6EFCE"/>
            <w:noWrap/>
            <w:vAlign w:val="center"/>
          </w:tcPr>
          <w:p w14:paraId="5BA90BF8" w14:textId="77777777" w:rsidR="00CE3BAD" w:rsidRPr="00782BF9" w:rsidRDefault="006B5475">
            <w:pPr>
              <w:pStyle w:val="P68B1DB1-Normal10"/>
              <w:spacing w:after="0" w:line="240" w:lineRule="auto"/>
              <w:rPr>
                <w:rFonts w:eastAsia="Calibri"/>
                <w:noProof/>
                <w:lang w:val="bg-BG"/>
              </w:rPr>
            </w:pPr>
            <w:r w:rsidRPr="00782BF9">
              <w:rPr>
                <w:noProof/>
                <w:lang w:val="bg-BG"/>
              </w:rPr>
              <w:t>Брой</w:t>
            </w:r>
          </w:p>
        </w:tc>
        <w:tc>
          <w:tcPr>
            <w:tcW w:w="1011" w:type="dxa"/>
            <w:tcBorders>
              <w:top w:val="nil"/>
              <w:left w:val="nil"/>
              <w:bottom w:val="single" w:sz="4" w:space="0" w:color="auto"/>
              <w:right w:val="single" w:sz="4" w:space="0" w:color="auto"/>
            </w:tcBorders>
            <w:shd w:val="clear" w:color="auto" w:fill="C6EFCE"/>
            <w:noWrap/>
            <w:vAlign w:val="center"/>
          </w:tcPr>
          <w:p w14:paraId="7F3D21BA" w14:textId="55C36E97"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tcPr>
          <w:p w14:paraId="6743C757" w14:textId="1F167528" w:rsidR="00CE3BAD" w:rsidRPr="00782BF9" w:rsidRDefault="006B5475">
            <w:pPr>
              <w:pStyle w:val="P68B1DB1-Normal10"/>
              <w:spacing w:after="0" w:line="240" w:lineRule="auto"/>
              <w:jc w:val="center"/>
              <w:rPr>
                <w:rFonts w:eastAsia="Calibri"/>
                <w:noProof/>
                <w:lang w:val="bg-BG"/>
              </w:rPr>
            </w:pPr>
            <w:r w:rsidRPr="00782BF9">
              <w:rPr>
                <w:noProof/>
                <w:lang w:val="bg-BG"/>
              </w:rPr>
              <w:t>2</w:t>
            </w:r>
          </w:p>
        </w:tc>
        <w:tc>
          <w:tcPr>
            <w:tcW w:w="832" w:type="dxa"/>
            <w:tcBorders>
              <w:top w:val="nil"/>
              <w:left w:val="nil"/>
              <w:bottom w:val="single" w:sz="4" w:space="0" w:color="auto"/>
              <w:right w:val="single" w:sz="4" w:space="0" w:color="auto"/>
            </w:tcBorders>
            <w:shd w:val="clear" w:color="auto" w:fill="C6EFCE"/>
            <w:vAlign w:val="center"/>
          </w:tcPr>
          <w:p w14:paraId="2E434EAA"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tcPr>
          <w:p w14:paraId="672DA579" w14:textId="77777777" w:rsidR="00CE3BAD" w:rsidRPr="00782BF9" w:rsidRDefault="006B5475">
            <w:pPr>
              <w:pStyle w:val="P68B1DB1-Normal10"/>
              <w:spacing w:after="0" w:line="240" w:lineRule="auto"/>
              <w:rPr>
                <w:rFonts w:eastAsia="Calibri"/>
                <w:noProof/>
                <w:lang w:val="bg-BG"/>
              </w:rPr>
            </w:pPr>
            <w:r w:rsidRPr="00782BF9">
              <w:rPr>
                <w:noProof/>
                <w:lang w:val="bg-BG"/>
              </w:rPr>
              <w:t>2026</w:t>
            </w:r>
          </w:p>
        </w:tc>
        <w:tc>
          <w:tcPr>
            <w:tcW w:w="3760" w:type="dxa"/>
            <w:tcBorders>
              <w:top w:val="nil"/>
              <w:left w:val="nil"/>
              <w:bottom w:val="single" w:sz="4" w:space="0" w:color="auto"/>
              <w:right w:val="single" w:sz="4" w:space="0" w:color="auto"/>
            </w:tcBorders>
            <w:shd w:val="clear" w:color="auto" w:fill="C6EFCE"/>
            <w:vAlign w:val="center"/>
          </w:tcPr>
          <w:p w14:paraId="5D320B5E" w14:textId="77777777" w:rsidR="00CE3BAD" w:rsidRPr="00782BF9" w:rsidRDefault="006B5475">
            <w:pPr>
              <w:pStyle w:val="P68B1DB1-Normal10"/>
              <w:spacing w:after="0" w:line="240" w:lineRule="auto"/>
              <w:rPr>
                <w:rFonts w:eastAsia="Calibri"/>
                <w:noProof/>
                <w:lang w:val="bg-BG"/>
              </w:rPr>
            </w:pPr>
            <w:r w:rsidRPr="00782BF9">
              <w:rPr>
                <w:noProof/>
                <w:lang w:val="bg-BG"/>
              </w:rPr>
              <w:t>Инсталиране на нови електрически трансформатори или цялостно обновяване и въвеждане в експлоатация на съществуващи електрически трансформатори.</w:t>
            </w:r>
          </w:p>
        </w:tc>
      </w:tr>
      <w:tr w:rsidR="00CE3BAD" w:rsidRPr="00782BF9" w14:paraId="66839F13" w14:textId="77777777">
        <w:trPr>
          <w:trHeight w:val="93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tcPr>
          <w:p w14:paraId="4646D870" w14:textId="015C5E10" w:rsidR="00CE3BAD" w:rsidRPr="00782BF9" w:rsidRDefault="006B5475">
            <w:pPr>
              <w:pStyle w:val="P68B1DB1-Normal10"/>
              <w:spacing w:after="0" w:line="240" w:lineRule="auto"/>
              <w:rPr>
                <w:rFonts w:eastAsia="Calibri"/>
                <w:noProof/>
                <w:lang w:val="bg-BG"/>
              </w:rPr>
            </w:pPr>
            <w:r w:rsidRPr="00782BF9">
              <w:rPr>
                <w:noProof/>
                <w:lang w:val="bg-BG"/>
              </w:rPr>
              <w:t>85</w:t>
            </w:r>
          </w:p>
        </w:tc>
        <w:tc>
          <w:tcPr>
            <w:tcW w:w="1598" w:type="dxa"/>
            <w:tcBorders>
              <w:top w:val="nil"/>
              <w:left w:val="nil"/>
              <w:bottom w:val="single" w:sz="4" w:space="0" w:color="auto"/>
              <w:right w:val="single" w:sz="4" w:space="0" w:color="auto"/>
            </w:tcBorders>
            <w:shd w:val="clear" w:color="auto" w:fill="C6EFCE"/>
            <w:vAlign w:val="center"/>
          </w:tcPr>
          <w:p w14:paraId="26EA0E51" w14:textId="6CCB22F4" w:rsidR="00CE3BAD" w:rsidRPr="00782BF9" w:rsidRDefault="006B5475">
            <w:pPr>
              <w:pStyle w:val="P68B1DB1-Normal10"/>
              <w:spacing w:after="0" w:line="240" w:lineRule="auto"/>
              <w:rPr>
                <w:rFonts w:eastAsia="Calibri"/>
                <w:noProof/>
                <w:lang w:val="bg-BG"/>
              </w:rPr>
            </w:pPr>
            <w:r w:rsidRPr="00782BF9">
              <w:rPr>
                <w:noProof/>
                <w:lang w:val="bg-BG"/>
              </w:rPr>
              <w:t>C5.I1 Изграждане на капацитет на крайградската железопътна мрежа</w:t>
            </w:r>
          </w:p>
        </w:tc>
        <w:tc>
          <w:tcPr>
            <w:tcW w:w="1096" w:type="dxa"/>
            <w:tcBorders>
              <w:top w:val="nil"/>
              <w:left w:val="nil"/>
              <w:bottom w:val="single" w:sz="4" w:space="0" w:color="auto"/>
              <w:right w:val="single" w:sz="4" w:space="0" w:color="auto"/>
            </w:tcBorders>
            <w:shd w:val="clear" w:color="auto" w:fill="C6EFCE"/>
            <w:noWrap/>
            <w:vAlign w:val="center"/>
          </w:tcPr>
          <w:p w14:paraId="7C33F3CB"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tcPr>
          <w:p w14:paraId="701C9FB0" w14:textId="77777777" w:rsidR="00CE3BAD" w:rsidRPr="00782BF9" w:rsidRDefault="006B5475">
            <w:pPr>
              <w:pStyle w:val="P68B1DB1-Normal10"/>
              <w:spacing w:after="0" w:line="240" w:lineRule="auto"/>
              <w:rPr>
                <w:rFonts w:eastAsia="Calibri"/>
                <w:noProof/>
                <w:lang w:val="bg-BG"/>
              </w:rPr>
            </w:pPr>
            <w:r w:rsidRPr="00782BF9">
              <w:rPr>
                <w:noProof/>
                <w:lang w:val="bg-BG"/>
              </w:rPr>
              <w:t>Нови съоръжения за съхранение на велосипеди B + R в спирките на HÉV</w:t>
            </w:r>
          </w:p>
        </w:tc>
        <w:tc>
          <w:tcPr>
            <w:tcW w:w="1417" w:type="dxa"/>
            <w:tcBorders>
              <w:top w:val="nil"/>
              <w:left w:val="nil"/>
              <w:bottom w:val="single" w:sz="4" w:space="0" w:color="auto"/>
              <w:right w:val="single" w:sz="4" w:space="0" w:color="auto"/>
            </w:tcBorders>
            <w:shd w:val="clear" w:color="auto" w:fill="C6EFCE"/>
            <w:vAlign w:val="center"/>
          </w:tcPr>
          <w:p w14:paraId="15272757" w14:textId="77777777" w:rsidR="00CE3BAD" w:rsidRPr="00782BF9" w:rsidRDefault="00CE3BAD">
            <w:pPr>
              <w:spacing w:after="0" w:line="240" w:lineRule="auto"/>
              <w:rPr>
                <w:rFonts w:eastAsia="Calibri"/>
                <w:noProof/>
                <w:sz w:val="18"/>
                <w:lang w:val="bg-BG"/>
              </w:rPr>
            </w:pPr>
          </w:p>
        </w:tc>
        <w:tc>
          <w:tcPr>
            <w:tcW w:w="1031" w:type="dxa"/>
            <w:tcBorders>
              <w:top w:val="nil"/>
              <w:left w:val="nil"/>
              <w:bottom w:val="single" w:sz="4" w:space="0" w:color="auto"/>
              <w:right w:val="single" w:sz="4" w:space="0" w:color="auto"/>
            </w:tcBorders>
            <w:shd w:val="clear" w:color="auto" w:fill="C6EFCE"/>
            <w:noWrap/>
            <w:vAlign w:val="center"/>
          </w:tcPr>
          <w:p w14:paraId="1A1CE696" w14:textId="77777777" w:rsidR="00CE3BAD" w:rsidRPr="00782BF9" w:rsidRDefault="006B5475">
            <w:pPr>
              <w:pStyle w:val="P68B1DB1-Normal10"/>
              <w:spacing w:after="0" w:line="240" w:lineRule="auto"/>
              <w:rPr>
                <w:rFonts w:eastAsia="Calibri"/>
                <w:noProof/>
                <w:lang w:val="bg-BG"/>
              </w:rPr>
            </w:pPr>
            <w:r w:rsidRPr="00782BF9">
              <w:rPr>
                <w:noProof/>
                <w:lang w:val="bg-BG"/>
              </w:rPr>
              <w:t>Брой</w:t>
            </w:r>
          </w:p>
        </w:tc>
        <w:tc>
          <w:tcPr>
            <w:tcW w:w="1011" w:type="dxa"/>
            <w:tcBorders>
              <w:top w:val="nil"/>
              <w:left w:val="nil"/>
              <w:bottom w:val="single" w:sz="4" w:space="0" w:color="auto"/>
              <w:right w:val="single" w:sz="4" w:space="0" w:color="auto"/>
            </w:tcBorders>
            <w:shd w:val="clear" w:color="auto" w:fill="C6EFCE"/>
            <w:noWrap/>
            <w:vAlign w:val="center"/>
          </w:tcPr>
          <w:p w14:paraId="61C6C1E3" w14:textId="4808D903"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tcPr>
          <w:p w14:paraId="2109008D" w14:textId="36B61756" w:rsidR="00CE3BAD" w:rsidRPr="00782BF9" w:rsidRDefault="006B5475">
            <w:pPr>
              <w:pStyle w:val="P68B1DB1-Normal10"/>
              <w:spacing w:after="0" w:line="240" w:lineRule="auto"/>
              <w:jc w:val="center"/>
              <w:rPr>
                <w:rFonts w:eastAsia="Calibri"/>
                <w:noProof/>
                <w:lang w:val="bg-BG"/>
              </w:rPr>
            </w:pPr>
            <w:r w:rsidRPr="00782BF9">
              <w:rPr>
                <w:noProof/>
                <w:lang w:val="bg-BG"/>
              </w:rPr>
              <w:t>1</w:t>
            </w:r>
            <w:r w:rsidRPr="00782BF9">
              <w:rPr>
                <w:noProof/>
                <w:color w:val="006100"/>
                <w:lang w:val="bg-BG"/>
              </w:rPr>
              <w:t xml:space="preserve"> </w:t>
            </w:r>
            <w:r w:rsidRPr="00782BF9">
              <w:rPr>
                <w:noProof/>
                <w:lang w:val="bg-BG"/>
              </w:rPr>
              <w:t>500</w:t>
            </w:r>
          </w:p>
        </w:tc>
        <w:tc>
          <w:tcPr>
            <w:tcW w:w="832" w:type="dxa"/>
            <w:tcBorders>
              <w:top w:val="nil"/>
              <w:left w:val="nil"/>
              <w:bottom w:val="single" w:sz="4" w:space="0" w:color="auto"/>
              <w:right w:val="single" w:sz="4" w:space="0" w:color="auto"/>
            </w:tcBorders>
            <w:shd w:val="clear" w:color="auto" w:fill="C6EFCE"/>
            <w:vAlign w:val="center"/>
          </w:tcPr>
          <w:p w14:paraId="7166E7F4"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tcPr>
          <w:p w14:paraId="13DD6777" w14:textId="77777777" w:rsidR="00CE3BAD" w:rsidRPr="00782BF9" w:rsidRDefault="006B5475">
            <w:pPr>
              <w:pStyle w:val="P68B1DB1-Normal10"/>
              <w:spacing w:after="0" w:line="240" w:lineRule="auto"/>
              <w:rPr>
                <w:rFonts w:eastAsia="Calibri"/>
                <w:noProof/>
                <w:lang w:val="bg-BG"/>
              </w:rPr>
            </w:pPr>
            <w:r w:rsidRPr="00782BF9">
              <w:rPr>
                <w:noProof/>
                <w:lang w:val="bg-BG"/>
              </w:rPr>
              <w:t>2026</w:t>
            </w:r>
          </w:p>
        </w:tc>
        <w:tc>
          <w:tcPr>
            <w:tcW w:w="3760" w:type="dxa"/>
            <w:tcBorders>
              <w:top w:val="nil"/>
              <w:left w:val="nil"/>
              <w:bottom w:val="single" w:sz="4" w:space="0" w:color="auto"/>
              <w:right w:val="single" w:sz="4" w:space="0" w:color="auto"/>
            </w:tcBorders>
            <w:shd w:val="clear" w:color="auto" w:fill="C6EFCE"/>
            <w:vAlign w:val="center"/>
          </w:tcPr>
          <w:p w14:paraId="2FD70265" w14:textId="02AA153D" w:rsidR="00CE3BAD" w:rsidRPr="00782BF9" w:rsidRDefault="006B5475">
            <w:pPr>
              <w:pStyle w:val="P68B1DB1-Normal10"/>
              <w:spacing w:after="0" w:line="240" w:lineRule="auto"/>
              <w:rPr>
                <w:rFonts w:eastAsia="Calibri"/>
                <w:noProof/>
                <w:lang w:val="bg-BG"/>
              </w:rPr>
            </w:pPr>
            <w:r w:rsidRPr="00782BF9">
              <w:rPr>
                <w:noProof/>
                <w:lang w:val="bg-BG"/>
              </w:rPr>
              <w:t>Инсталиране на нови съоръжения за съхранение на велосипеди B + R в различни спирки и станции на HÉV за общо 1</w:t>
            </w:r>
            <w:r w:rsidRPr="00782BF9">
              <w:rPr>
                <w:noProof/>
                <w:color w:val="006100"/>
                <w:lang w:val="bg-BG"/>
              </w:rPr>
              <w:t xml:space="preserve"> </w:t>
            </w:r>
            <w:r w:rsidRPr="00782BF9">
              <w:rPr>
                <w:noProof/>
                <w:lang w:val="bg-BG"/>
              </w:rPr>
              <w:t>500 велосипеда.</w:t>
            </w:r>
          </w:p>
        </w:tc>
      </w:tr>
      <w:tr w:rsidR="00CE3BAD" w:rsidRPr="00782BF9" w14:paraId="29013ED6" w14:textId="77777777">
        <w:trPr>
          <w:trHeight w:val="93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tcPr>
          <w:p w14:paraId="627A998E" w14:textId="2277C3B7" w:rsidR="00CE3BAD" w:rsidRPr="00782BF9" w:rsidRDefault="006B5475">
            <w:pPr>
              <w:pStyle w:val="P68B1DB1-Normal10"/>
              <w:spacing w:after="0" w:line="240" w:lineRule="auto"/>
              <w:rPr>
                <w:rFonts w:eastAsia="Calibri"/>
                <w:noProof/>
                <w:lang w:val="bg-BG"/>
              </w:rPr>
            </w:pPr>
            <w:r w:rsidRPr="00782BF9">
              <w:rPr>
                <w:noProof/>
                <w:lang w:val="bg-BG"/>
              </w:rPr>
              <w:t>86</w:t>
            </w:r>
          </w:p>
        </w:tc>
        <w:tc>
          <w:tcPr>
            <w:tcW w:w="1598" w:type="dxa"/>
            <w:tcBorders>
              <w:top w:val="nil"/>
              <w:left w:val="nil"/>
              <w:bottom w:val="single" w:sz="4" w:space="0" w:color="auto"/>
              <w:right w:val="single" w:sz="4" w:space="0" w:color="auto"/>
            </w:tcBorders>
            <w:shd w:val="clear" w:color="auto" w:fill="C6EFCE"/>
            <w:vAlign w:val="center"/>
          </w:tcPr>
          <w:p w14:paraId="1461CDE1" w14:textId="63EAD65C" w:rsidR="00CE3BAD" w:rsidRPr="00782BF9" w:rsidRDefault="006B5475">
            <w:pPr>
              <w:pStyle w:val="P68B1DB1-Normal10"/>
              <w:spacing w:after="0" w:line="240" w:lineRule="auto"/>
              <w:rPr>
                <w:rFonts w:eastAsia="Calibri"/>
                <w:noProof/>
                <w:lang w:val="bg-BG"/>
              </w:rPr>
            </w:pPr>
            <w:r w:rsidRPr="00782BF9">
              <w:rPr>
                <w:noProof/>
                <w:lang w:val="bg-BG"/>
              </w:rPr>
              <w:t>C5.I1 Изграждане на капацитет на крайградската железопътна мрежа</w:t>
            </w:r>
          </w:p>
        </w:tc>
        <w:tc>
          <w:tcPr>
            <w:tcW w:w="1096" w:type="dxa"/>
            <w:tcBorders>
              <w:top w:val="nil"/>
              <w:left w:val="nil"/>
              <w:bottom w:val="single" w:sz="4" w:space="0" w:color="auto"/>
              <w:right w:val="single" w:sz="4" w:space="0" w:color="auto"/>
            </w:tcBorders>
            <w:shd w:val="clear" w:color="auto" w:fill="C6EFCE"/>
            <w:noWrap/>
            <w:vAlign w:val="center"/>
          </w:tcPr>
          <w:p w14:paraId="0723FCCB"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tcPr>
          <w:p w14:paraId="0AA5B93D" w14:textId="77777777" w:rsidR="00CE3BAD" w:rsidRPr="00782BF9" w:rsidRDefault="006B5475">
            <w:pPr>
              <w:pStyle w:val="P68B1DB1-Normal10"/>
              <w:spacing w:after="0" w:line="240" w:lineRule="auto"/>
              <w:rPr>
                <w:rFonts w:eastAsia="Calibri"/>
                <w:noProof/>
                <w:lang w:val="bg-BG"/>
              </w:rPr>
            </w:pPr>
            <w:r w:rsidRPr="00782BF9">
              <w:rPr>
                <w:noProof/>
                <w:lang w:val="bg-BG"/>
              </w:rPr>
              <w:t>Нов интермодален автобусен център — HÉV</w:t>
            </w:r>
          </w:p>
        </w:tc>
        <w:tc>
          <w:tcPr>
            <w:tcW w:w="1417" w:type="dxa"/>
            <w:tcBorders>
              <w:top w:val="nil"/>
              <w:left w:val="nil"/>
              <w:bottom w:val="single" w:sz="4" w:space="0" w:color="auto"/>
              <w:right w:val="single" w:sz="4" w:space="0" w:color="auto"/>
            </w:tcBorders>
            <w:shd w:val="clear" w:color="auto" w:fill="C6EFCE"/>
            <w:vAlign w:val="center"/>
          </w:tcPr>
          <w:p w14:paraId="12C00333" w14:textId="77777777" w:rsidR="00CE3BAD" w:rsidRPr="00782BF9" w:rsidRDefault="00CE3BAD">
            <w:pPr>
              <w:spacing w:after="0" w:line="240" w:lineRule="auto"/>
              <w:rPr>
                <w:rFonts w:eastAsia="Calibri"/>
                <w:noProof/>
                <w:sz w:val="18"/>
                <w:lang w:val="bg-BG"/>
              </w:rPr>
            </w:pPr>
          </w:p>
        </w:tc>
        <w:tc>
          <w:tcPr>
            <w:tcW w:w="1031" w:type="dxa"/>
            <w:tcBorders>
              <w:top w:val="nil"/>
              <w:left w:val="nil"/>
              <w:bottom w:val="single" w:sz="4" w:space="0" w:color="auto"/>
              <w:right w:val="single" w:sz="4" w:space="0" w:color="auto"/>
            </w:tcBorders>
            <w:shd w:val="clear" w:color="auto" w:fill="C6EFCE"/>
            <w:noWrap/>
            <w:vAlign w:val="center"/>
          </w:tcPr>
          <w:p w14:paraId="6B476B2E" w14:textId="77777777" w:rsidR="00CE3BAD" w:rsidRPr="00782BF9" w:rsidRDefault="006B5475">
            <w:pPr>
              <w:pStyle w:val="P68B1DB1-Normal10"/>
              <w:spacing w:after="0" w:line="240" w:lineRule="auto"/>
              <w:rPr>
                <w:rFonts w:eastAsia="Calibri"/>
                <w:noProof/>
                <w:lang w:val="bg-BG"/>
              </w:rPr>
            </w:pPr>
            <w:r w:rsidRPr="00782BF9">
              <w:rPr>
                <w:noProof/>
                <w:lang w:val="bg-BG"/>
              </w:rPr>
              <w:t>Брой</w:t>
            </w:r>
          </w:p>
        </w:tc>
        <w:tc>
          <w:tcPr>
            <w:tcW w:w="1011" w:type="dxa"/>
            <w:tcBorders>
              <w:top w:val="nil"/>
              <w:left w:val="nil"/>
              <w:bottom w:val="single" w:sz="4" w:space="0" w:color="auto"/>
              <w:right w:val="single" w:sz="4" w:space="0" w:color="auto"/>
            </w:tcBorders>
            <w:shd w:val="clear" w:color="auto" w:fill="C6EFCE"/>
            <w:noWrap/>
            <w:vAlign w:val="center"/>
          </w:tcPr>
          <w:p w14:paraId="2DE7B1A2" w14:textId="432E6B74"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tcPr>
          <w:p w14:paraId="2C965950"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3</w:t>
            </w:r>
          </w:p>
        </w:tc>
        <w:tc>
          <w:tcPr>
            <w:tcW w:w="832" w:type="dxa"/>
            <w:tcBorders>
              <w:top w:val="nil"/>
              <w:left w:val="nil"/>
              <w:bottom w:val="single" w:sz="4" w:space="0" w:color="auto"/>
              <w:right w:val="single" w:sz="4" w:space="0" w:color="auto"/>
            </w:tcBorders>
            <w:shd w:val="clear" w:color="auto" w:fill="C6EFCE"/>
            <w:vAlign w:val="center"/>
          </w:tcPr>
          <w:p w14:paraId="1EED1427"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tcPr>
          <w:p w14:paraId="082AD797" w14:textId="77777777" w:rsidR="00CE3BAD" w:rsidRPr="00782BF9" w:rsidRDefault="006B5475">
            <w:pPr>
              <w:pStyle w:val="P68B1DB1-Normal10"/>
              <w:spacing w:after="0" w:line="240" w:lineRule="auto"/>
              <w:rPr>
                <w:rFonts w:eastAsia="Calibri"/>
                <w:noProof/>
                <w:lang w:val="bg-BG"/>
              </w:rPr>
            </w:pPr>
            <w:r w:rsidRPr="00782BF9">
              <w:rPr>
                <w:noProof/>
                <w:lang w:val="bg-BG"/>
              </w:rPr>
              <w:t>2026</w:t>
            </w:r>
          </w:p>
        </w:tc>
        <w:tc>
          <w:tcPr>
            <w:tcW w:w="3760" w:type="dxa"/>
            <w:tcBorders>
              <w:top w:val="nil"/>
              <w:left w:val="nil"/>
              <w:bottom w:val="single" w:sz="4" w:space="0" w:color="auto"/>
              <w:right w:val="single" w:sz="4" w:space="0" w:color="auto"/>
            </w:tcBorders>
            <w:shd w:val="clear" w:color="auto" w:fill="C6EFCE"/>
            <w:vAlign w:val="center"/>
          </w:tcPr>
          <w:p w14:paraId="6E9D70E7" w14:textId="40DFDC0F" w:rsidR="00CE3BAD" w:rsidRPr="00782BF9" w:rsidRDefault="006B5475">
            <w:pPr>
              <w:pStyle w:val="P68B1DB1-Normal10"/>
              <w:spacing w:after="0" w:line="240" w:lineRule="auto"/>
              <w:rPr>
                <w:rFonts w:eastAsia="Calibri"/>
                <w:noProof/>
                <w:lang w:val="bg-BG"/>
              </w:rPr>
            </w:pPr>
            <w:r w:rsidRPr="00782BF9">
              <w:rPr>
                <w:noProof/>
                <w:lang w:val="bg-BG"/>
              </w:rPr>
              <w:t>Създаване на три интермодални центъра по обновените линии HÉV в агломерацията Будапеща, които осигуряват директни трансфери за пътници между автобуси и влакове.</w:t>
            </w:r>
          </w:p>
        </w:tc>
      </w:tr>
      <w:tr w:rsidR="00CE3BAD" w:rsidRPr="00782BF9" w14:paraId="6C352921" w14:textId="77777777">
        <w:trPr>
          <w:trHeight w:val="1429"/>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hideMark/>
          </w:tcPr>
          <w:p w14:paraId="2FD46764" w14:textId="4F948185" w:rsidR="00CE3BAD" w:rsidRPr="00782BF9" w:rsidRDefault="006B5475">
            <w:pPr>
              <w:pStyle w:val="P68B1DB1-Normal10"/>
              <w:spacing w:after="0" w:line="240" w:lineRule="auto"/>
              <w:rPr>
                <w:rFonts w:eastAsia="Calibri"/>
                <w:noProof/>
                <w:lang w:val="bg-BG"/>
              </w:rPr>
            </w:pPr>
            <w:r w:rsidRPr="00782BF9">
              <w:rPr>
                <w:noProof/>
                <w:lang w:val="bg-BG"/>
              </w:rPr>
              <w:t>87</w:t>
            </w:r>
          </w:p>
        </w:tc>
        <w:tc>
          <w:tcPr>
            <w:tcW w:w="1598" w:type="dxa"/>
            <w:tcBorders>
              <w:top w:val="nil"/>
              <w:left w:val="nil"/>
              <w:bottom w:val="single" w:sz="4" w:space="0" w:color="auto"/>
              <w:right w:val="single" w:sz="4" w:space="0" w:color="auto"/>
            </w:tcBorders>
            <w:shd w:val="clear" w:color="auto" w:fill="C6EFCE"/>
            <w:vAlign w:val="center"/>
            <w:hideMark/>
          </w:tcPr>
          <w:p w14:paraId="028F4465" w14:textId="0C96C65B" w:rsidR="00CE3BAD" w:rsidRPr="00782BF9" w:rsidRDefault="006B5475">
            <w:pPr>
              <w:pStyle w:val="P68B1DB1-Normal10"/>
              <w:spacing w:after="0" w:line="240" w:lineRule="auto"/>
              <w:rPr>
                <w:rFonts w:eastAsia="Calibri"/>
                <w:noProof/>
                <w:lang w:val="bg-BG"/>
              </w:rPr>
            </w:pPr>
            <w:r w:rsidRPr="00782BF9">
              <w:rPr>
                <w:noProof/>
                <w:lang w:val="bg-BG"/>
              </w:rPr>
              <w:t xml:space="preserve">C5.I2 Преместване на претоварването на железопътната мрежа по коридора TEN-T </w:t>
            </w:r>
          </w:p>
        </w:tc>
        <w:tc>
          <w:tcPr>
            <w:tcW w:w="1096" w:type="dxa"/>
            <w:tcBorders>
              <w:top w:val="nil"/>
              <w:left w:val="nil"/>
              <w:bottom w:val="single" w:sz="4" w:space="0" w:color="auto"/>
              <w:right w:val="single" w:sz="4" w:space="0" w:color="auto"/>
            </w:tcBorders>
            <w:shd w:val="clear" w:color="auto" w:fill="C6EFCE"/>
            <w:noWrap/>
            <w:vAlign w:val="center"/>
            <w:hideMark/>
          </w:tcPr>
          <w:p w14:paraId="4D3F7ABB" w14:textId="77777777"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701" w:type="dxa"/>
            <w:tcBorders>
              <w:top w:val="nil"/>
              <w:left w:val="nil"/>
              <w:bottom w:val="single" w:sz="4" w:space="0" w:color="auto"/>
              <w:right w:val="single" w:sz="4" w:space="0" w:color="auto"/>
            </w:tcBorders>
            <w:shd w:val="clear" w:color="auto" w:fill="C6EFCE"/>
            <w:vAlign w:val="center"/>
            <w:hideMark/>
          </w:tcPr>
          <w:p w14:paraId="17543FF0" w14:textId="77777777" w:rsidR="00CE3BAD" w:rsidRPr="00782BF9" w:rsidRDefault="006B5475">
            <w:pPr>
              <w:pStyle w:val="P68B1DB1-Normal10"/>
              <w:spacing w:after="0" w:line="240" w:lineRule="auto"/>
              <w:rPr>
                <w:rFonts w:eastAsia="Calibri"/>
                <w:noProof/>
                <w:lang w:val="bg-BG"/>
              </w:rPr>
            </w:pPr>
            <w:r w:rsidRPr="00782BF9">
              <w:rPr>
                <w:noProof/>
                <w:lang w:val="bg-BG"/>
              </w:rPr>
              <w:t>Подписване на договор за обновяване на железопътната линия (Almásfüzitő-Komárom)</w:t>
            </w:r>
          </w:p>
        </w:tc>
        <w:tc>
          <w:tcPr>
            <w:tcW w:w="1417" w:type="dxa"/>
            <w:tcBorders>
              <w:top w:val="nil"/>
              <w:left w:val="nil"/>
              <w:bottom w:val="single" w:sz="4" w:space="0" w:color="auto"/>
              <w:right w:val="single" w:sz="4" w:space="0" w:color="auto"/>
            </w:tcBorders>
            <w:shd w:val="clear" w:color="auto" w:fill="C6EFCE"/>
            <w:vAlign w:val="center"/>
            <w:hideMark/>
          </w:tcPr>
          <w:p w14:paraId="1625A92A" w14:textId="77777777" w:rsidR="00CE3BAD" w:rsidRPr="00782BF9" w:rsidRDefault="006B5475">
            <w:pPr>
              <w:pStyle w:val="P68B1DB1-Normal10"/>
              <w:spacing w:after="0" w:line="240" w:lineRule="auto"/>
              <w:rPr>
                <w:rFonts w:eastAsia="Calibri"/>
                <w:noProof/>
                <w:lang w:val="bg-BG"/>
              </w:rPr>
            </w:pPr>
            <w:r w:rsidRPr="00782BF9">
              <w:rPr>
                <w:noProof/>
                <w:lang w:val="bg-BG"/>
              </w:rPr>
              <w:t>Подписване на договор за строителни работи</w:t>
            </w:r>
          </w:p>
        </w:tc>
        <w:tc>
          <w:tcPr>
            <w:tcW w:w="1031" w:type="dxa"/>
            <w:tcBorders>
              <w:top w:val="nil"/>
              <w:left w:val="nil"/>
              <w:bottom w:val="single" w:sz="4" w:space="0" w:color="auto"/>
              <w:right w:val="single" w:sz="4" w:space="0" w:color="auto"/>
            </w:tcBorders>
            <w:shd w:val="clear" w:color="auto" w:fill="C6EFCE"/>
            <w:noWrap/>
            <w:vAlign w:val="center"/>
            <w:hideMark/>
          </w:tcPr>
          <w:p w14:paraId="3DD774F8" w14:textId="70D5157B" w:rsidR="00CE3BAD" w:rsidRPr="00782BF9" w:rsidRDefault="00CE3BAD">
            <w:pPr>
              <w:spacing w:after="0" w:line="240" w:lineRule="auto"/>
              <w:jc w:val="center"/>
              <w:rPr>
                <w:rFonts w:eastAsia="Calibri"/>
                <w:noProof/>
                <w:sz w:val="18"/>
                <w:lang w:val="bg-BG"/>
              </w:rPr>
            </w:pPr>
          </w:p>
        </w:tc>
        <w:tc>
          <w:tcPr>
            <w:tcW w:w="1011" w:type="dxa"/>
            <w:tcBorders>
              <w:top w:val="nil"/>
              <w:left w:val="nil"/>
              <w:bottom w:val="single" w:sz="4" w:space="0" w:color="auto"/>
              <w:right w:val="single" w:sz="4" w:space="0" w:color="auto"/>
            </w:tcBorders>
            <w:shd w:val="clear" w:color="auto" w:fill="C6EFCE"/>
            <w:noWrap/>
            <w:vAlign w:val="center"/>
            <w:hideMark/>
          </w:tcPr>
          <w:p w14:paraId="0DAF173A" w14:textId="39A61595"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hideMark/>
          </w:tcPr>
          <w:p w14:paraId="111ACA57" w14:textId="3396BF62" w:rsidR="00CE3BAD" w:rsidRPr="00782BF9" w:rsidRDefault="00CE3BAD">
            <w:pPr>
              <w:spacing w:after="0" w:line="240" w:lineRule="auto"/>
              <w:jc w:val="center"/>
              <w:rPr>
                <w:rFonts w:eastAsia="Calibri"/>
                <w:noProof/>
                <w:sz w:val="18"/>
                <w:lang w:val="bg-BG"/>
              </w:rPr>
            </w:pPr>
          </w:p>
        </w:tc>
        <w:tc>
          <w:tcPr>
            <w:tcW w:w="832" w:type="dxa"/>
            <w:tcBorders>
              <w:top w:val="nil"/>
              <w:left w:val="nil"/>
              <w:bottom w:val="single" w:sz="4" w:space="0" w:color="auto"/>
              <w:right w:val="single" w:sz="4" w:space="0" w:color="auto"/>
            </w:tcBorders>
            <w:shd w:val="clear" w:color="auto" w:fill="C6EFCE"/>
            <w:vAlign w:val="center"/>
            <w:hideMark/>
          </w:tcPr>
          <w:p w14:paraId="4BD11CE8" w14:textId="3B993063" w:rsidR="00CE3BAD" w:rsidRPr="00782BF9" w:rsidRDefault="006B5475">
            <w:pPr>
              <w:pStyle w:val="P68B1DB1-Normal10"/>
              <w:spacing w:after="0" w:line="240" w:lineRule="auto"/>
              <w:jc w:val="center"/>
              <w:rPr>
                <w:rFonts w:eastAsia="Calibri"/>
                <w:noProof/>
                <w:lang w:val="bg-BG"/>
              </w:rPr>
            </w:pPr>
            <w:r w:rsidRPr="00782BF9">
              <w:rPr>
                <w:noProof/>
                <w:lang w:val="bg-BG"/>
              </w:rPr>
              <w:t>Т1 Г.</w:t>
            </w:r>
          </w:p>
        </w:tc>
        <w:tc>
          <w:tcPr>
            <w:tcW w:w="776" w:type="dxa"/>
            <w:tcBorders>
              <w:top w:val="nil"/>
              <w:left w:val="nil"/>
              <w:bottom w:val="single" w:sz="4" w:space="0" w:color="auto"/>
              <w:right w:val="single" w:sz="4" w:space="0" w:color="auto"/>
            </w:tcBorders>
            <w:shd w:val="clear" w:color="auto" w:fill="C6EFCE"/>
            <w:vAlign w:val="center"/>
            <w:hideMark/>
          </w:tcPr>
          <w:p w14:paraId="304EDE0D" w14:textId="7EE209EC" w:rsidR="00CE3BAD" w:rsidRPr="00782BF9" w:rsidRDefault="006B5475">
            <w:pPr>
              <w:pStyle w:val="P68B1DB1-Normal10"/>
              <w:spacing w:after="0" w:line="240" w:lineRule="auto"/>
              <w:jc w:val="center"/>
              <w:rPr>
                <w:rFonts w:eastAsia="Calibri"/>
                <w:noProof/>
                <w:lang w:val="bg-BG"/>
              </w:rPr>
            </w:pPr>
            <w:r w:rsidRPr="00782BF9">
              <w:rPr>
                <w:noProof/>
                <w:lang w:val="bg-BG"/>
              </w:rPr>
              <w:t>2024</w:t>
            </w:r>
          </w:p>
        </w:tc>
        <w:tc>
          <w:tcPr>
            <w:tcW w:w="3760" w:type="dxa"/>
            <w:tcBorders>
              <w:top w:val="nil"/>
              <w:left w:val="nil"/>
              <w:bottom w:val="single" w:sz="4" w:space="0" w:color="auto"/>
              <w:right w:val="single" w:sz="4" w:space="0" w:color="auto"/>
            </w:tcBorders>
            <w:shd w:val="clear" w:color="auto" w:fill="C6EFCE"/>
            <w:vAlign w:val="center"/>
            <w:hideMark/>
          </w:tcPr>
          <w:p w14:paraId="5CA97688"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Подписване на договори за строителство за подновяване на железопътната линия (отсечката Almásfüzítő-Komárom) след открита процедура за възлагане на обществена поръчка. </w:t>
            </w:r>
          </w:p>
        </w:tc>
      </w:tr>
      <w:tr w:rsidR="00CE3BAD" w:rsidRPr="00782BF9" w14:paraId="4459BD0B" w14:textId="77777777">
        <w:trPr>
          <w:trHeight w:val="41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hideMark/>
          </w:tcPr>
          <w:p w14:paraId="4E77BC24" w14:textId="5C3AB5E2" w:rsidR="00CE3BAD" w:rsidRPr="00782BF9" w:rsidRDefault="006B5475">
            <w:pPr>
              <w:pStyle w:val="P68B1DB1-Normal10"/>
              <w:spacing w:after="0" w:line="240" w:lineRule="auto"/>
              <w:rPr>
                <w:rFonts w:eastAsia="Calibri"/>
                <w:noProof/>
                <w:lang w:val="bg-BG"/>
              </w:rPr>
            </w:pPr>
            <w:r w:rsidRPr="00782BF9">
              <w:rPr>
                <w:noProof/>
                <w:lang w:val="bg-BG"/>
              </w:rPr>
              <w:t>88</w:t>
            </w:r>
          </w:p>
        </w:tc>
        <w:tc>
          <w:tcPr>
            <w:tcW w:w="1598" w:type="dxa"/>
            <w:tcBorders>
              <w:top w:val="single" w:sz="4" w:space="0" w:color="auto"/>
              <w:left w:val="nil"/>
              <w:bottom w:val="single" w:sz="4" w:space="0" w:color="auto"/>
              <w:right w:val="single" w:sz="4" w:space="0" w:color="auto"/>
            </w:tcBorders>
            <w:shd w:val="clear" w:color="auto" w:fill="C6EFCE"/>
            <w:vAlign w:val="center"/>
            <w:hideMark/>
          </w:tcPr>
          <w:p w14:paraId="6279934F" w14:textId="0267CE37" w:rsidR="00CE3BAD" w:rsidRPr="00782BF9" w:rsidRDefault="006B5475">
            <w:pPr>
              <w:pStyle w:val="P68B1DB1-Normal10"/>
              <w:spacing w:after="0" w:line="240" w:lineRule="auto"/>
              <w:rPr>
                <w:rFonts w:eastAsia="Calibri"/>
                <w:noProof/>
                <w:lang w:val="bg-BG"/>
              </w:rPr>
            </w:pPr>
            <w:r w:rsidRPr="00782BF9">
              <w:rPr>
                <w:noProof/>
                <w:lang w:val="bg-BG"/>
              </w:rPr>
              <w:t xml:space="preserve">C5.I2 Преместване на претоварването на железопътната мрежа по коридора TEN-T </w:t>
            </w:r>
          </w:p>
        </w:tc>
        <w:tc>
          <w:tcPr>
            <w:tcW w:w="1096" w:type="dxa"/>
            <w:tcBorders>
              <w:top w:val="nil"/>
              <w:left w:val="nil"/>
              <w:bottom w:val="single" w:sz="4" w:space="0" w:color="auto"/>
              <w:right w:val="single" w:sz="4" w:space="0" w:color="auto"/>
            </w:tcBorders>
            <w:shd w:val="clear" w:color="auto" w:fill="C6EFCE"/>
            <w:noWrap/>
            <w:vAlign w:val="center"/>
            <w:hideMark/>
          </w:tcPr>
          <w:p w14:paraId="6D151C8E"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single" w:sz="4" w:space="0" w:color="auto"/>
              <w:left w:val="nil"/>
              <w:bottom w:val="single" w:sz="4" w:space="0" w:color="auto"/>
              <w:right w:val="single" w:sz="4" w:space="0" w:color="auto"/>
            </w:tcBorders>
            <w:shd w:val="clear" w:color="auto" w:fill="C6EFCE"/>
            <w:vAlign w:val="center"/>
            <w:hideMark/>
          </w:tcPr>
          <w:p w14:paraId="5DF57223" w14:textId="77777777" w:rsidR="00CE3BAD" w:rsidRPr="00782BF9" w:rsidRDefault="006B5475">
            <w:pPr>
              <w:pStyle w:val="P68B1DB1-Normal10"/>
              <w:spacing w:after="0" w:line="240" w:lineRule="auto"/>
              <w:rPr>
                <w:rFonts w:eastAsia="Calibri"/>
                <w:noProof/>
                <w:lang w:val="bg-BG"/>
              </w:rPr>
            </w:pPr>
            <w:r w:rsidRPr="00782BF9">
              <w:rPr>
                <w:noProof/>
                <w:lang w:val="bg-BG"/>
              </w:rPr>
              <w:t>Въвеждане в експлоатация на обновената железопътна линия (Almásfüzitő-Komárom)</w:t>
            </w:r>
          </w:p>
        </w:tc>
        <w:tc>
          <w:tcPr>
            <w:tcW w:w="1417" w:type="dxa"/>
            <w:tcBorders>
              <w:top w:val="nil"/>
              <w:left w:val="nil"/>
              <w:bottom w:val="single" w:sz="4" w:space="0" w:color="auto"/>
              <w:right w:val="single" w:sz="4" w:space="0" w:color="auto"/>
            </w:tcBorders>
            <w:shd w:val="clear" w:color="auto" w:fill="C6EFCE"/>
            <w:vAlign w:val="center"/>
            <w:hideMark/>
          </w:tcPr>
          <w:p w14:paraId="2C28A0FA"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 </w:t>
            </w:r>
          </w:p>
        </w:tc>
        <w:tc>
          <w:tcPr>
            <w:tcW w:w="1031" w:type="dxa"/>
            <w:tcBorders>
              <w:top w:val="nil"/>
              <w:left w:val="nil"/>
              <w:bottom w:val="single" w:sz="4" w:space="0" w:color="auto"/>
              <w:right w:val="single" w:sz="4" w:space="0" w:color="auto"/>
            </w:tcBorders>
            <w:shd w:val="clear" w:color="auto" w:fill="C6EFCE"/>
            <w:noWrap/>
            <w:vAlign w:val="center"/>
            <w:hideMark/>
          </w:tcPr>
          <w:p w14:paraId="2DB45EC1"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километър</w:t>
            </w:r>
          </w:p>
        </w:tc>
        <w:tc>
          <w:tcPr>
            <w:tcW w:w="1011" w:type="dxa"/>
            <w:tcBorders>
              <w:top w:val="nil"/>
              <w:left w:val="nil"/>
              <w:bottom w:val="single" w:sz="4" w:space="0" w:color="auto"/>
              <w:right w:val="single" w:sz="4" w:space="0" w:color="auto"/>
            </w:tcBorders>
            <w:shd w:val="clear" w:color="auto" w:fill="C6EFCE"/>
            <w:noWrap/>
            <w:vAlign w:val="center"/>
            <w:hideMark/>
          </w:tcPr>
          <w:p w14:paraId="7BA3D3F9" w14:textId="3237DC45"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hideMark/>
          </w:tcPr>
          <w:p w14:paraId="5707EAB2"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11</w:t>
            </w:r>
          </w:p>
        </w:tc>
        <w:tc>
          <w:tcPr>
            <w:tcW w:w="832" w:type="dxa"/>
            <w:tcBorders>
              <w:top w:val="nil"/>
              <w:left w:val="nil"/>
              <w:bottom w:val="single" w:sz="4" w:space="0" w:color="auto"/>
              <w:right w:val="single" w:sz="4" w:space="0" w:color="auto"/>
            </w:tcBorders>
            <w:shd w:val="clear" w:color="auto" w:fill="C6EFCE"/>
            <w:vAlign w:val="center"/>
            <w:hideMark/>
          </w:tcPr>
          <w:p w14:paraId="65C39696"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Т1 Г.</w:t>
            </w:r>
          </w:p>
        </w:tc>
        <w:tc>
          <w:tcPr>
            <w:tcW w:w="776" w:type="dxa"/>
            <w:tcBorders>
              <w:top w:val="nil"/>
              <w:left w:val="nil"/>
              <w:bottom w:val="single" w:sz="4" w:space="0" w:color="auto"/>
              <w:right w:val="single" w:sz="4" w:space="0" w:color="auto"/>
            </w:tcBorders>
            <w:shd w:val="clear" w:color="auto" w:fill="C6EFCE"/>
            <w:vAlign w:val="center"/>
            <w:hideMark/>
          </w:tcPr>
          <w:p w14:paraId="1B74F639"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2026</w:t>
            </w:r>
          </w:p>
        </w:tc>
        <w:tc>
          <w:tcPr>
            <w:tcW w:w="3760" w:type="dxa"/>
            <w:tcBorders>
              <w:top w:val="nil"/>
              <w:left w:val="nil"/>
              <w:bottom w:val="single" w:sz="4" w:space="0" w:color="auto"/>
              <w:right w:val="single" w:sz="4" w:space="0" w:color="auto"/>
            </w:tcBorders>
            <w:shd w:val="clear" w:color="auto" w:fill="C6EFCE"/>
            <w:vAlign w:val="center"/>
            <w:hideMark/>
          </w:tcPr>
          <w:p w14:paraId="7116BA9A" w14:textId="215E204A" w:rsidR="00CE3BAD" w:rsidRPr="00782BF9" w:rsidRDefault="006B5475">
            <w:pPr>
              <w:pStyle w:val="P68B1DB1-Normal10"/>
              <w:spacing w:after="0" w:line="240" w:lineRule="auto"/>
              <w:rPr>
                <w:rFonts w:eastAsia="Calibri"/>
                <w:noProof/>
                <w:lang w:val="bg-BG"/>
              </w:rPr>
            </w:pPr>
            <w:r w:rsidRPr="00782BF9">
              <w:rPr>
                <w:noProof/>
                <w:lang w:val="bg-BG"/>
              </w:rPr>
              <w:t xml:space="preserve">Обновената железопътна линия трябва да бъде въведена в експлоатация, като се гарантира скорост от 160 km/h и натоварване на колоос от 225 kN за целия 11-километров участък от линията. Тя трябва да включва реконструкция на главен път № 1 на отделно ниво, както и модернизиране на въздушната контактна линия и на системата за електрозахранване, като направи оборудването за заключване с висока скорост. Тя включва също изграждането/модернизирането на липсващи или остарели съоръжения, включително: </w:t>
            </w:r>
            <w:r w:rsidRPr="00782BF9">
              <w:rPr>
                <w:noProof/>
                <w:lang w:val="bg-BG"/>
              </w:rPr>
              <w:br/>
              <w:t xml:space="preserve">• Изграждане на 3.9 км релсов път </w:t>
            </w:r>
          </w:p>
          <w:p w14:paraId="1001943E"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 Нова инсталация за ротация </w:t>
            </w:r>
          </w:p>
          <w:p w14:paraId="27A0D063"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 Реконструкция на два км надземна контактна линия </w:t>
            </w:r>
          </w:p>
          <w:p w14:paraId="5F6732D7"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 Пет нови надлези за пешеходци </w:t>
            </w:r>
          </w:p>
          <w:p w14:paraId="151649E2" w14:textId="77777777" w:rsidR="00CE3BAD" w:rsidRPr="00782BF9" w:rsidRDefault="006B5475">
            <w:pPr>
              <w:pStyle w:val="P68B1DB1-Normal10"/>
              <w:spacing w:after="0" w:line="240" w:lineRule="auto"/>
              <w:rPr>
                <w:rFonts w:eastAsia="Calibri"/>
                <w:noProof/>
                <w:lang w:val="bg-BG"/>
              </w:rPr>
            </w:pPr>
            <w:r w:rsidRPr="00782BF9">
              <w:rPr>
                <w:noProof/>
                <w:lang w:val="bg-BG"/>
              </w:rPr>
              <w:t>• Две прелези, които трябва да бъдат реконструирани</w:t>
            </w:r>
          </w:p>
          <w:p w14:paraId="131D2C89"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 Изграждане на един надлез за автомобили, пешеходци и велосипедисти </w:t>
            </w:r>
          </w:p>
          <w:p w14:paraId="6142378B" w14:textId="77777777" w:rsidR="00CE3BAD" w:rsidRPr="00782BF9" w:rsidRDefault="006B5475">
            <w:pPr>
              <w:pStyle w:val="P68B1DB1-Normal10"/>
              <w:spacing w:after="0" w:line="240" w:lineRule="auto"/>
              <w:rPr>
                <w:rFonts w:eastAsia="Calibri"/>
                <w:noProof/>
                <w:lang w:val="bg-BG"/>
              </w:rPr>
            </w:pPr>
            <w:r w:rsidRPr="00782BF9">
              <w:rPr>
                <w:noProof/>
                <w:lang w:val="bg-BG"/>
              </w:rPr>
              <w:t>• Изграждане на шумови засенчващи стени.</w:t>
            </w:r>
          </w:p>
        </w:tc>
      </w:tr>
      <w:tr w:rsidR="00CE3BAD" w:rsidRPr="00782BF9" w14:paraId="5593ADAC" w14:textId="77777777">
        <w:trPr>
          <w:trHeight w:val="41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tcPr>
          <w:p w14:paraId="41B617E7" w14:textId="013013AB" w:rsidR="00CE3BAD" w:rsidRPr="00782BF9" w:rsidRDefault="006B5475">
            <w:pPr>
              <w:pStyle w:val="P68B1DB1-Normal10"/>
              <w:spacing w:after="0" w:line="240" w:lineRule="auto"/>
              <w:rPr>
                <w:rFonts w:eastAsia="Calibri"/>
                <w:noProof/>
                <w:lang w:val="bg-BG"/>
              </w:rPr>
            </w:pPr>
            <w:r w:rsidRPr="00782BF9">
              <w:rPr>
                <w:noProof/>
                <w:lang w:val="bg-BG"/>
              </w:rPr>
              <w:t>89</w:t>
            </w:r>
          </w:p>
        </w:tc>
        <w:tc>
          <w:tcPr>
            <w:tcW w:w="1598" w:type="dxa"/>
            <w:tcBorders>
              <w:top w:val="nil"/>
              <w:left w:val="nil"/>
              <w:bottom w:val="single" w:sz="4" w:space="0" w:color="auto"/>
              <w:right w:val="single" w:sz="4" w:space="0" w:color="auto"/>
            </w:tcBorders>
            <w:shd w:val="clear" w:color="auto" w:fill="C6EFCE"/>
            <w:vAlign w:val="center"/>
          </w:tcPr>
          <w:p w14:paraId="01BFC8A5" w14:textId="39CBB8F0" w:rsidR="00CE3BAD" w:rsidRPr="00782BF9" w:rsidRDefault="006B5475">
            <w:pPr>
              <w:pStyle w:val="P68B1DB1-Normal10"/>
              <w:spacing w:after="0" w:line="240" w:lineRule="auto"/>
              <w:rPr>
                <w:rFonts w:eastAsia="Calibri"/>
                <w:noProof/>
                <w:lang w:val="bg-BG"/>
              </w:rPr>
            </w:pPr>
            <w:r w:rsidRPr="00782BF9">
              <w:rPr>
                <w:noProof/>
                <w:lang w:val="bg-BG"/>
              </w:rPr>
              <w:t>C5.I2 Преместване на претоварването на железопътната мрежа по коридора TEN-T</w:t>
            </w:r>
          </w:p>
        </w:tc>
        <w:tc>
          <w:tcPr>
            <w:tcW w:w="1096" w:type="dxa"/>
            <w:tcBorders>
              <w:top w:val="nil"/>
              <w:left w:val="nil"/>
              <w:bottom w:val="single" w:sz="4" w:space="0" w:color="auto"/>
              <w:right w:val="single" w:sz="4" w:space="0" w:color="auto"/>
            </w:tcBorders>
            <w:shd w:val="clear" w:color="auto" w:fill="C6EFCE"/>
            <w:noWrap/>
            <w:vAlign w:val="center"/>
          </w:tcPr>
          <w:p w14:paraId="35811F9C" w14:textId="77777777"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701" w:type="dxa"/>
            <w:tcBorders>
              <w:top w:val="nil"/>
              <w:left w:val="nil"/>
              <w:bottom w:val="single" w:sz="4" w:space="0" w:color="auto"/>
              <w:right w:val="single" w:sz="4" w:space="0" w:color="auto"/>
            </w:tcBorders>
            <w:shd w:val="clear" w:color="auto" w:fill="C6EFCE"/>
            <w:vAlign w:val="center"/>
          </w:tcPr>
          <w:p w14:paraId="35A669F5" w14:textId="77777777" w:rsidR="00CE3BAD" w:rsidRPr="00782BF9" w:rsidRDefault="006B5475">
            <w:pPr>
              <w:pStyle w:val="P68B1DB1-Normal10"/>
              <w:spacing w:after="0" w:line="240" w:lineRule="auto"/>
              <w:rPr>
                <w:rFonts w:eastAsia="Calibri"/>
                <w:noProof/>
                <w:lang w:val="bg-BG"/>
              </w:rPr>
            </w:pPr>
            <w:r w:rsidRPr="00782BF9">
              <w:rPr>
                <w:noProof/>
                <w:lang w:val="bg-BG"/>
              </w:rPr>
              <w:t>Подписване на договор за обновяване на участъка от железопътната линия Békéscsaba-Lőkösháza</w:t>
            </w:r>
          </w:p>
        </w:tc>
        <w:tc>
          <w:tcPr>
            <w:tcW w:w="1417" w:type="dxa"/>
            <w:tcBorders>
              <w:top w:val="nil"/>
              <w:left w:val="nil"/>
              <w:bottom w:val="single" w:sz="4" w:space="0" w:color="auto"/>
              <w:right w:val="single" w:sz="4" w:space="0" w:color="auto"/>
            </w:tcBorders>
            <w:shd w:val="clear" w:color="auto" w:fill="C6EFCE"/>
            <w:vAlign w:val="center"/>
          </w:tcPr>
          <w:p w14:paraId="4C3BB505"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Подписване на договор за строителни работи</w:t>
            </w:r>
          </w:p>
        </w:tc>
        <w:tc>
          <w:tcPr>
            <w:tcW w:w="1031" w:type="dxa"/>
            <w:tcBorders>
              <w:top w:val="nil"/>
              <w:left w:val="nil"/>
              <w:bottom w:val="single" w:sz="4" w:space="0" w:color="auto"/>
              <w:right w:val="single" w:sz="4" w:space="0" w:color="auto"/>
            </w:tcBorders>
            <w:shd w:val="clear" w:color="auto" w:fill="C6EFCE"/>
            <w:noWrap/>
            <w:vAlign w:val="center"/>
          </w:tcPr>
          <w:p w14:paraId="299C5291" w14:textId="3171540F" w:rsidR="00CE3BAD" w:rsidRPr="00782BF9" w:rsidRDefault="00CE3BAD">
            <w:pPr>
              <w:spacing w:after="0" w:line="240" w:lineRule="auto"/>
              <w:jc w:val="center"/>
              <w:rPr>
                <w:rFonts w:eastAsia="Calibri"/>
                <w:noProof/>
                <w:sz w:val="18"/>
                <w:lang w:val="bg-BG"/>
              </w:rPr>
            </w:pPr>
          </w:p>
        </w:tc>
        <w:tc>
          <w:tcPr>
            <w:tcW w:w="1011" w:type="dxa"/>
            <w:tcBorders>
              <w:top w:val="nil"/>
              <w:left w:val="nil"/>
              <w:bottom w:val="single" w:sz="4" w:space="0" w:color="auto"/>
              <w:right w:val="single" w:sz="4" w:space="0" w:color="auto"/>
            </w:tcBorders>
            <w:shd w:val="clear" w:color="auto" w:fill="C6EFCE"/>
            <w:noWrap/>
            <w:vAlign w:val="center"/>
          </w:tcPr>
          <w:p w14:paraId="6D183EAB" w14:textId="63B29E56"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tcPr>
          <w:p w14:paraId="56291696" w14:textId="56712FBE" w:rsidR="00CE3BAD" w:rsidRPr="00782BF9" w:rsidRDefault="00CE3BAD">
            <w:pPr>
              <w:spacing w:after="0" w:line="240" w:lineRule="auto"/>
              <w:jc w:val="center"/>
              <w:rPr>
                <w:rFonts w:eastAsia="Calibri"/>
                <w:noProof/>
                <w:sz w:val="18"/>
                <w:lang w:val="bg-BG"/>
              </w:rPr>
            </w:pPr>
          </w:p>
        </w:tc>
        <w:tc>
          <w:tcPr>
            <w:tcW w:w="832" w:type="dxa"/>
            <w:tcBorders>
              <w:top w:val="nil"/>
              <w:left w:val="nil"/>
              <w:bottom w:val="single" w:sz="4" w:space="0" w:color="auto"/>
              <w:right w:val="single" w:sz="4" w:space="0" w:color="auto"/>
            </w:tcBorders>
            <w:shd w:val="clear" w:color="auto" w:fill="C6EFCE"/>
            <w:vAlign w:val="center"/>
          </w:tcPr>
          <w:p w14:paraId="01546B10"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tcPr>
          <w:p w14:paraId="1E9BEDE0"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2021</w:t>
            </w:r>
          </w:p>
        </w:tc>
        <w:tc>
          <w:tcPr>
            <w:tcW w:w="3760" w:type="dxa"/>
            <w:tcBorders>
              <w:top w:val="nil"/>
              <w:left w:val="nil"/>
              <w:bottom w:val="single" w:sz="4" w:space="0" w:color="auto"/>
              <w:right w:val="single" w:sz="4" w:space="0" w:color="auto"/>
            </w:tcBorders>
            <w:shd w:val="clear" w:color="auto" w:fill="C6EFCE"/>
            <w:vAlign w:val="center"/>
          </w:tcPr>
          <w:p w14:paraId="5F017288" w14:textId="77777777" w:rsidR="00CE3BAD" w:rsidRPr="00782BF9" w:rsidRDefault="006B5475">
            <w:pPr>
              <w:pStyle w:val="P68B1DB1-Normal10"/>
              <w:spacing w:after="0" w:line="240" w:lineRule="auto"/>
              <w:rPr>
                <w:rFonts w:eastAsia="Calibri"/>
                <w:noProof/>
                <w:lang w:val="bg-BG"/>
              </w:rPr>
            </w:pPr>
            <w:r w:rsidRPr="00782BF9">
              <w:rPr>
                <w:noProof/>
                <w:lang w:val="bg-BG"/>
              </w:rPr>
              <w:t>Подписване на договори за строителство за подновяване на железопътната линия (Békéscsaba-Lőkösháza) след открита процедура за възлагане на обществена поръчка.</w:t>
            </w:r>
          </w:p>
        </w:tc>
      </w:tr>
      <w:tr w:rsidR="00CE3BAD" w:rsidRPr="00782BF9" w14:paraId="771719FB" w14:textId="77777777">
        <w:trPr>
          <w:trHeight w:val="41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hideMark/>
          </w:tcPr>
          <w:p w14:paraId="1D7A94F9" w14:textId="43F6F118" w:rsidR="00CE3BAD" w:rsidRPr="00782BF9" w:rsidRDefault="006B5475">
            <w:pPr>
              <w:pStyle w:val="P68B1DB1-Normal10"/>
              <w:spacing w:after="0" w:line="240" w:lineRule="auto"/>
              <w:rPr>
                <w:rFonts w:eastAsia="Calibri"/>
                <w:noProof/>
                <w:lang w:val="bg-BG"/>
              </w:rPr>
            </w:pPr>
            <w:r w:rsidRPr="00782BF9">
              <w:rPr>
                <w:noProof/>
                <w:lang w:val="bg-BG"/>
              </w:rPr>
              <w:t>90</w:t>
            </w:r>
          </w:p>
        </w:tc>
        <w:tc>
          <w:tcPr>
            <w:tcW w:w="1598" w:type="dxa"/>
            <w:tcBorders>
              <w:top w:val="nil"/>
              <w:left w:val="nil"/>
              <w:bottom w:val="single" w:sz="4" w:space="0" w:color="auto"/>
              <w:right w:val="single" w:sz="4" w:space="0" w:color="auto"/>
            </w:tcBorders>
            <w:shd w:val="clear" w:color="auto" w:fill="C6EFCE"/>
            <w:vAlign w:val="center"/>
            <w:hideMark/>
          </w:tcPr>
          <w:p w14:paraId="02B1E71B" w14:textId="2AB31B3A" w:rsidR="00CE3BAD" w:rsidRPr="00782BF9" w:rsidRDefault="006B5475">
            <w:pPr>
              <w:pStyle w:val="P68B1DB1-Normal10"/>
              <w:spacing w:after="0" w:line="240" w:lineRule="auto"/>
              <w:rPr>
                <w:rFonts w:eastAsia="Calibri"/>
                <w:noProof/>
                <w:lang w:val="bg-BG"/>
              </w:rPr>
            </w:pPr>
            <w:r w:rsidRPr="00782BF9">
              <w:rPr>
                <w:noProof/>
                <w:lang w:val="bg-BG"/>
              </w:rPr>
              <w:t>C5.I2 Преместване на претоварването на железопътната мрежа по коридора TEN-T</w:t>
            </w:r>
          </w:p>
        </w:tc>
        <w:tc>
          <w:tcPr>
            <w:tcW w:w="1096" w:type="dxa"/>
            <w:tcBorders>
              <w:top w:val="nil"/>
              <w:left w:val="nil"/>
              <w:bottom w:val="single" w:sz="4" w:space="0" w:color="auto"/>
              <w:right w:val="single" w:sz="4" w:space="0" w:color="auto"/>
            </w:tcBorders>
            <w:shd w:val="clear" w:color="auto" w:fill="C6EFCE"/>
            <w:noWrap/>
            <w:vAlign w:val="center"/>
            <w:hideMark/>
          </w:tcPr>
          <w:p w14:paraId="7DFBB7B1"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hideMark/>
          </w:tcPr>
          <w:p w14:paraId="3CC30D0B" w14:textId="77777777" w:rsidR="00CE3BAD" w:rsidRPr="00782BF9" w:rsidRDefault="006B5475">
            <w:pPr>
              <w:pStyle w:val="P68B1DB1-Normal10"/>
              <w:spacing w:after="0" w:line="240" w:lineRule="auto"/>
              <w:rPr>
                <w:rFonts w:eastAsia="Calibri"/>
                <w:noProof/>
                <w:lang w:val="bg-BG"/>
              </w:rPr>
            </w:pPr>
            <w:r w:rsidRPr="00782BF9">
              <w:rPr>
                <w:noProof/>
                <w:lang w:val="bg-BG"/>
              </w:rPr>
              <w:t>Въвеждане в експлоатация на обновената железопътна линия (участък от железопътната линия Békéscsaba-Lőkösháza)</w:t>
            </w:r>
          </w:p>
        </w:tc>
        <w:tc>
          <w:tcPr>
            <w:tcW w:w="1417" w:type="dxa"/>
            <w:tcBorders>
              <w:top w:val="nil"/>
              <w:left w:val="nil"/>
              <w:bottom w:val="single" w:sz="4" w:space="0" w:color="auto"/>
              <w:right w:val="single" w:sz="4" w:space="0" w:color="auto"/>
            </w:tcBorders>
            <w:shd w:val="clear" w:color="auto" w:fill="C6EFCE"/>
            <w:vAlign w:val="center"/>
            <w:hideMark/>
          </w:tcPr>
          <w:p w14:paraId="21D846A0" w14:textId="77777777" w:rsidR="00CE3BAD" w:rsidRPr="00782BF9" w:rsidRDefault="00CE3BAD">
            <w:pPr>
              <w:spacing w:after="0" w:line="240" w:lineRule="auto"/>
              <w:jc w:val="center"/>
              <w:rPr>
                <w:rFonts w:eastAsia="Calibri"/>
                <w:noProof/>
                <w:sz w:val="18"/>
                <w:lang w:val="bg-BG"/>
              </w:rPr>
            </w:pPr>
          </w:p>
        </w:tc>
        <w:tc>
          <w:tcPr>
            <w:tcW w:w="1031" w:type="dxa"/>
            <w:tcBorders>
              <w:top w:val="nil"/>
              <w:left w:val="nil"/>
              <w:bottom w:val="single" w:sz="4" w:space="0" w:color="auto"/>
              <w:right w:val="single" w:sz="4" w:space="0" w:color="auto"/>
            </w:tcBorders>
            <w:shd w:val="clear" w:color="auto" w:fill="C6EFCE"/>
            <w:noWrap/>
            <w:vAlign w:val="center"/>
            <w:hideMark/>
          </w:tcPr>
          <w:p w14:paraId="011A239F"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километър</w:t>
            </w:r>
          </w:p>
        </w:tc>
        <w:tc>
          <w:tcPr>
            <w:tcW w:w="1011" w:type="dxa"/>
            <w:tcBorders>
              <w:top w:val="nil"/>
              <w:left w:val="nil"/>
              <w:bottom w:val="single" w:sz="4" w:space="0" w:color="auto"/>
              <w:right w:val="single" w:sz="4" w:space="0" w:color="auto"/>
            </w:tcBorders>
            <w:shd w:val="clear" w:color="auto" w:fill="C6EFCE"/>
            <w:noWrap/>
            <w:vAlign w:val="center"/>
            <w:hideMark/>
          </w:tcPr>
          <w:p w14:paraId="62D546C7" w14:textId="1DB680E3"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hideMark/>
          </w:tcPr>
          <w:p w14:paraId="2B092D17"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30,3</w:t>
            </w:r>
          </w:p>
        </w:tc>
        <w:tc>
          <w:tcPr>
            <w:tcW w:w="832" w:type="dxa"/>
            <w:tcBorders>
              <w:top w:val="nil"/>
              <w:left w:val="nil"/>
              <w:bottom w:val="single" w:sz="4" w:space="0" w:color="auto"/>
              <w:right w:val="single" w:sz="4" w:space="0" w:color="auto"/>
            </w:tcBorders>
            <w:shd w:val="clear" w:color="auto" w:fill="C6EFCE"/>
            <w:vAlign w:val="center"/>
            <w:hideMark/>
          </w:tcPr>
          <w:p w14:paraId="1A13A6C5" w14:textId="40A39945" w:rsidR="00CE3BAD" w:rsidRPr="00782BF9" w:rsidRDefault="006B5475">
            <w:pPr>
              <w:pStyle w:val="P68B1DB1-Normal10"/>
              <w:spacing w:after="0" w:line="240" w:lineRule="auto"/>
              <w:jc w:val="center"/>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hideMark/>
          </w:tcPr>
          <w:p w14:paraId="7EF19E1E" w14:textId="5F3BD3B1" w:rsidR="00CE3BAD" w:rsidRPr="00782BF9" w:rsidRDefault="006B5475">
            <w:pPr>
              <w:pStyle w:val="P68B1DB1-Normal10"/>
              <w:spacing w:after="0" w:line="240" w:lineRule="auto"/>
              <w:jc w:val="center"/>
              <w:rPr>
                <w:rFonts w:eastAsia="Calibri"/>
                <w:noProof/>
                <w:lang w:val="bg-BG"/>
              </w:rPr>
            </w:pPr>
            <w:r w:rsidRPr="00782BF9">
              <w:rPr>
                <w:noProof/>
                <w:lang w:val="bg-BG"/>
              </w:rPr>
              <w:t>2026</w:t>
            </w:r>
          </w:p>
        </w:tc>
        <w:tc>
          <w:tcPr>
            <w:tcW w:w="3760" w:type="dxa"/>
            <w:tcBorders>
              <w:top w:val="nil"/>
              <w:left w:val="nil"/>
              <w:bottom w:val="single" w:sz="4" w:space="0" w:color="auto"/>
              <w:right w:val="single" w:sz="4" w:space="0" w:color="auto"/>
            </w:tcBorders>
            <w:shd w:val="clear" w:color="auto" w:fill="C6EFCE"/>
            <w:vAlign w:val="center"/>
            <w:hideMark/>
          </w:tcPr>
          <w:p w14:paraId="164BDAD7" w14:textId="77777777" w:rsidR="00CE3BAD" w:rsidRPr="00782BF9" w:rsidRDefault="006B5475">
            <w:pPr>
              <w:pStyle w:val="P68B1DB1-Normal10"/>
              <w:spacing w:after="0" w:line="240" w:lineRule="auto"/>
              <w:rPr>
                <w:rFonts w:eastAsia="Calibri"/>
                <w:noProof/>
                <w:lang w:val="bg-BG"/>
              </w:rPr>
            </w:pPr>
            <w:r w:rsidRPr="00782BF9">
              <w:rPr>
                <w:noProof/>
                <w:lang w:val="bg-BG"/>
              </w:rPr>
              <w:t>Обновеният участък от железопътната линия Békéscsaba-Lőkösháza трябва да бъде въведен в експлоатация, като се гарантира скорост от 160 km/h и натоварване на осите от 225 kN. Това включва изграждането на втори паралелен коловоз, разработването на система за контрол на влаковете ETCS ниво 2 и модернизацията на гарите Kétegyháza и Lőkösháza.</w:t>
            </w:r>
          </w:p>
        </w:tc>
      </w:tr>
      <w:tr w:rsidR="00CE3BAD" w:rsidRPr="00782BF9" w14:paraId="13310839" w14:textId="77777777">
        <w:trPr>
          <w:trHeight w:val="456"/>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tcPr>
          <w:p w14:paraId="4C4CB502" w14:textId="46C4859D" w:rsidR="00CE3BAD" w:rsidRPr="00782BF9" w:rsidRDefault="006B5475">
            <w:pPr>
              <w:pStyle w:val="P68B1DB1-Normal10"/>
              <w:spacing w:after="0" w:line="240" w:lineRule="auto"/>
              <w:rPr>
                <w:rFonts w:eastAsia="Calibri"/>
                <w:noProof/>
                <w:lang w:val="bg-BG"/>
              </w:rPr>
            </w:pPr>
            <w:r w:rsidRPr="00782BF9">
              <w:rPr>
                <w:noProof/>
                <w:lang w:val="bg-BG"/>
              </w:rPr>
              <w:t>91</w:t>
            </w:r>
          </w:p>
        </w:tc>
        <w:tc>
          <w:tcPr>
            <w:tcW w:w="1598" w:type="dxa"/>
            <w:tcBorders>
              <w:top w:val="single" w:sz="4" w:space="0" w:color="auto"/>
              <w:left w:val="nil"/>
              <w:bottom w:val="single" w:sz="4" w:space="0" w:color="auto"/>
              <w:right w:val="single" w:sz="4" w:space="0" w:color="auto"/>
            </w:tcBorders>
            <w:shd w:val="clear" w:color="auto" w:fill="C6EFCE"/>
            <w:vAlign w:val="center"/>
          </w:tcPr>
          <w:p w14:paraId="35C8ED43" w14:textId="43C3FFF9" w:rsidR="00CE3BAD" w:rsidRPr="00782BF9" w:rsidRDefault="006B5475">
            <w:pPr>
              <w:pStyle w:val="P68B1DB1-Normal10"/>
              <w:spacing w:after="0" w:line="240" w:lineRule="auto"/>
              <w:rPr>
                <w:rFonts w:eastAsia="Calibri"/>
                <w:noProof/>
                <w:lang w:val="bg-BG"/>
              </w:rPr>
            </w:pPr>
            <w:r w:rsidRPr="00782BF9">
              <w:rPr>
                <w:noProof/>
                <w:lang w:val="bg-BG"/>
              </w:rPr>
              <w:t>C5.I3 Развитие на автобусен транспорт с нулеви емисии</w:t>
            </w:r>
          </w:p>
          <w:p w14:paraId="7842ED84" w14:textId="77777777" w:rsidR="00CE3BAD" w:rsidRPr="00782BF9" w:rsidRDefault="00CE3BAD">
            <w:pPr>
              <w:spacing w:after="0" w:line="240" w:lineRule="auto"/>
              <w:rPr>
                <w:rFonts w:eastAsia="Calibri"/>
                <w:strike/>
                <w:noProof/>
                <w:sz w:val="18"/>
                <w:lang w:val="bg-BG"/>
              </w:rPr>
            </w:pPr>
          </w:p>
        </w:tc>
        <w:tc>
          <w:tcPr>
            <w:tcW w:w="1096" w:type="dxa"/>
            <w:tcBorders>
              <w:top w:val="nil"/>
              <w:left w:val="nil"/>
              <w:bottom w:val="single" w:sz="4" w:space="0" w:color="auto"/>
              <w:right w:val="single" w:sz="4" w:space="0" w:color="auto"/>
            </w:tcBorders>
            <w:shd w:val="clear" w:color="auto" w:fill="C6EFCE"/>
            <w:noWrap/>
            <w:vAlign w:val="center"/>
          </w:tcPr>
          <w:p w14:paraId="3A9EDA6A" w14:textId="77777777"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701" w:type="dxa"/>
            <w:tcBorders>
              <w:top w:val="single" w:sz="4" w:space="0" w:color="auto"/>
              <w:left w:val="nil"/>
              <w:bottom w:val="single" w:sz="4" w:space="0" w:color="auto"/>
              <w:right w:val="single" w:sz="4" w:space="0" w:color="auto"/>
            </w:tcBorders>
            <w:shd w:val="clear" w:color="auto" w:fill="C6EFCE"/>
            <w:vAlign w:val="center"/>
          </w:tcPr>
          <w:p w14:paraId="7B2DD8EA" w14:textId="77777777" w:rsidR="00CE3BAD" w:rsidRPr="00782BF9" w:rsidRDefault="006B5475">
            <w:pPr>
              <w:pStyle w:val="P68B1DB1-Normal10"/>
              <w:spacing w:after="0" w:line="240" w:lineRule="auto"/>
              <w:rPr>
                <w:rFonts w:eastAsia="Calibri"/>
                <w:noProof/>
                <w:lang w:val="bg-BG"/>
              </w:rPr>
            </w:pPr>
            <w:r w:rsidRPr="00782BF9">
              <w:rPr>
                <w:noProof/>
                <w:lang w:val="bg-BG"/>
              </w:rPr>
              <w:t>Подписване на договори за предоставяне на безвъзмездна финансова помощ за закупуване на нови електрически автобуси и инсталиране на зарядни точки</w:t>
            </w:r>
          </w:p>
        </w:tc>
        <w:tc>
          <w:tcPr>
            <w:tcW w:w="1417" w:type="dxa"/>
            <w:tcBorders>
              <w:top w:val="nil"/>
              <w:left w:val="nil"/>
              <w:bottom w:val="single" w:sz="4" w:space="0" w:color="auto"/>
              <w:right w:val="single" w:sz="4" w:space="0" w:color="auto"/>
            </w:tcBorders>
            <w:shd w:val="clear" w:color="auto" w:fill="C6EFCE"/>
            <w:vAlign w:val="center"/>
          </w:tcPr>
          <w:p w14:paraId="28E782FE" w14:textId="77777777" w:rsidR="00CE3BAD" w:rsidRPr="00782BF9" w:rsidRDefault="006B5475">
            <w:pPr>
              <w:pStyle w:val="P68B1DB1-Normal10"/>
              <w:spacing w:after="0" w:line="240" w:lineRule="auto"/>
              <w:rPr>
                <w:rFonts w:eastAsia="Calibri"/>
                <w:strike/>
                <w:noProof/>
                <w:lang w:val="bg-BG"/>
              </w:rPr>
            </w:pPr>
            <w:r w:rsidRPr="00782BF9">
              <w:rPr>
                <w:noProof/>
                <w:lang w:val="bg-BG"/>
              </w:rPr>
              <w:t>Подписване на споразумения за отпускане на безвъзмездни средства с общини или дружества за обществен пътнически транспорт</w:t>
            </w:r>
          </w:p>
        </w:tc>
        <w:tc>
          <w:tcPr>
            <w:tcW w:w="1031" w:type="dxa"/>
            <w:tcBorders>
              <w:top w:val="nil"/>
              <w:left w:val="nil"/>
              <w:bottom w:val="single" w:sz="4" w:space="0" w:color="auto"/>
              <w:right w:val="single" w:sz="4" w:space="0" w:color="auto"/>
            </w:tcBorders>
            <w:shd w:val="clear" w:color="auto" w:fill="C6EFCE"/>
            <w:noWrap/>
            <w:vAlign w:val="center"/>
          </w:tcPr>
          <w:p w14:paraId="54991906" w14:textId="72A506A2" w:rsidR="00CE3BAD" w:rsidRPr="00782BF9" w:rsidRDefault="00CE3BAD">
            <w:pPr>
              <w:spacing w:after="0" w:line="240" w:lineRule="auto"/>
              <w:jc w:val="center"/>
              <w:rPr>
                <w:rFonts w:eastAsia="Calibri"/>
                <w:noProof/>
                <w:sz w:val="18"/>
                <w:lang w:val="bg-BG"/>
              </w:rPr>
            </w:pPr>
          </w:p>
        </w:tc>
        <w:tc>
          <w:tcPr>
            <w:tcW w:w="1011" w:type="dxa"/>
            <w:tcBorders>
              <w:top w:val="nil"/>
              <w:left w:val="nil"/>
              <w:bottom w:val="single" w:sz="4" w:space="0" w:color="auto"/>
              <w:right w:val="single" w:sz="4" w:space="0" w:color="auto"/>
            </w:tcBorders>
            <w:shd w:val="clear" w:color="auto" w:fill="C6EFCE"/>
            <w:noWrap/>
            <w:vAlign w:val="center"/>
          </w:tcPr>
          <w:p w14:paraId="1061D15A" w14:textId="3FFC5F7A"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tcPr>
          <w:p w14:paraId="13A918D4" w14:textId="4FE79114" w:rsidR="00CE3BAD" w:rsidRPr="00782BF9" w:rsidRDefault="00CE3BAD">
            <w:pPr>
              <w:spacing w:after="0" w:line="240" w:lineRule="auto"/>
              <w:jc w:val="center"/>
              <w:rPr>
                <w:rFonts w:eastAsia="Calibri"/>
                <w:noProof/>
                <w:sz w:val="18"/>
                <w:lang w:val="bg-BG"/>
              </w:rPr>
            </w:pPr>
          </w:p>
        </w:tc>
        <w:tc>
          <w:tcPr>
            <w:tcW w:w="832" w:type="dxa"/>
            <w:tcBorders>
              <w:top w:val="nil"/>
              <w:left w:val="nil"/>
              <w:bottom w:val="single" w:sz="4" w:space="0" w:color="auto"/>
              <w:right w:val="single" w:sz="4" w:space="0" w:color="auto"/>
            </w:tcBorders>
            <w:shd w:val="clear" w:color="auto" w:fill="C6EFCE"/>
            <w:vAlign w:val="center"/>
          </w:tcPr>
          <w:p w14:paraId="592A3A28" w14:textId="15350F29" w:rsidR="00CE3BAD" w:rsidRPr="00782BF9" w:rsidRDefault="006B5475">
            <w:pPr>
              <w:pStyle w:val="P68B1DB1-Normal10"/>
              <w:spacing w:after="0" w:line="240" w:lineRule="auto"/>
              <w:jc w:val="center"/>
              <w:rPr>
                <w:rFonts w:eastAsia="Calibri"/>
                <w:noProof/>
                <w:lang w:val="bg-BG"/>
              </w:rPr>
            </w:pPr>
            <w:r w:rsidRPr="00782BF9">
              <w:rPr>
                <w:noProof/>
                <w:lang w:val="bg-BG"/>
              </w:rPr>
              <w:t>Т1 Г.</w:t>
            </w:r>
          </w:p>
        </w:tc>
        <w:tc>
          <w:tcPr>
            <w:tcW w:w="776" w:type="dxa"/>
            <w:tcBorders>
              <w:top w:val="nil"/>
              <w:left w:val="nil"/>
              <w:bottom w:val="single" w:sz="4" w:space="0" w:color="auto"/>
              <w:right w:val="single" w:sz="4" w:space="0" w:color="auto"/>
            </w:tcBorders>
            <w:shd w:val="clear" w:color="auto" w:fill="C6EFCE"/>
            <w:vAlign w:val="center"/>
          </w:tcPr>
          <w:p w14:paraId="4405F2C3" w14:textId="2F9353EA" w:rsidR="00CE3BAD" w:rsidRPr="00782BF9" w:rsidRDefault="006B5475">
            <w:pPr>
              <w:pStyle w:val="P68B1DB1-Normal10"/>
              <w:spacing w:after="0" w:line="240" w:lineRule="auto"/>
              <w:jc w:val="center"/>
              <w:rPr>
                <w:rFonts w:eastAsia="Calibri"/>
                <w:noProof/>
                <w:lang w:val="bg-BG"/>
              </w:rPr>
            </w:pPr>
            <w:r w:rsidRPr="00782BF9">
              <w:rPr>
                <w:noProof/>
                <w:lang w:val="bg-BG"/>
              </w:rPr>
              <w:t>2024</w:t>
            </w:r>
          </w:p>
        </w:tc>
        <w:tc>
          <w:tcPr>
            <w:tcW w:w="3760" w:type="dxa"/>
            <w:tcBorders>
              <w:top w:val="nil"/>
              <w:left w:val="nil"/>
              <w:bottom w:val="single" w:sz="4" w:space="0" w:color="auto"/>
              <w:right w:val="single" w:sz="4" w:space="0" w:color="auto"/>
            </w:tcBorders>
            <w:shd w:val="clear" w:color="auto" w:fill="C6EFCE"/>
            <w:vAlign w:val="center"/>
          </w:tcPr>
          <w:p w14:paraId="333F01B3" w14:textId="6449BAF1" w:rsidR="00CE3BAD" w:rsidRPr="00782BF9" w:rsidRDefault="006B5475">
            <w:pPr>
              <w:pStyle w:val="P68B1DB1-Normal10"/>
              <w:spacing w:after="0" w:line="240" w:lineRule="auto"/>
              <w:rPr>
                <w:rFonts w:eastAsia="Calibri"/>
                <w:strike/>
                <w:noProof/>
                <w:lang w:val="bg-BG"/>
              </w:rPr>
            </w:pPr>
            <w:r w:rsidRPr="00782BF9">
              <w:rPr>
                <w:noProof/>
                <w:lang w:val="bg-BG"/>
              </w:rPr>
              <w:t xml:space="preserve">Подписването на споразумения за отпускане на безвъзмездни средства, сключени с всички избрани крайни получатели (общини и дружества за обществени транспортни услуги във всички градове с повече от 25 000 жители, са допустими) в резултат на провеждането на открита и прозрачна покана за представяне на предложения и процедура за подбор за закупуване на 300 нови автобуса само с електрическо задвижване. Подборът на крайните получатели гарантира, че колкото е възможно повече остарели превозни средства се заменят. </w:t>
            </w:r>
          </w:p>
        </w:tc>
      </w:tr>
      <w:tr w:rsidR="00CE3BAD" w:rsidRPr="00782BF9" w14:paraId="27746B2E" w14:textId="77777777">
        <w:trPr>
          <w:trHeight w:val="93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hideMark/>
          </w:tcPr>
          <w:p w14:paraId="5B151E2A" w14:textId="02BFD092" w:rsidR="00CE3BAD" w:rsidRPr="00782BF9" w:rsidRDefault="006B5475">
            <w:pPr>
              <w:pStyle w:val="P68B1DB1-Normal10"/>
              <w:spacing w:after="0" w:line="240" w:lineRule="auto"/>
              <w:rPr>
                <w:rFonts w:eastAsia="Calibri"/>
                <w:noProof/>
                <w:lang w:val="bg-BG"/>
              </w:rPr>
            </w:pPr>
            <w:r w:rsidRPr="00782BF9">
              <w:rPr>
                <w:noProof/>
                <w:lang w:val="bg-BG"/>
              </w:rPr>
              <w:t>92</w:t>
            </w:r>
          </w:p>
        </w:tc>
        <w:tc>
          <w:tcPr>
            <w:tcW w:w="1598" w:type="dxa"/>
            <w:tcBorders>
              <w:top w:val="nil"/>
              <w:left w:val="nil"/>
              <w:bottom w:val="single" w:sz="4" w:space="0" w:color="auto"/>
              <w:right w:val="single" w:sz="4" w:space="0" w:color="auto"/>
            </w:tcBorders>
            <w:shd w:val="clear" w:color="auto" w:fill="C6EFCE"/>
            <w:vAlign w:val="center"/>
            <w:hideMark/>
          </w:tcPr>
          <w:p w14:paraId="54331895" w14:textId="1CC3B730" w:rsidR="00CE3BAD" w:rsidRPr="00782BF9" w:rsidRDefault="006B5475">
            <w:pPr>
              <w:pStyle w:val="P68B1DB1-Normal10"/>
              <w:spacing w:after="0" w:line="240" w:lineRule="auto"/>
              <w:rPr>
                <w:rFonts w:eastAsia="Calibri"/>
                <w:noProof/>
                <w:lang w:val="bg-BG"/>
              </w:rPr>
            </w:pPr>
            <w:r w:rsidRPr="00782BF9">
              <w:rPr>
                <w:noProof/>
                <w:lang w:val="bg-BG"/>
              </w:rPr>
              <w:t>C5.I3 Развитие на автобусен транспорт с нулеви емисии</w:t>
            </w:r>
          </w:p>
        </w:tc>
        <w:tc>
          <w:tcPr>
            <w:tcW w:w="1096" w:type="dxa"/>
            <w:tcBorders>
              <w:top w:val="nil"/>
              <w:left w:val="nil"/>
              <w:bottom w:val="single" w:sz="4" w:space="0" w:color="auto"/>
              <w:right w:val="single" w:sz="4" w:space="0" w:color="auto"/>
            </w:tcBorders>
            <w:shd w:val="clear" w:color="auto" w:fill="C6EFCE"/>
            <w:noWrap/>
            <w:vAlign w:val="center"/>
            <w:hideMark/>
          </w:tcPr>
          <w:p w14:paraId="4742F87A"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hideMark/>
          </w:tcPr>
          <w:p w14:paraId="6F432CD2" w14:textId="77777777" w:rsidR="00CE3BAD" w:rsidRPr="00782BF9" w:rsidRDefault="006B5475">
            <w:pPr>
              <w:pStyle w:val="P68B1DB1-Normal10"/>
              <w:spacing w:after="0" w:line="240" w:lineRule="auto"/>
              <w:rPr>
                <w:rFonts w:eastAsia="Calibri"/>
                <w:noProof/>
                <w:lang w:val="bg-BG"/>
              </w:rPr>
            </w:pPr>
            <w:r w:rsidRPr="00782BF9">
              <w:rPr>
                <w:noProof/>
                <w:lang w:val="bg-BG"/>
              </w:rPr>
              <w:t>Въвеждане в експлоатация на допълнителни електрически автобуси и свързаните с тях зарядни точки</w:t>
            </w:r>
          </w:p>
        </w:tc>
        <w:tc>
          <w:tcPr>
            <w:tcW w:w="1417" w:type="dxa"/>
            <w:tcBorders>
              <w:top w:val="nil"/>
              <w:left w:val="nil"/>
              <w:bottom w:val="single" w:sz="4" w:space="0" w:color="auto"/>
              <w:right w:val="single" w:sz="4" w:space="0" w:color="auto"/>
            </w:tcBorders>
            <w:shd w:val="clear" w:color="auto" w:fill="C6EFCE"/>
            <w:vAlign w:val="center"/>
            <w:hideMark/>
          </w:tcPr>
          <w:p w14:paraId="7F1B5F95"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 </w:t>
            </w:r>
          </w:p>
        </w:tc>
        <w:tc>
          <w:tcPr>
            <w:tcW w:w="1031" w:type="dxa"/>
            <w:tcBorders>
              <w:top w:val="nil"/>
              <w:left w:val="nil"/>
              <w:bottom w:val="single" w:sz="4" w:space="0" w:color="auto"/>
              <w:right w:val="single" w:sz="4" w:space="0" w:color="auto"/>
            </w:tcBorders>
            <w:shd w:val="clear" w:color="auto" w:fill="C6EFCE"/>
            <w:noWrap/>
            <w:vAlign w:val="center"/>
            <w:hideMark/>
          </w:tcPr>
          <w:p w14:paraId="582EDB87"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Брой</w:t>
            </w:r>
          </w:p>
        </w:tc>
        <w:tc>
          <w:tcPr>
            <w:tcW w:w="1011" w:type="dxa"/>
            <w:tcBorders>
              <w:top w:val="nil"/>
              <w:left w:val="nil"/>
              <w:bottom w:val="single" w:sz="4" w:space="0" w:color="auto"/>
              <w:right w:val="single" w:sz="4" w:space="0" w:color="auto"/>
            </w:tcBorders>
            <w:shd w:val="clear" w:color="auto" w:fill="C6EFCE"/>
            <w:noWrap/>
            <w:vAlign w:val="center"/>
            <w:hideMark/>
          </w:tcPr>
          <w:p w14:paraId="18A8A263" w14:textId="77A2870F"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hideMark/>
          </w:tcPr>
          <w:p w14:paraId="186A695D"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100</w:t>
            </w:r>
          </w:p>
        </w:tc>
        <w:tc>
          <w:tcPr>
            <w:tcW w:w="832" w:type="dxa"/>
            <w:tcBorders>
              <w:top w:val="nil"/>
              <w:left w:val="nil"/>
              <w:bottom w:val="single" w:sz="4" w:space="0" w:color="auto"/>
              <w:right w:val="single" w:sz="4" w:space="0" w:color="auto"/>
            </w:tcBorders>
            <w:shd w:val="clear" w:color="auto" w:fill="C6EFCE"/>
            <w:vAlign w:val="center"/>
            <w:hideMark/>
          </w:tcPr>
          <w:p w14:paraId="4558CD82"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Т1 Г.</w:t>
            </w:r>
          </w:p>
        </w:tc>
        <w:tc>
          <w:tcPr>
            <w:tcW w:w="776" w:type="dxa"/>
            <w:tcBorders>
              <w:top w:val="nil"/>
              <w:left w:val="nil"/>
              <w:bottom w:val="single" w:sz="4" w:space="0" w:color="auto"/>
              <w:right w:val="single" w:sz="4" w:space="0" w:color="auto"/>
            </w:tcBorders>
            <w:shd w:val="clear" w:color="auto" w:fill="C6EFCE"/>
            <w:vAlign w:val="center"/>
            <w:hideMark/>
          </w:tcPr>
          <w:p w14:paraId="7AD0BAF5"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2025</w:t>
            </w:r>
          </w:p>
        </w:tc>
        <w:tc>
          <w:tcPr>
            <w:tcW w:w="3760" w:type="dxa"/>
            <w:tcBorders>
              <w:top w:val="nil"/>
              <w:left w:val="nil"/>
              <w:bottom w:val="single" w:sz="4" w:space="0" w:color="auto"/>
              <w:right w:val="single" w:sz="4" w:space="0" w:color="auto"/>
            </w:tcBorders>
            <w:shd w:val="clear" w:color="auto" w:fill="C6EFCE"/>
            <w:vAlign w:val="center"/>
            <w:hideMark/>
          </w:tcPr>
          <w:p w14:paraId="34A134D4" w14:textId="77777777" w:rsidR="00CE3BAD" w:rsidRPr="00782BF9" w:rsidRDefault="006B5475">
            <w:pPr>
              <w:pStyle w:val="P68B1DB1-Normal10"/>
              <w:spacing w:after="0" w:line="240" w:lineRule="auto"/>
              <w:rPr>
                <w:rFonts w:eastAsia="Calibri"/>
                <w:noProof/>
                <w:lang w:val="bg-BG"/>
              </w:rPr>
            </w:pPr>
            <w:r w:rsidRPr="00782BF9">
              <w:rPr>
                <w:noProof/>
                <w:lang w:val="bg-BG"/>
              </w:rPr>
              <w:t>100 електрически автобуса и същият брой зарядни точки, въведени в експлоатация, които заместват поне същия брой стари автобуси, работещи с изкопаеми горива.</w:t>
            </w:r>
          </w:p>
        </w:tc>
      </w:tr>
      <w:tr w:rsidR="00CE3BAD" w:rsidRPr="00782BF9" w14:paraId="6E5A675A" w14:textId="77777777">
        <w:trPr>
          <w:trHeight w:val="93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hideMark/>
          </w:tcPr>
          <w:p w14:paraId="38408619" w14:textId="5D31FE04" w:rsidR="00CE3BAD" w:rsidRPr="00782BF9" w:rsidRDefault="006B5475">
            <w:pPr>
              <w:pStyle w:val="P68B1DB1-Normal10"/>
              <w:spacing w:after="0" w:line="240" w:lineRule="auto"/>
              <w:rPr>
                <w:rFonts w:eastAsia="Calibri"/>
                <w:noProof/>
                <w:lang w:val="bg-BG"/>
              </w:rPr>
            </w:pPr>
            <w:r w:rsidRPr="00782BF9">
              <w:rPr>
                <w:noProof/>
                <w:lang w:val="bg-BG"/>
              </w:rPr>
              <w:t>93</w:t>
            </w:r>
          </w:p>
        </w:tc>
        <w:tc>
          <w:tcPr>
            <w:tcW w:w="1598" w:type="dxa"/>
            <w:tcBorders>
              <w:top w:val="nil"/>
              <w:left w:val="nil"/>
              <w:bottom w:val="single" w:sz="4" w:space="0" w:color="auto"/>
              <w:right w:val="single" w:sz="4" w:space="0" w:color="auto"/>
            </w:tcBorders>
            <w:shd w:val="clear" w:color="auto" w:fill="C6EFCE"/>
            <w:vAlign w:val="center"/>
            <w:hideMark/>
          </w:tcPr>
          <w:p w14:paraId="1E654460" w14:textId="6F166EED" w:rsidR="00CE3BAD" w:rsidRPr="00782BF9" w:rsidRDefault="006B5475">
            <w:pPr>
              <w:pStyle w:val="P68B1DB1-Normal10"/>
              <w:spacing w:after="0" w:line="240" w:lineRule="auto"/>
              <w:rPr>
                <w:rFonts w:eastAsia="Calibri"/>
                <w:noProof/>
                <w:lang w:val="bg-BG"/>
              </w:rPr>
            </w:pPr>
            <w:r w:rsidRPr="00782BF9">
              <w:rPr>
                <w:noProof/>
                <w:lang w:val="bg-BG"/>
              </w:rPr>
              <w:t>C5.I3 Развитие на автобусен транспорт с нулеви емисии</w:t>
            </w:r>
          </w:p>
        </w:tc>
        <w:tc>
          <w:tcPr>
            <w:tcW w:w="1096" w:type="dxa"/>
            <w:tcBorders>
              <w:top w:val="nil"/>
              <w:left w:val="nil"/>
              <w:bottom w:val="single" w:sz="4" w:space="0" w:color="auto"/>
              <w:right w:val="single" w:sz="4" w:space="0" w:color="auto"/>
            </w:tcBorders>
            <w:shd w:val="clear" w:color="auto" w:fill="C6EFCE"/>
            <w:noWrap/>
            <w:vAlign w:val="center"/>
            <w:hideMark/>
          </w:tcPr>
          <w:p w14:paraId="2DFCE1CE"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hideMark/>
          </w:tcPr>
          <w:p w14:paraId="596F67E3" w14:textId="278AF962" w:rsidR="00CE3BAD" w:rsidRPr="00782BF9" w:rsidRDefault="006B5475">
            <w:pPr>
              <w:pStyle w:val="P68B1DB1-Normal10"/>
              <w:spacing w:after="0" w:line="240" w:lineRule="auto"/>
              <w:rPr>
                <w:rFonts w:eastAsia="Calibri"/>
                <w:noProof/>
                <w:lang w:val="bg-BG"/>
              </w:rPr>
            </w:pPr>
            <w:r w:rsidRPr="00782BF9">
              <w:rPr>
                <w:noProof/>
                <w:lang w:val="bg-BG"/>
              </w:rPr>
              <w:t>Въвеждане в експлоатация на допълнителни електрически автобуси и свързаните с тях зарядни точки</w:t>
            </w:r>
          </w:p>
        </w:tc>
        <w:tc>
          <w:tcPr>
            <w:tcW w:w="1417" w:type="dxa"/>
            <w:tcBorders>
              <w:top w:val="nil"/>
              <w:left w:val="nil"/>
              <w:bottom w:val="single" w:sz="4" w:space="0" w:color="auto"/>
              <w:right w:val="single" w:sz="4" w:space="0" w:color="auto"/>
            </w:tcBorders>
            <w:shd w:val="clear" w:color="auto" w:fill="C6EFCE"/>
            <w:vAlign w:val="center"/>
            <w:hideMark/>
          </w:tcPr>
          <w:p w14:paraId="21F15751"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 </w:t>
            </w:r>
          </w:p>
        </w:tc>
        <w:tc>
          <w:tcPr>
            <w:tcW w:w="1031" w:type="dxa"/>
            <w:tcBorders>
              <w:top w:val="nil"/>
              <w:left w:val="nil"/>
              <w:bottom w:val="single" w:sz="4" w:space="0" w:color="auto"/>
              <w:right w:val="single" w:sz="4" w:space="0" w:color="auto"/>
            </w:tcBorders>
            <w:shd w:val="clear" w:color="auto" w:fill="C6EFCE"/>
            <w:noWrap/>
            <w:vAlign w:val="center"/>
            <w:hideMark/>
          </w:tcPr>
          <w:p w14:paraId="42AF8ED3"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Брой</w:t>
            </w:r>
          </w:p>
        </w:tc>
        <w:tc>
          <w:tcPr>
            <w:tcW w:w="1011" w:type="dxa"/>
            <w:tcBorders>
              <w:top w:val="nil"/>
              <w:left w:val="nil"/>
              <w:bottom w:val="single" w:sz="4" w:space="0" w:color="auto"/>
              <w:right w:val="single" w:sz="4" w:space="0" w:color="auto"/>
            </w:tcBorders>
            <w:shd w:val="clear" w:color="auto" w:fill="C6EFCE"/>
            <w:noWrap/>
            <w:vAlign w:val="center"/>
            <w:hideMark/>
          </w:tcPr>
          <w:p w14:paraId="64070AAB"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100</w:t>
            </w:r>
          </w:p>
        </w:tc>
        <w:tc>
          <w:tcPr>
            <w:tcW w:w="709" w:type="dxa"/>
            <w:tcBorders>
              <w:top w:val="nil"/>
              <w:left w:val="nil"/>
              <w:bottom w:val="single" w:sz="4" w:space="0" w:color="auto"/>
              <w:right w:val="single" w:sz="4" w:space="0" w:color="auto"/>
            </w:tcBorders>
            <w:shd w:val="clear" w:color="auto" w:fill="C6EFCE"/>
            <w:noWrap/>
            <w:vAlign w:val="center"/>
            <w:hideMark/>
          </w:tcPr>
          <w:p w14:paraId="7D31300A"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300</w:t>
            </w:r>
          </w:p>
        </w:tc>
        <w:tc>
          <w:tcPr>
            <w:tcW w:w="832" w:type="dxa"/>
            <w:tcBorders>
              <w:top w:val="nil"/>
              <w:left w:val="nil"/>
              <w:bottom w:val="single" w:sz="4" w:space="0" w:color="auto"/>
              <w:right w:val="single" w:sz="4" w:space="0" w:color="auto"/>
            </w:tcBorders>
            <w:shd w:val="clear" w:color="auto" w:fill="C6EFCE"/>
            <w:vAlign w:val="center"/>
            <w:hideMark/>
          </w:tcPr>
          <w:p w14:paraId="630CDB61"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Т4 Г.</w:t>
            </w:r>
          </w:p>
        </w:tc>
        <w:tc>
          <w:tcPr>
            <w:tcW w:w="776" w:type="dxa"/>
            <w:tcBorders>
              <w:top w:val="nil"/>
              <w:left w:val="nil"/>
              <w:bottom w:val="single" w:sz="4" w:space="0" w:color="auto"/>
              <w:right w:val="single" w:sz="4" w:space="0" w:color="auto"/>
            </w:tcBorders>
            <w:shd w:val="clear" w:color="auto" w:fill="C6EFCE"/>
            <w:vAlign w:val="center"/>
            <w:hideMark/>
          </w:tcPr>
          <w:p w14:paraId="7F48F9DE"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2025</w:t>
            </w:r>
          </w:p>
        </w:tc>
        <w:tc>
          <w:tcPr>
            <w:tcW w:w="3760" w:type="dxa"/>
            <w:tcBorders>
              <w:top w:val="nil"/>
              <w:left w:val="nil"/>
              <w:bottom w:val="single" w:sz="4" w:space="0" w:color="auto"/>
              <w:right w:val="single" w:sz="4" w:space="0" w:color="auto"/>
            </w:tcBorders>
            <w:shd w:val="clear" w:color="auto" w:fill="C6EFCE"/>
            <w:vAlign w:val="center"/>
            <w:hideMark/>
          </w:tcPr>
          <w:p w14:paraId="2DA6AD7D" w14:textId="77777777" w:rsidR="00CE3BAD" w:rsidRPr="00782BF9" w:rsidRDefault="006B5475">
            <w:pPr>
              <w:pStyle w:val="P68B1DB1-Normal10"/>
              <w:spacing w:after="0" w:line="240" w:lineRule="auto"/>
              <w:rPr>
                <w:rFonts w:eastAsia="Calibri"/>
                <w:noProof/>
                <w:lang w:val="bg-BG"/>
              </w:rPr>
            </w:pPr>
            <w:r w:rsidRPr="00782BF9">
              <w:rPr>
                <w:noProof/>
                <w:lang w:val="bg-BG"/>
              </w:rPr>
              <w:t>300 електрически автобуса и същият брой зарядни точки, въведени в експлоатация, които заместват поне същия брой стари автобуси, работещи с изкопаеми горива.</w:t>
            </w:r>
          </w:p>
        </w:tc>
      </w:tr>
      <w:tr w:rsidR="00CE3BAD" w:rsidRPr="00782BF9" w14:paraId="42EEDEFB" w14:textId="77777777">
        <w:trPr>
          <w:trHeight w:val="1371"/>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hideMark/>
          </w:tcPr>
          <w:p w14:paraId="1D3BEAD3" w14:textId="4A26E34C" w:rsidR="00CE3BAD" w:rsidRPr="00782BF9" w:rsidRDefault="006B5475">
            <w:pPr>
              <w:pStyle w:val="P68B1DB1-Normal10"/>
              <w:spacing w:after="0" w:line="240" w:lineRule="auto"/>
              <w:rPr>
                <w:rFonts w:eastAsia="Calibri"/>
                <w:noProof/>
                <w:lang w:val="bg-BG"/>
              </w:rPr>
            </w:pPr>
            <w:r w:rsidRPr="00782BF9">
              <w:rPr>
                <w:noProof/>
                <w:lang w:val="bg-BG"/>
              </w:rPr>
              <w:t>94</w:t>
            </w:r>
          </w:p>
        </w:tc>
        <w:tc>
          <w:tcPr>
            <w:tcW w:w="1598" w:type="dxa"/>
            <w:tcBorders>
              <w:top w:val="single" w:sz="4" w:space="0" w:color="auto"/>
              <w:left w:val="nil"/>
              <w:bottom w:val="single" w:sz="4" w:space="0" w:color="auto"/>
              <w:right w:val="single" w:sz="4" w:space="0" w:color="auto"/>
            </w:tcBorders>
            <w:shd w:val="clear" w:color="auto" w:fill="C6EFCE"/>
            <w:vAlign w:val="center"/>
            <w:hideMark/>
          </w:tcPr>
          <w:p w14:paraId="1EAC4F56" w14:textId="522AF190" w:rsidR="00CE3BAD" w:rsidRPr="00782BF9" w:rsidRDefault="006B5475">
            <w:pPr>
              <w:pStyle w:val="P68B1DB1-Normal10"/>
              <w:spacing w:after="0" w:line="240" w:lineRule="auto"/>
              <w:rPr>
                <w:rFonts w:eastAsia="Calibri"/>
                <w:noProof/>
                <w:lang w:val="bg-BG"/>
              </w:rPr>
            </w:pPr>
            <w:r w:rsidRPr="00782BF9">
              <w:rPr>
                <w:noProof/>
                <w:lang w:val="bg-BG"/>
              </w:rPr>
              <w:t>C5.I4 Въвеждане на централно управление на движението в железниците по TEN-T</w:t>
            </w:r>
          </w:p>
        </w:tc>
        <w:tc>
          <w:tcPr>
            <w:tcW w:w="1096" w:type="dxa"/>
            <w:tcBorders>
              <w:top w:val="nil"/>
              <w:left w:val="nil"/>
              <w:bottom w:val="single" w:sz="4" w:space="0" w:color="auto"/>
              <w:right w:val="single" w:sz="4" w:space="0" w:color="auto"/>
            </w:tcBorders>
            <w:shd w:val="clear" w:color="auto" w:fill="C6EFCE"/>
            <w:noWrap/>
            <w:vAlign w:val="center"/>
            <w:hideMark/>
          </w:tcPr>
          <w:p w14:paraId="536C4FF0" w14:textId="77777777"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701" w:type="dxa"/>
            <w:tcBorders>
              <w:top w:val="single" w:sz="4" w:space="0" w:color="auto"/>
              <w:left w:val="nil"/>
              <w:bottom w:val="single" w:sz="4" w:space="0" w:color="auto"/>
              <w:right w:val="single" w:sz="4" w:space="0" w:color="auto"/>
            </w:tcBorders>
            <w:shd w:val="clear" w:color="auto" w:fill="C6EFCE"/>
            <w:vAlign w:val="center"/>
            <w:hideMark/>
          </w:tcPr>
          <w:p w14:paraId="7D437EC7" w14:textId="77777777" w:rsidR="00CE3BAD" w:rsidRPr="00782BF9" w:rsidRDefault="006B5475">
            <w:pPr>
              <w:pStyle w:val="P68B1DB1-Normal10"/>
              <w:spacing w:after="0" w:line="240" w:lineRule="auto"/>
              <w:rPr>
                <w:rFonts w:eastAsia="Calibri"/>
                <w:noProof/>
                <w:lang w:val="bg-BG"/>
              </w:rPr>
            </w:pPr>
            <w:r w:rsidRPr="00782BF9">
              <w:rPr>
                <w:noProof/>
                <w:lang w:val="bg-BG"/>
              </w:rPr>
              <w:t>Подписване на договор за създаване на централна система за управление на движението</w:t>
            </w:r>
          </w:p>
        </w:tc>
        <w:tc>
          <w:tcPr>
            <w:tcW w:w="1417" w:type="dxa"/>
            <w:tcBorders>
              <w:top w:val="nil"/>
              <w:left w:val="nil"/>
              <w:bottom w:val="single" w:sz="4" w:space="0" w:color="auto"/>
              <w:right w:val="single" w:sz="4" w:space="0" w:color="auto"/>
            </w:tcBorders>
            <w:shd w:val="clear" w:color="auto" w:fill="C6EFCE"/>
            <w:vAlign w:val="center"/>
            <w:hideMark/>
          </w:tcPr>
          <w:p w14:paraId="21639B45"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Подписване на договори за строителни работи</w:t>
            </w:r>
          </w:p>
        </w:tc>
        <w:tc>
          <w:tcPr>
            <w:tcW w:w="1031" w:type="dxa"/>
            <w:tcBorders>
              <w:top w:val="nil"/>
              <w:left w:val="nil"/>
              <w:bottom w:val="single" w:sz="4" w:space="0" w:color="auto"/>
              <w:right w:val="single" w:sz="4" w:space="0" w:color="auto"/>
            </w:tcBorders>
            <w:shd w:val="clear" w:color="auto" w:fill="C6EFCE"/>
            <w:noWrap/>
            <w:vAlign w:val="center"/>
            <w:hideMark/>
          </w:tcPr>
          <w:p w14:paraId="05486D07" w14:textId="7C8F9013" w:rsidR="00CE3BAD" w:rsidRPr="00782BF9" w:rsidRDefault="00CE3BAD">
            <w:pPr>
              <w:spacing w:after="0" w:line="240" w:lineRule="auto"/>
              <w:jc w:val="center"/>
              <w:rPr>
                <w:rFonts w:eastAsia="Calibri"/>
                <w:noProof/>
                <w:sz w:val="18"/>
                <w:lang w:val="bg-BG"/>
              </w:rPr>
            </w:pPr>
          </w:p>
        </w:tc>
        <w:tc>
          <w:tcPr>
            <w:tcW w:w="1011" w:type="dxa"/>
            <w:tcBorders>
              <w:top w:val="nil"/>
              <w:left w:val="nil"/>
              <w:bottom w:val="single" w:sz="4" w:space="0" w:color="auto"/>
              <w:right w:val="single" w:sz="4" w:space="0" w:color="auto"/>
            </w:tcBorders>
            <w:shd w:val="clear" w:color="auto" w:fill="C6EFCE"/>
            <w:noWrap/>
            <w:vAlign w:val="center"/>
            <w:hideMark/>
          </w:tcPr>
          <w:p w14:paraId="468B598B" w14:textId="2A972D4D"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hideMark/>
          </w:tcPr>
          <w:p w14:paraId="6AF70595" w14:textId="04B1BB51" w:rsidR="00CE3BAD" w:rsidRPr="00782BF9" w:rsidRDefault="00CE3BAD">
            <w:pPr>
              <w:spacing w:after="0" w:line="240" w:lineRule="auto"/>
              <w:jc w:val="center"/>
              <w:rPr>
                <w:rFonts w:eastAsia="Calibri"/>
                <w:noProof/>
                <w:sz w:val="18"/>
                <w:lang w:val="bg-BG"/>
              </w:rPr>
            </w:pPr>
          </w:p>
        </w:tc>
        <w:tc>
          <w:tcPr>
            <w:tcW w:w="832" w:type="dxa"/>
            <w:tcBorders>
              <w:top w:val="nil"/>
              <w:left w:val="nil"/>
              <w:bottom w:val="single" w:sz="4" w:space="0" w:color="auto"/>
              <w:right w:val="single" w:sz="4" w:space="0" w:color="auto"/>
            </w:tcBorders>
            <w:shd w:val="clear" w:color="auto" w:fill="C6EFCE"/>
            <w:vAlign w:val="center"/>
            <w:hideMark/>
          </w:tcPr>
          <w:p w14:paraId="219E0809" w14:textId="4206FE71" w:rsidR="00CE3BAD" w:rsidRPr="00782BF9" w:rsidRDefault="006B5475">
            <w:pPr>
              <w:pStyle w:val="P68B1DB1-Normal10"/>
              <w:spacing w:after="0" w:line="240" w:lineRule="auto"/>
              <w:jc w:val="center"/>
              <w:rPr>
                <w:rFonts w:eastAsia="Calibri"/>
                <w:noProof/>
                <w:lang w:val="bg-BG"/>
              </w:rPr>
            </w:pPr>
            <w:r w:rsidRPr="00782BF9">
              <w:rPr>
                <w:noProof/>
                <w:lang w:val="bg-BG"/>
              </w:rPr>
              <w:t>Т4 Г.</w:t>
            </w:r>
          </w:p>
        </w:tc>
        <w:tc>
          <w:tcPr>
            <w:tcW w:w="776" w:type="dxa"/>
            <w:tcBorders>
              <w:top w:val="nil"/>
              <w:left w:val="nil"/>
              <w:bottom w:val="single" w:sz="4" w:space="0" w:color="auto"/>
              <w:right w:val="single" w:sz="4" w:space="0" w:color="auto"/>
            </w:tcBorders>
            <w:shd w:val="clear" w:color="auto" w:fill="C6EFCE"/>
            <w:vAlign w:val="center"/>
            <w:hideMark/>
          </w:tcPr>
          <w:p w14:paraId="46A7121E"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2023</w:t>
            </w:r>
          </w:p>
        </w:tc>
        <w:tc>
          <w:tcPr>
            <w:tcW w:w="3760" w:type="dxa"/>
            <w:tcBorders>
              <w:top w:val="nil"/>
              <w:left w:val="nil"/>
              <w:bottom w:val="single" w:sz="4" w:space="0" w:color="auto"/>
              <w:right w:val="single" w:sz="4" w:space="0" w:color="auto"/>
            </w:tcBorders>
            <w:shd w:val="clear" w:color="auto" w:fill="C6EFCE"/>
            <w:vAlign w:val="center"/>
            <w:hideMark/>
          </w:tcPr>
          <w:p w14:paraId="126EE25E" w14:textId="6238A392" w:rsidR="00CE3BAD" w:rsidRPr="00782BF9" w:rsidRDefault="006B5475">
            <w:pPr>
              <w:pStyle w:val="P68B1DB1-Normal10"/>
              <w:spacing w:after="0" w:line="240" w:lineRule="auto"/>
              <w:rPr>
                <w:rFonts w:eastAsia="Calibri"/>
                <w:noProof/>
                <w:lang w:val="bg-BG"/>
              </w:rPr>
            </w:pPr>
            <w:r w:rsidRPr="00782BF9">
              <w:rPr>
                <w:noProof/>
                <w:lang w:val="bg-BG"/>
              </w:rPr>
              <w:t>Подписване на договор за изграждане на централна система за управление на движението, работеща по три главни участъка от железопътната линия (70, 100а и 80) след открита процедура за възлагане на обществена поръчка, включваща необходимото оборудване за свързване и телекомуникационни части.</w:t>
            </w:r>
          </w:p>
        </w:tc>
      </w:tr>
      <w:tr w:rsidR="00CE3BAD" w:rsidRPr="00782BF9" w14:paraId="61CE5506" w14:textId="77777777">
        <w:trPr>
          <w:trHeight w:val="2452"/>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hideMark/>
          </w:tcPr>
          <w:p w14:paraId="60ED0AD0" w14:textId="44ECACF2" w:rsidR="00CE3BAD" w:rsidRPr="00782BF9" w:rsidRDefault="006B5475">
            <w:pPr>
              <w:pStyle w:val="P68B1DB1-Normal10"/>
              <w:spacing w:after="0" w:line="240" w:lineRule="auto"/>
              <w:rPr>
                <w:rFonts w:eastAsia="Calibri"/>
                <w:noProof/>
                <w:lang w:val="bg-BG"/>
              </w:rPr>
            </w:pPr>
            <w:r w:rsidRPr="00782BF9">
              <w:rPr>
                <w:noProof/>
                <w:lang w:val="bg-BG"/>
              </w:rPr>
              <w:t>95</w:t>
            </w:r>
          </w:p>
        </w:tc>
        <w:tc>
          <w:tcPr>
            <w:tcW w:w="1598" w:type="dxa"/>
            <w:tcBorders>
              <w:top w:val="single" w:sz="4" w:space="0" w:color="auto"/>
              <w:left w:val="nil"/>
              <w:bottom w:val="single" w:sz="4" w:space="0" w:color="auto"/>
              <w:right w:val="single" w:sz="4" w:space="0" w:color="auto"/>
            </w:tcBorders>
            <w:shd w:val="clear" w:color="auto" w:fill="C6EFCE"/>
            <w:vAlign w:val="center"/>
            <w:hideMark/>
          </w:tcPr>
          <w:p w14:paraId="00C4C048" w14:textId="369D3503" w:rsidR="00CE3BAD" w:rsidRPr="00782BF9" w:rsidRDefault="006B5475">
            <w:pPr>
              <w:pStyle w:val="P68B1DB1-Normal10"/>
              <w:spacing w:after="0" w:line="240" w:lineRule="auto"/>
              <w:rPr>
                <w:rFonts w:eastAsia="Calibri"/>
                <w:noProof/>
                <w:lang w:val="bg-BG"/>
              </w:rPr>
            </w:pPr>
            <w:r w:rsidRPr="00782BF9">
              <w:rPr>
                <w:noProof/>
                <w:lang w:val="bg-BG"/>
              </w:rPr>
              <w:t>C5.I4 Въвеждане на централно управление на движението в железниците по TEN-T</w:t>
            </w:r>
          </w:p>
        </w:tc>
        <w:tc>
          <w:tcPr>
            <w:tcW w:w="1096" w:type="dxa"/>
            <w:tcBorders>
              <w:top w:val="nil"/>
              <w:left w:val="nil"/>
              <w:bottom w:val="single" w:sz="4" w:space="0" w:color="auto"/>
              <w:right w:val="single" w:sz="4" w:space="0" w:color="auto"/>
            </w:tcBorders>
            <w:shd w:val="clear" w:color="auto" w:fill="C6EFCE"/>
            <w:noWrap/>
            <w:vAlign w:val="center"/>
            <w:hideMark/>
          </w:tcPr>
          <w:p w14:paraId="17114128" w14:textId="77777777"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hideMark/>
          </w:tcPr>
          <w:p w14:paraId="0BFD5B73"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Инсталиране на централната система за управление на движението, експлоатирана по крайградски и други големи железопътни линии </w:t>
            </w:r>
          </w:p>
        </w:tc>
        <w:tc>
          <w:tcPr>
            <w:tcW w:w="1417" w:type="dxa"/>
            <w:tcBorders>
              <w:top w:val="nil"/>
              <w:left w:val="nil"/>
              <w:bottom w:val="single" w:sz="4" w:space="0" w:color="auto"/>
              <w:right w:val="single" w:sz="4" w:space="0" w:color="auto"/>
            </w:tcBorders>
            <w:shd w:val="clear" w:color="auto" w:fill="C6EFCE"/>
            <w:vAlign w:val="center"/>
            <w:hideMark/>
          </w:tcPr>
          <w:p w14:paraId="11AA076F" w14:textId="77777777" w:rsidR="00CE3BAD" w:rsidRPr="00782BF9" w:rsidRDefault="00CE3BAD">
            <w:pPr>
              <w:spacing w:after="0" w:line="240" w:lineRule="auto"/>
              <w:jc w:val="center"/>
              <w:rPr>
                <w:rFonts w:eastAsia="Calibri"/>
                <w:noProof/>
                <w:sz w:val="18"/>
                <w:lang w:val="bg-BG"/>
              </w:rPr>
            </w:pPr>
          </w:p>
        </w:tc>
        <w:tc>
          <w:tcPr>
            <w:tcW w:w="1031" w:type="dxa"/>
            <w:tcBorders>
              <w:top w:val="nil"/>
              <w:left w:val="nil"/>
              <w:bottom w:val="single" w:sz="4" w:space="0" w:color="auto"/>
              <w:right w:val="single" w:sz="4" w:space="0" w:color="auto"/>
            </w:tcBorders>
            <w:shd w:val="clear" w:color="auto" w:fill="C6EFCE"/>
            <w:noWrap/>
            <w:vAlign w:val="center"/>
            <w:hideMark/>
          </w:tcPr>
          <w:p w14:paraId="42EBF571"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километър</w:t>
            </w:r>
          </w:p>
        </w:tc>
        <w:tc>
          <w:tcPr>
            <w:tcW w:w="1011" w:type="dxa"/>
            <w:tcBorders>
              <w:top w:val="nil"/>
              <w:left w:val="nil"/>
              <w:bottom w:val="single" w:sz="4" w:space="0" w:color="auto"/>
              <w:right w:val="single" w:sz="4" w:space="0" w:color="auto"/>
            </w:tcBorders>
            <w:shd w:val="clear" w:color="auto" w:fill="C6EFCE"/>
            <w:noWrap/>
            <w:vAlign w:val="center"/>
            <w:hideMark/>
          </w:tcPr>
          <w:p w14:paraId="7133D683" w14:textId="66A2279B"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hideMark/>
          </w:tcPr>
          <w:p w14:paraId="6CB95BAB" w14:textId="31E7F853" w:rsidR="00CE3BAD" w:rsidRPr="00782BF9" w:rsidRDefault="006B5475">
            <w:pPr>
              <w:pStyle w:val="P68B1DB1-Normal10"/>
              <w:spacing w:after="0" w:line="240" w:lineRule="auto"/>
              <w:jc w:val="center"/>
              <w:rPr>
                <w:rFonts w:eastAsia="Calibri"/>
                <w:noProof/>
                <w:lang w:val="bg-BG"/>
              </w:rPr>
            </w:pPr>
            <w:r w:rsidRPr="00782BF9">
              <w:rPr>
                <w:noProof/>
                <w:lang w:val="bg-BG"/>
              </w:rPr>
              <w:t>239</w:t>
            </w:r>
          </w:p>
        </w:tc>
        <w:tc>
          <w:tcPr>
            <w:tcW w:w="832" w:type="dxa"/>
            <w:tcBorders>
              <w:top w:val="nil"/>
              <w:left w:val="nil"/>
              <w:bottom w:val="single" w:sz="4" w:space="0" w:color="auto"/>
              <w:right w:val="single" w:sz="4" w:space="0" w:color="auto"/>
            </w:tcBorders>
            <w:shd w:val="clear" w:color="auto" w:fill="C6EFCE"/>
            <w:vAlign w:val="center"/>
            <w:hideMark/>
          </w:tcPr>
          <w:p w14:paraId="1DFEA789"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hideMark/>
          </w:tcPr>
          <w:p w14:paraId="4D6DE259" w14:textId="77777777" w:rsidR="00CE3BAD" w:rsidRPr="00782BF9" w:rsidRDefault="006B5475">
            <w:pPr>
              <w:pStyle w:val="P68B1DB1-Normal10"/>
              <w:spacing w:after="0" w:line="240" w:lineRule="auto"/>
              <w:jc w:val="center"/>
              <w:rPr>
                <w:rFonts w:eastAsia="Calibri"/>
                <w:noProof/>
                <w:lang w:val="bg-BG"/>
              </w:rPr>
            </w:pPr>
            <w:r w:rsidRPr="00782BF9">
              <w:rPr>
                <w:noProof/>
                <w:lang w:val="bg-BG"/>
              </w:rPr>
              <w:t>2026</w:t>
            </w:r>
          </w:p>
        </w:tc>
        <w:tc>
          <w:tcPr>
            <w:tcW w:w="3760" w:type="dxa"/>
            <w:tcBorders>
              <w:top w:val="nil"/>
              <w:left w:val="nil"/>
              <w:bottom w:val="single" w:sz="4" w:space="0" w:color="auto"/>
              <w:right w:val="single" w:sz="4" w:space="0" w:color="auto"/>
            </w:tcBorders>
            <w:shd w:val="clear" w:color="auto" w:fill="C6EFCE"/>
            <w:vAlign w:val="center"/>
            <w:hideMark/>
          </w:tcPr>
          <w:p w14:paraId="0B915749" w14:textId="2FAAA820" w:rsidR="00CE3BAD" w:rsidRPr="00782BF9" w:rsidRDefault="006B5475">
            <w:pPr>
              <w:pStyle w:val="P68B1DB1-Normal10"/>
              <w:spacing w:after="0" w:line="240" w:lineRule="auto"/>
              <w:rPr>
                <w:rFonts w:eastAsia="Calibri"/>
                <w:noProof/>
                <w:lang w:val="bg-BG"/>
              </w:rPr>
            </w:pPr>
            <w:r w:rsidRPr="00782BF9">
              <w:rPr>
                <w:noProof/>
                <w:lang w:val="bg-BG"/>
              </w:rPr>
              <w:t xml:space="preserve">Създава се централна система за управление на движението. Инвестицията включва внедряването на централно управление на движението по двете най-натоварени крайградски железопътни линии в Будапеща (70 и 100a) и по основна железопътна линия в селски райони (80) с обща дължина от 239 km. Инвестицията включва също така съответните реконструкция и подмяна на сигналното оборудване, изграждането/разширяването на надземната линия, изграждането/разширяването на центровете KÖFI на три места, разработването на система за сигурност (камери за наблюдение, осветление), разработването на модерна система за информация за пътниците и изграждането на необходимите телекомуникационни мрежи за данни. </w:t>
            </w:r>
          </w:p>
        </w:tc>
      </w:tr>
      <w:tr w:rsidR="00CE3BAD" w:rsidRPr="00782BF9" w14:paraId="07E0A8E3" w14:textId="77777777">
        <w:trPr>
          <w:trHeight w:val="2452"/>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tcPr>
          <w:p w14:paraId="1328ACC1" w14:textId="4EDE0480" w:rsidR="00CE3BAD" w:rsidRPr="00782BF9" w:rsidRDefault="006B5475">
            <w:pPr>
              <w:pStyle w:val="P68B1DB1-Normal10"/>
              <w:spacing w:after="0" w:line="240" w:lineRule="auto"/>
              <w:rPr>
                <w:rFonts w:eastAsia="Calibri"/>
                <w:noProof/>
                <w:lang w:val="bg-BG"/>
              </w:rPr>
            </w:pPr>
            <w:r w:rsidRPr="00782BF9">
              <w:rPr>
                <w:noProof/>
                <w:lang w:val="bg-BG"/>
              </w:rPr>
              <w:t>366</w:t>
            </w:r>
          </w:p>
        </w:tc>
        <w:tc>
          <w:tcPr>
            <w:tcW w:w="1598" w:type="dxa"/>
            <w:tcBorders>
              <w:top w:val="single" w:sz="4" w:space="0" w:color="auto"/>
              <w:left w:val="nil"/>
              <w:bottom w:val="single" w:sz="4" w:space="0" w:color="auto"/>
              <w:right w:val="single" w:sz="4" w:space="0" w:color="auto"/>
            </w:tcBorders>
            <w:shd w:val="clear" w:color="auto" w:fill="C6EFCE"/>
            <w:vAlign w:val="center"/>
          </w:tcPr>
          <w:p w14:paraId="1A78319F" w14:textId="4128603D" w:rsidR="00CE3BAD" w:rsidRPr="00782BF9" w:rsidRDefault="006B5475">
            <w:pPr>
              <w:pStyle w:val="P68B1DB1-Normal10"/>
              <w:spacing w:after="0" w:line="240" w:lineRule="auto"/>
              <w:rPr>
                <w:rFonts w:eastAsia="Calibri"/>
                <w:noProof/>
                <w:lang w:val="bg-BG"/>
              </w:rPr>
            </w:pPr>
            <w:r w:rsidRPr="00782BF9">
              <w:rPr>
                <w:noProof/>
                <w:lang w:val="bg-BG"/>
              </w:rPr>
              <w:t>C5.I5 Развитие на трамвайната и тролейбусната система на Будапеща</w:t>
            </w:r>
          </w:p>
        </w:tc>
        <w:tc>
          <w:tcPr>
            <w:tcW w:w="1096" w:type="dxa"/>
            <w:tcBorders>
              <w:top w:val="nil"/>
              <w:left w:val="nil"/>
              <w:bottom w:val="single" w:sz="4" w:space="0" w:color="auto"/>
              <w:right w:val="single" w:sz="4" w:space="0" w:color="auto"/>
            </w:tcBorders>
            <w:shd w:val="clear" w:color="auto" w:fill="C6EFCE"/>
            <w:noWrap/>
            <w:vAlign w:val="center"/>
          </w:tcPr>
          <w:p w14:paraId="10145B82" w14:textId="4500E844"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701" w:type="dxa"/>
            <w:tcBorders>
              <w:top w:val="single" w:sz="4" w:space="0" w:color="auto"/>
              <w:left w:val="nil"/>
              <w:bottom w:val="single" w:sz="4" w:space="0" w:color="auto"/>
              <w:right w:val="single" w:sz="4" w:space="0" w:color="auto"/>
            </w:tcBorders>
            <w:shd w:val="clear" w:color="auto" w:fill="C6EFCE"/>
            <w:vAlign w:val="center"/>
          </w:tcPr>
          <w:p w14:paraId="78074D49" w14:textId="4EDB45F4" w:rsidR="00CE3BAD" w:rsidRPr="00782BF9" w:rsidRDefault="006B5475">
            <w:pPr>
              <w:pStyle w:val="P68B1DB1-Normal10"/>
              <w:spacing w:after="0" w:line="240" w:lineRule="auto"/>
              <w:rPr>
                <w:rFonts w:eastAsia="Calibri"/>
                <w:noProof/>
                <w:lang w:val="bg-BG"/>
              </w:rPr>
            </w:pPr>
            <w:r w:rsidRPr="00782BF9">
              <w:rPr>
                <w:noProof/>
                <w:lang w:val="bg-BG"/>
              </w:rPr>
              <w:t>Подписване на споразумение за отпускане на безвъзмездни средства между правителството и град Будапеща за закупуване на трамваи, тролейбуси и свързаната с тях инфраструктура</w:t>
            </w:r>
          </w:p>
        </w:tc>
        <w:tc>
          <w:tcPr>
            <w:tcW w:w="1417" w:type="dxa"/>
            <w:tcBorders>
              <w:top w:val="nil"/>
              <w:left w:val="nil"/>
              <w:bottom w:val="single" w:sz="4" w:space="0" w:color="auto"/>
              <w:right w:val="single" w:sz="4" w:space="0" w:color="auto"/>
            </w:tcBorders>
            <w:shd w:val="clear" w:color="auto" w:fill="C6EFCE"/>
            <w:vAlign w:val="center"/>
          </w:tcPr>
          <w:p w14:paraId="4B2CD92A" w14:textId="4D1785E5" w:rsidR="00CE3BAD" w:rsidRPr="00782BF9" w:rsidRDefault="006B5475">
            <w:pPr>
              <w:pStyle w:val="P68B1DB1-Normal10"/>
              <w:spacing w:after="0" w:line="240" w:lineRule="auto"/>
              <w:jc w:val="center"/>
              <w:rPr>
                <w:rFonts w:eastAsia="Calibri"/>
                <w:noProof/>
                <w:lang w:val="bg-BG"/>
              </w:rPr>
            </w:pPr>
            <w:r w:rsidRPr="00782BF9">
              <w:rPr>
                <w:noProof/>
                <w:lang w:val="bg-BG"/>
              </w:rPr>
              <w:t>Подписано споразумение за отпускане на безвъзмездни средства</w:t>
            </w:r>
          </w:p>
        </w:tc>
        <w:tc>
          <w:tcPr>
            <w:tcW w:w="1031" w:type="dxa"/>
            <w:tcBorders>
              <w:top w:val="nil"/>
              <w:left w:val="nil"/>
              <w:bottom w:val="single" w:sz="4" w:space="0" w:color="auto"/>
              <w:right w:val="single" w:sz="4" w:space="0" w:color="auto"/>
            </w:tcBorders>
            <w:shd w:val="clear" w:color="auto" w:fill="C6EFCE"/>
            <w:noWrap/>
            <w:vAlign w:val="center"/>
          </w:tcPr>
          <w:p w14:paraId="1293EC9D" w14:textId="77777777" w:rsidR="00CE3BAD" w:rsidRPr="00782BF9" w:rsidRDefault="00CE3BAD">
            <w:pPr>
              <w:spacing w:after="0" w:line="240" w:lineRule="auto"/>
              <w:jc w:val="center"/>
              <w:rPr>
                <w:rFonts w:eastAsia="Calibri"/>
                <w:noProof/>
                <w:sz w:val="18"/>
                <w:lang w:val="bg-BG"/>
              </w:rPr>
            </w:pPr>
          </w:p>
        </w:tc>
        <w:tc>
          <w:tcPr>
            <w:tcW w:w="1011" w:type="dxa"/>
            <w:tcBorders>
              <w:top w:val="nil"/>
              <w:left w:val="nil"/>
              <w:bottom w:val="single" w:sz="4" w:space="0" w:color="auto"/>
              <w:right w:val="single" w:sz="4" w:space="0" w:color="auto"/>
            </w:tcBorders>
            <w:shd w:val="clear" w:color="auto" w:fill="C6EFCE"/>
            <w:noWrap/>
            <w:vAlign w:val="center"/>
          </w:tcPr>
          <w:p w14:paraId="4FE8FA08" w14:textId="77777777"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tcPr>
          <w:p w14:paraId="37CCEB2F" w14:textId="77777777" w:rsidR="00CE3BAD" w:rsidRPr="00782BF9" w:rsidRDefault="00CE3BAD">
            <w:pPr>
              <w:spacing w:after="0" w:line="240" w:lineRule="auto"/>
              <w:jc w:val="center"/>
              <w:rPr>
                <w:rFonts w:eastAsia="Calibri"/>
                <w:noProof/>
                <w:sz w:val="18"/>
                <w:lang w:val="bg-BG"/>
              </w:rPr>
            </w:pPr>
          </w:p>
        </w:tc>
        <w:tc>
          <w:tcPr>
            <w:tcW w:w="832" w:type="dxa"/>
            <w:tcBorders>
              <w:top w:val="nil"/>
              <w:left w:val="nil"/>
              <w:bottom w:val="single" w:sz="4" w:space="0" w:color="auto"/>
              <w:right w:val="single" w:sz="4" w:space="0" w:color="auto"/>
            </w:tcBorders>
            <w:shd w:val="clear" w:color="auto" w:fill="C6EFCE"/>
            <w:vAlign w:val="center"/>
          </w:tcPr>
          <w:p w14:paraId="4B674197" w14:textId="1A787D62" w:rsidR="00CE3BAD" w:rsidRPr="00782BF9" w:rsidRDefault="006B5475">
            <w:pPr>
              <w:pStyle w:val="P68B1DB1-Normal10"/>
              <w:spacing w:after="0" w:line="240" w:lineRule="auto"/>
              <w:jc w:val="center"/>
              <w:rPr>
                <w:rFonts w:eastAsia="Calibri"/>
                <w:noProof/>
                <w:lang w:val="bg-BG"/>
              </w:rPr>
            </w:pPr>
            <w:r w:rsidRPr="00782BF9">
              <w:rPr>
                <w:noProof/>
                <w:lang w:val="bg-BG"/>
              </w:rPr>
              <w:t>Т4 Г.</w:t>
            </w:r>
          </w:p>
        </w:tc>
        <w:tc>
          <w:tcPr>
            <w:tcW w:w="776" w:type="dxa"/>
            <w:tcBorders>
              <w:top w:val="nil"/>
              <w:left w:val="nil"/>
              <w:bottom w:val="single" w:sz="4" w:space="0" w:color="auto"/>
              <w:right w:val="single" w:sz="4" w:space="0" w:color="auto"/>
            </w:tcBorders>
            <w:shd w:val="clear" w:color="auto" w:fill="C6EFCE"/>
            <w:vAlign w:val="center"/>
          </w:tcPr>
          <w:p w14:paraId="534C1DB0" w14:textId="1B6ECE41" w:rsidR="00CE3BAD" w:rsidRPr="00782BF9" w:rsidRDefault="006B5475">
            <w:pPr>
              <w:pStyle w:val="P68B1DB1-Normal10"/>
              <w:spacing w:after="0" w:line="240" w:lineRule="auto"/>
              <w:jc w:val="center"/>
              <w:rPr>
                <w:rFonts w:eastAsia="Calibri"/>
                <w:noProof/>
                <w:lang w:val="bg-BG"/>
              </w:rPr>
            </w:pPr>
            <w:r w:rsidRPr="00782BF9">
              <w:rPr>
                <w:noProof/>
                <w:lang w:val="bg-BG"/>
              </w:rPr>
              <w:t>2023</w:t>
            </w:r>
          </w:p>
        </w:tc>
        <w:tc>
          <w:tcPr>
            <w:tcW w:w="3760" w:type="dxa"/>
            <w:tcBorders>
              <w:top w:val="nil"/>
              <w:left w:val="nil"/>
              <w:bottom w:val="single" w:sz="4" w:space="0" w:color="auto"/>
              <w:right w:val="single" w:sz="4" w:space="0" w:color="auto"/>
            </w:tcBorders>
            <w:shd w:val="clear" w:color="auto" w:fill="C6EFCE"/>
            <w:vAlign w:val="center"/>
          </w:tcPr>
          <w:p w14:paraId="2A1BCEFE" w14:textId="0A6DED8C" w:rsidR="00CE3BAD" w:rsidRPr="00782BF9" w:rsidRDefault="006B5475">
            <w:pPr>
              <w:pStyle w:val="P68B1DB1-Normal10"/>
              <w:spacing w:after="0" w:line="240" w:lineRule="auto"/>
              <w:rPr>
                <w:rFonts w:eastAsia="Calibri"/>
                <w:noProof/>
                <w:lang w:val="bg-BG"/>
              </w:rPr>
            </w:pPr>
            <w:r w:rsidRPr="00782BF9">
              <w:rPr>
                <w:noProof/>
                <w:lang w:val="bg-BG"/>
              </w:rPr>
              <w:t xml:space="preserve">Между правителството и град Будапеща се сключва споразумение за отпускане на безвъзмездни средства за закупуването на трамваи. В споразумението за отпускане на безвъзмездни средства се предоставят подробности за всички резултати по тази инвестиция и графика за тях.  </w:t>
            </w:r>
          </w:p>
        </w:tc>
      </w:tr>
      <w:tr w:rsidR="00CE3BAD" w:rsidRPr="00782BF9" w14:paraId="25E54B9A" w14:textId="77777777">
        <w:trPr>
          <w:trHeight w:val="2452"/>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tcPr>
          <w:p w14:paraId="3B61DA1A" w14:textId="1F35F9A7" w:rsidR="00CE3BAD" w:rsidRPr="00782BF9" w:rsidRDefault="006B5475">
            <w:pPr>
              <w:pStyle w:val="P68B1DB1-Normal10"/>
              <w:spacing w:after="0" w:line="240" w:lineRule="auto"/>
              <w:rPr>
                <w:rFonts w:eastAsia="Calibri"/>
                <w:noProof/>
                <w:lang w:val="bg-BG"/>
              </w:rPr>
            </w:pPr>
            <w:r w:rsidRPr="00782BF9">
              <w:rPr>
                <w:noProof/>
                <w:lang w:val="bg-BG"/>
              </w:rPr>
              <w:t>367</w:t>
            </w:r>
          </w:p>
        </w:tc>
        <w:tc>
          <w:tcPr>
            <w:tcW w:w="1598" w:type="dxa"/>
            <w:tcBorders>
              <w:top w:val="single" w:sz="4" w:space="0" w:color="auto"/>
              <w:left w:val="nil"/>
              <w:bottom w:val="single" w:sz="4" w:space="0" w:color="auto"/>
              <w:right w:val="single" w:sz="4" w:space="0" w:color="auto"/>
            </w:tcBorders>
            <w:shd w:val="clear" w:color="auto" w:fill="C6EFCE"/>
            <w:vAlign w:val="center"/>
          </w:tcPr>
          <w:p w14:paraId="33F8EE37" w14:textId="74B73D27" w:rsidR="00CE3BAD" w:rsidRPr="00782BF9" w:rsidRDefault="006B5475">
            <w:pPr>
              <w:pStyle w:val="P68B1DB1-Normal10"/>
              <w:spacing w:after="0" w:line="240" w:lineRule="auto"/>
              <w:rPr>
                <w:rFonts w:eastAsia="Calibri"/>
                <w:noProof/>
                <w:lang w:val="bg-BG"/>
              </w:rPr>
            </w:pPr>
            <w:r w:rsidRPr="00782BF9">
              <w:rPr>
                <w:noProof/>
                <w:lang w:val="bg-BG"/>
              </w:rPr>
              <w:t>C5.I5 Развитие на трамвайната и тролейбусната система на Будапеща</w:t>
            </w:r>
          </w:p>
        </w:tc>
        <w:tc>
          <w:tcPr>
            <w:tcW w:w="1096" w:type="dxa"/>
            <w:tcBorders>
              <w:top w:val="nil"/>
              <w:left w:val="nil"/>
              <w:bottom w:val="single" w:sz="4" w:space="0" w:color="auto"/>
              <w:right w:val="single" w:sz="4" w:space="0" w:color="auto"/>
            </w:tcBorders>
            <w:shd w:val="clear" w:color="auto" w:fill="C6EFCE"/>
            <w:noWrap/>
            <w:vAlign w:val="center"/>
          </w:tcPr>
          <w:p w14:paraId="6FD7747E" w14:textId="09C7ADD2"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single" w:sz="4" w:space="0" w:color="auto"/>
              <w:left w:val="nil"/>
              <w:bottom w:val="single" w:sz="4" w:space="0" w:color="auto"/>
              <w:right w:val="single" w:sz="4" w:space="0" w:color="auto"/>
            </w:tcBorders>
            <w:shd w:val="clear" w:color="auto" w:fill="C6EFCE"/>
            <w:vAlign w:val="center"/>
          </w:tcPr>
          <w:p w14:paraId="379CEEAD" w14:textId="4C640524" w:rsidR="00CE3BAD" w:rsidRPr="00782BF9" w:rsidRDefault="006B5475">
            <w:pPr>
              <w:pStyle w:val="P68B1DB1-Normal10"/>
              <w:spacing w:after="0" w:line="240" w:lineRule="auto"/>
              <w:rPr>
                <w:rFonts w:eastAsia="Calibri"/>
                <w:noProof/>
                <w:lang w:val="bg-BG"/>
              </w:rPr>
            </w:pPr>
            <w:r w:rsidRPr="00782BF9">
              <w:rPr>
                <w:noProof/>
                <w:lang w:val="bg-BG"/>
              </w:rPr>
              <w:t>Въвеждане в експлоатация на новозакупените трамваи и свързаната с тях инфраструктура</w:t>
            </w:r>
          </w:p>
        </w:tc>
        <w:tc>
          <w:tcPr>
            <w:tcW w:w="1417" w:type="dxa"/>
            <w:tcBorders>
              <w:top w:val="nil"/>
              <w:left w:val="nil"/>
              <w:bottom w:val="single" w:sz="4" w:space="0" w:color="auto"/>
              <w:right w:val="single" w:sz="4" w:space="0" w:color="auto"/>
            </w:tcBorders>
            <w:shd w:val="clear" w:color="auto" w:fill="C6EFCE"/>
            <w:vAlign w:val="center"/>
          </w:tcPr>
          <w:p w14:paraId="1A7D21B7" w14:textId="77777777" w:rsidR="00CE3BAD" w:rsidRPr="00782BF9" w:rsidRDefault="00CE3BAD">
            <w:pPr>
              <w:spacing w:after="0" w:line="240" w:lineRule="auto"/>
              <w:jc w:val="center"/>
              <w:rPr>
                <w:rFonts w:eastAsia="Calibri"/>
                <w:noProof/>
                <w:sz w:val="18"/>
                <w:lang w:val="bg-BG"/>
              </w:rPr>
            </w:pPr>
          </w:p>
        </w:tc>
        <w:tc>
          <w:tcPr>
            <w:tcW w:w="1031" w:type="dxa"/>
            <w:tcBorders>
              <w:top w:val="nil"/>
              <w:left w:val="nil"/>
              <w:bottom w:val="single" w:sz="4" w:space="0" w:color="auto"/>
              <w:right w:val="single" w:sz="4" w:space="0" w:color="auto"/>
            </w:tcBorders>
            <w:shd w:val="clear" w:color="auto" w:fill="C6EFCE"/>
            <w:noWrap/>
            <w:vAlign w:val="center"/>
          </w:tcPr>
          <w:p w14:paraId="4D832C2B" w14:textId="3426043B" w:rsidR="00CE3BAD" w:rsidRPr="00782BF9" w:rsidRDefault="006B5475">
            <w:pPr>
              <w:pStyle w:val="P68B1DB1-Normal10"/>
              <w:spacing w:after="0" w:line="240" w:lineRule="auto"/>
              <w:jc w:val="center"/>
              <w:rPr>
                <w:rFonts w:eastAsia="Calibri"/>
                <w:noProof/>
                <w:lang w:val="bg-BG"/>
              </w:rPr>
            </w:pPr>
            <w:r w:rsidRPr="00782BF9">
              <w:rPr>
                <w:noProof/>
                <w:lang w:val="bg-BG"/>
              </w:rPr>
              <w:t>Брой</w:t>
            </w:r>
          </w:p>
        </w:tc>
        <w:tc>
          <w:tcPr>
            <w:tcW w:w="1011" w:type="dxa"/>
            <w:tcBorders>
              <w:top w:val="nil"/>
              <w:left w:val="nil"/>
              <w:bottom w:val="single" w:sz="4" w:space="0" w:color="auto"/>
              <w:right w:val="single" w:sz="4" w:space="0" w:color="auto"/>
            </w:tcBorders>
            <w:shd w:val="clear" w:color="auto" w:fill="C6EFCE"/>
            <w:noWrap/>
            <w:vAlign w:val="center"/>
          </w:tcPr>
          <w:p w14:paraId="3C423A6C" w14:textId="16D04ADF"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tcPr>
          <w:p w14:paraId="53C8220A" w14:textId="25E40472" w:rsidR="00CE3BAD" w:rsidRPr="00782BF9" w:rsidRDefault="006B5475">
            <w:pPr>
              <w:pStyle w:val="P68B1DB1-Normal10"/>
              <w:spacing w:after="0" w:line="240" w:lineRule="auto"/>
              <w:jc w:val="center"/>
              <w:rPr>
                <w:rFonts w:eastAsia="Calibri"/>
                <w:noProof/>
                <w:lang w:val="bg-BG"/>
              </w:rPr>
            </w:pPr>
            <w:r w:rsidRPr="00782BF9">
              <w:rPr>
                <w:noProof/>
                <w:lang w:val="bg-BG"/>
              </w:rPr>
              <w:t>51</w:t>
            </w:r>
          </w:p>
        </w:tc>
        <w:tc>
          <w:tcPr>
            <w:tcW w:w="832" w:type="dxa"/>
            <w:tcBorders>
              <w:top w:val="nil"/>
              <w:left w:val="nil"/>
              <w:bottom w:val="single" w:sz="4" w:space="0" w:color="auto"/>
              <w:right w:val="single" w:sz="4" w:space="0" w:color="auto"/>
            </w:tcBorders>
            <w:shd w:val="clear" w:color="auto" w:fill="C6EFCE"/>
            <w:vAlign w:val="center"/>
          </w:tcPr>
          <w:p w14:paraId="3FCECD8C" w14:textId="4B6F128E" w:rsidR="00CE3BAD" w:rsidRPr="00782BF9" w:rsidRDefault="006B5475">
            <w:pPr>
              <w:pStyle w:val="P68B1DB1-Normal10"/>
              <w:spacing w:after="0" w:line="240" w:lineRule="auto"/>
              <w:jc w:val="center"/>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tcPr>
          <w:p w14:paraId="7BB04D9F" w14:textId="7F27A534" w:rsidR="00CE3BAD" w:rsidRPr="00782BF9" w:rsidRDefault="006B5475">
            <w:pPr>
              <w:pStyle w:val="P68B1DB1-Normal10"/>
              <w:spacing w:after="0" w:line="240" w:lineRule="auto"/>
              <w:jc w:val="center"/>
              <w:rPr>
                <w:rFonts w:eastAsia="Calibri"/>
                <w:noProof/>
                <w:lang w:val="bg-BG"/>
              </w:rPr>
            </w:pPr>
            <w:r w:rsidRPr="00782BF9">
              <w:rPr>
                <w:noProof/>
                <w:lang w:val="bg-BG"/>
              </w:rPr>
              <w:t>2026</w:t>
            </w:r>
          </w:p>
        </w:tc>
        <w:tc>
          <w:tcPr>
            <w:tcW w:w="3760" w:type="dxa"/>
            <w:tcBorders>
              <w:top w:val="nil"/>
              <w:left w:val="nil"/>
              <w:bottom w:val="single" w:sz="4" w:space="0" w:color="auto"/>
              <w:right w:val="single" w:sz="4" w:space="0" w:color="auto"/>
            </w:tcBorders>
            <w:shd w:val="clear" w:color="auto" w:fill="C6EFCE"/>
            <w:vAlign w:val="center"/>
          </w:tcPr>
          <w:p w14:paraId="2EF9B101" w14:textId="34B1F7EE" w:rsidR="00CE3BAD" w:rsidRPr="00782BF9" w:rsidRDefault="006B5475">
            <w:pPr>
              <w:pStyle w:val="P68B1DB1-Normal10"/>
              <w:spacing w:after="0" w:line="240" w:lineRule="auto"/>
              <w:rPr>
                <w:rFonts w:eastAsia="Calibri"/>
                <w:noProof/>
                <w:lang w:val="bg-BG"/>
              </w:rPr>
            </w:pPr>
            <w:r w:rsidRPr="00782BF9">
              <w:rPr>
                <w:noProof/>
                <w:lang w:val="bg-BG"/>
              </w:rPr>
              <w:t xml:space="preserve">51 нови трамваи за Будапеща, сред които 46 по-кратки и 5 по-дълги ще бъдат закупени и пуснати в експлоатация. </w:t>
            </w:r>
          </w:p>
          <w:p w14:paraId="359EBDD4" w14:textId="52BD6ACC" w:rsidR="00CE3BAD" w:rsidRPr="00782BF9" w:rsidRDefault="006B5475">
            <w:pPr>
              <w:pStyle w:val="P68B1DB1-Normal10"/>
              <w:spacing w:after="0" w:line="240" w:lineRule="auto"/>
              <w:rPr>
                <w:rFonts w:eastAsia="Calibri"/>
                <w:noProof/>
                <w:lang w:val="bg-BG"/>
              </w:rPr>
            </w:pPr>
            <w:r w:rsidRPr="00782BF9">
              <w:rPr>
                <w:noProof/>
                <w:lang w:val="bg-BG"/>
              </w:rPr>
              <w:t xml:space="preserve">Допълнителните инвестиции, свързани със закупуването на нови трамваи, се извършват: реконструкция на гарите, включително крайните спирки; частичното обновяване на пътните платна. </w:t>
            </w:r>
          </w:p>
        </w:tc>
      </w:tr>
      <w:tr w:rsidR="00CE3BAD" w:rsidRPr="00782BF9" w14:paraId="7BD714EC" w14:textId="77777777">
        <w:trPr>
          <w:trHeight w:val="2452"/>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tcPr>
          <w:p w14:paraId="7E9D1DB9" w14:textId="7BB1594A" w:rsidR="00CE3BAD" w:rsidRPr="00782BF9" w:rsidRDefault="006B5475">
            <w:pPr>
              <w:pStyle w:val="P68B1DB1-Normal10"/>
              <w:spacing w:after="0" w:line="240" w:lineRule="auto"/>
              <w:rPr>
                <w:rFonts w:eastAsia="Calibri"/>
                <w:noProof/>
                <w:lang w:val="bg-BG"/>
              </w:rPr>
            </w:pPr>
            <w:r w:rsidRPr="00782BF9">
              <w:rPr>
                <w:noProof/>
                <w:lang w:val="bg-BG"/>
              </w:rPr>
              <w:t>368</w:t>
            </w:r>
          </w:p>
        </w:tc>
        <w:tc>
          <w:tcPr>
            <w:tcW w:w="1598" w:type="dxa"/>
            <w:tcBorders>
              <w:top w:val="nil"/>
              <w:left w:val="nil"/>
              <w:bottom w:val="single" w:sz="4" w:space="0" w:color="auto"/>
              <w:right w:val="single" w:sz="4" w:space="0" w:color="auto"/>
            </w:tcBorders>
            <w:shd w:val="clear" w:color="auto" w:fill="C6EFCE"/>
            <w:vAlign w:val="center"/>
          </w:tcPr>
          <w:p w14:paraId="6C8A2D47" w14:textId="0AD43F0C" w:rsidR="00CE3BAD" w:rsidRPr="00782BF9" w:rsidRDefault="006B5475">
            <w:pPr>
              <w:pStyle w:val="P68B1DB1-Normal10"/>
              <w:spacing w:after="0" w:line="240" w:lineRule="auto"/>
              <w:rPr>
                <w:rFonts w:eastAsia="Calibri"/>
                <w:noProof/>
                <w:lang w:val="bg-BG"/>
              </w:rPr>
            </w:pPr>
            <w:r w:rsidRPr="00782BF9">
              <w:rPr>
                <w:noProof/>
                <w:lang w:val="bg-BG"/>
              </w:rPr>
              <w:t>C5.I5 Развитие на трамвайната и тролейбусната система на Будапеща</w:t>
            </w:r>
          </w:p>
        </w:tc>
        <w:tc>
          <w:tcPr>
            <w:tcW w:w="1096" w:type="dxa"/>
            <w:tcBorders>
              <w:top w:val="nil"/>
              <w:left w:val="nil"/>
              <w:bottom w:val="single" w:sz="4" w:space="0" w:color="auto"/>
              <w:right w:val="single" w:sz="4" w:space="0" w:color="auto"/>
            </w:tcBorders>
            <w:shd w:val="clear" w:color="auto" w:fill="C6EFCE"/>
            <w:noWrap/>
            <w:vAlign w:val="center"/>
          </w:tcPr>
          <w:p w14:paraId="0BF7EC5D" w14:textId="5C82E070" w:rsidR="00CE3BAD" w:rsidRPr="00782BF9" w:rsidRDefault="006B5475">
            <w:pPr>
              <w:pStyle w:val="P68B1DB1-Normal10"/>
              <w:spacing w:after="0" w:line="240" w:lineRule="auto"/>
              <w:rPr>
                <w:rFonts w:eastAsia="Calibri"/>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tcPr>
          <w:p w14:paraId="41337118" w14:textId="2D9DE914" w:rsidR="00CE3BAD" w:rsidRPr="00782BF9" w:rsidRDefault="006B5475">
            <w:pPr>
              <w:pStyle w:val="P68B1DB1-Normal10"/>
              <w:spacing w:after="0" w:line="240" w:lineRule="auto"/>
              <w:rPr>
                <w:rFonts w:eastAsia="Calibri"/>
                <w:noProof/>
                <w:lang w:val="bg-BG"/>
              </w:rPr>
            </w:pPr>
            <w:r w:rsidRPr="00782BF9">
              <w:rPr>
                <w:noProof/>
                <w:lang w:val="bg-BG"/>
              </w:rPr>
              <w:t xml:space="preserve">Въвеждане в експлоатация на нов силов преобразувател за тролейбусната система </w:t>
            </w:r>
          </w:p>
        </w:tc>
        <w:tc>
          <w:tcPr>
            <w:tcW w:w="1417" w:type="dxa"/>
            <w:tcBorders>
              <w:top w:val="nil"/>
              <w:left w:val="nil"/>
              <w:bottom w:val="single" w:sz="4" w:space="0" w:color="auto"/>
              <w:right w:val="single" w:sz="4" w:space="0" w:color="auto"/>
            </w:tcBorders>
            <w:shd w:val="clear" w:color="auto" w:fill="C6EFCE"/>
            <w:vAlign w:val="center"/>
          </w:tcPr>
          <w:p w14:paraId="6D86803B" w14:textId="77777777" w:rsidR="00CE3BAD" w:rsidRPr="00782BF9" w:rsidRDefault="00CE3BAD">
            <w:pPr>
              <w:spacing w:after="0" w:line="240" w:lineRule="auto"/>
              <w:jc w:val="center"/>
              <w:rPr>
                <w:rFonts w:eastAsia="Calibri"/>
                <w:noProof/>
                <w:sz w:val="18"/>
                <w:lang w:val="bg-BG"/>
              </w:rPr>
            </w:pPr>
          </w:p>
        </w:tc>
        <w:tc>
          <w:tcPr>
            <w:tcW w:w="1031" w:type="dxa"/>
            <w:tcBorders>
              <w:top w:val="nil"/>
              <w:left w:val="nil"/>
              <w:bottom w:val="single" w:sz="4" w:space="0" w:color="auto"/>
              <w:right w:val="single" w:sz="4" w:space="0" w:color="auto"/>
            </w:tcBorders>
            <w:shd w:val="clear" w:color="auto" w:fill="C6EFCE"/>
            <w:noWrap/>
            <w:vAlign w:val="center"/>
          </w:tcPr>
          <w:p w14:paraId="5BF24175" w14:textId="3F7FAAC8" w:rsidR="00CE3BAD" w:rsidRPr="00782BF9" w:rsidRDefault="006B5475">
            <w:pPr>
              <w:pStyle w:val="P68B1DB1-Normal10"/>
              <w:spacing w:after="0" w:line="240" w:lineRule="auto"/>
              <w:jc w:val="center"/>
              <w:rPr>
                <w:rFonts w:eastAsia="Calibri"/>
                <w:noProof/>
                <w:lang w:val="bg-BG"/>
              </w:rPr>
            </w:pPr>
            <w:r w:rsidRPr="00782BF9">
              <w:rPr>
                <w:noProof/>
                <w:lang w:val="bg-BG"/>
              </w:rPr>
              <w:t>Брой</w:t>
            </w:r>
          </w:p>
        </w:tc>
        <w:tc>
          <w:tcPr>
            <w:tcW w:w="1011" w:type="dxa"/>
            <w:tcBorders>
              <w:top w:val="nil"/>
              <w:left w:val="nil"/>
              <w:bottom w:val="single" w:sz="4" w:space="0" w:color="auto"/>
              <w:right w:val="single" w:sz="4" w:space="0" w:color="auto"/>
            </w:tcBorders>
            <w:shd w:val="clear" w:color="auto" w:fill="C6EFCE"/>
            <w:noWrap/>
            <w:vAlign w:val="center"/>
          </w:tcPr>
          <w:p w14:paraId="77C6003D" w14:textId="77777777"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tcPr>
          <w:p w14:paraId="02042318" w14:textId="1FC78C41" w:rsidR="00CE3BAD" w:rsidRPr="00782BF9" w:rsidRDefault="006B5475">
            <w:pPr>
              <w:pStyle w:val="P68B1DB1-Normal10"/>
              <w:spacing w:after="0" w:line="240" w:lineRule="auto"/>
              <w:jc w:val="center"/>
              <w:rPr>
                <w:rFonts w:eastAsia="Calibri"/>
                <w:noProof/>
                <w:lang w:val="bg-BG"/>
              </w:rPr>
            </w:pPr>
            <w:r w:rsidRPr="00782BF9">
              <w:rPr>
                <w:noProof/>
                <w:lang w:val="bg-BG"/>
              </w:rPr>
              <w:t>1</w:t>
            </w:r>
          </w:p>
        </w:tc>
        <w:tc>
          <w:tcPr>
            <w:tcW w:w="832" w:type="dxa"/>
            <w:tcBorders>
              <w:top w:val="nil"/>
              <w:left w:val="nil"/>
              <w:bottom w:val="single" w:sz="4" w:space="0" w:color="auto"/>
              <w:right w:val="single" w:sz="4" w:space="0" w:color="auto"/>
            </w:tcBorders>
            <w:shd w:val="clear" w:color="auto" w:fill="C6EFCE"/>
            <w:vAlign w:val="center"/>
          </w:tcPr>
          <w:p w14:paraId="73C2F7CD" w14:textId="455C6C09" w:rsidR="00CE3BAD" w:rsidRPr="00782BF9" w:rsidRDefault="006B5475">
            <w:pPr>
              <w:pStyle w:val="P68B1DB1-Normal10"/>
              <w:spacing w:after="0" w:line="240" w:lineRule="auto"/>
              <w:jc w:val="center"/>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tcPr>
          <w:p w14:paraId="19A97A80" w14:textId="05A9679F" w:rsidR="00CE3BAD" w:rsidRPr="00782BF9" w:rsidRDefault="006B5475">
            <w:pPr>
              <w:pStyle w:val="P68B1DB1-Normal10"/>
              <w:spacing w:after="0" w:line="240" w:lineRule="auto"/>
              <w:jc w:val="center"/>
              <w:rPr>
                <w:rFonts w:eastAsia="Calibri"/>
                <w:noProof/>
                <w:lang w:val="bg-BG"/>
              </w:rPr>
            </w:pPr>
            <w:r w:rsidRPr="00782BF9">
              <w:rPr>
                <w:noProof/>
                <w:lang w:val="bg-BG"/>
              </w:rPr>
              <w:t>2026</w:t>
            </w:r>
          </w:p>
        </w:tc>
        <w:tc>
          <w:tcPr>
            <w:tcW w:w="3760" w:type="dxa"/>
            <w:tcBorders>
              <w:top w:val="nil"/>
              <w:left w:val="nil"/>
              <w:bottom w:val="single" w:sz="4" w:space="0" w:color="auto"/>
              <w:right w:val="single" w:sz="4" w:space="0" w:color="auto"/>
            </w:tcBorders>
            <w:shd w:val="clear" w:color="auto" w:fill="C6EFCE"/>
            <w:vAlign w:val="center"/>
          </w:tcPr>
          <w:p w14:paraId="15CD30D5" w14:textId="02F10582" w:rsidR="00CE3BAD" w:rsidRPr="00782BF9" w:rsidRDefault="006B5475">
            <w:pPr>
              <w:pStyle w:val="P68B1DB1-Normal10"/>
              <w:spacing w:after="0" w:line="240" w:lineRule="auto"/>
              <w:rPr>
                <w:rFonts w:eastAsia="Calibri"/>
                <w:noProof/>
                <w:lang w:val="bg-BG"/>
              </w:rPr>
            </w:pPr>
            <w:r w:rsidRPr="00782BF9">
              <w:rPr>
                <w:noProof/>
                <w:lang w:val="bg-BG"/>
              </w:rPr>
              <w:t xml:space="preserve">Въвежда се в експлоатация нов силов преобразувател за тролейбусната система. Извършват се инфраструктурни инвестиции, свързани с тролейбусите, включително въздушни проводници за тролейбусите; прекъсвачи на проводници; тролейбус — трамвай. </w:t>
            </w:r>
          </w:p>
        </w:tc>
      </w:tr>
      <w:tr w:rsidR="00CE3BAD" w:rsidRPr="00782BF9" w14:paraId="55882061" w14:textId="77777777">
        <w:trPr>
          <w:trHeight w:val="90"/>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tcPr>
          <w:p w14:paraId="43A0A849" w14:textId="412AAAF4" w:rsidR="00CE3BAD" w:rsidRPr="00782BF9" w:rsidRDefault="006B5475">
            <w:pPr>
              <w:pStyle w:val="P68B1DB1-Normal10"/>
              <w:spacing w:after="0" w:line="240" w:lineRule="auto"/>
              <w:rPr>
                <w:rFonts w:eastAsia="Calibri"/>
                <w:noProof/>
                <w:lang w:val="bg-BG"/>
              </w:rPr>
            </w:pPr>
            <w:r w:rsidRPr="00782BF9">
              <w:rPr>
                <w:noProof/>
                <w:lang w:val="bg-BG"/>
              </w:rPr>
              <w:t>96</w:t>
            </w:r>
          </w:p>
        </w:tc>
        <w:tc>
          <w:tcPr>
            <w:tcW w:w="1598" w:type="dxa"/>
            <w:tcBorders>
              <w:top w:val="single" w:sz="4" w:space="0" w:color="auto"/>
              <w:left w:val="nil"/>
              <w:bottom w:val="single" w:sz="4" w:space="0" w:color="auto"/>
              <w:right w:val="single" w:sz="4" w:space="0" w:color="auto"/>
            </w:tcBorders>
            <w:shd w:val="clear" w:color="auto" w:fill="C6EFCE"/>
            <w:vAlign w:val="center"/>
          </w:tcPr>
          <w:p w14:paraId="0564E1F3" w14:textId="75D6F93C" w:rsidR="00CE3BAD" w:rsidRPr="00782BF9" w:rsidRDefault="006B5475">
            <w:pPr>
              <w:pStyle w:val="P68B1DB1-Normal10"/>
              <w:spacing w:after="0" w:line="240" w:lineRule="auto"/>
              <w:rPr>
                <w:rFonts w:eastAsia="Calibri"/>
                <w:noProof/>
                <w:lang w:val="bg-BG"/>
              </w:rPr>
            </w:pPr>
            <w:r w:rsidRPr="00782BF9">
              <w:rPr>
                <w:noProof/>
                <w:lang w:val="bg-BG"/>
              </w:rPr>
              <w:t>C5.R1 Въвеждане на единна национална система за тарифи, продажба на билети и информация за пътниците за автобусен и железопътен транспорт от националния орган за обществен транспорт</w:t>
            </w:r>
          </w:p>
        </w:tc>
        <w:tc>
          <w:tcPr>
            <w:tcW w:w="1096" w:type="dxa"/>
            <w:tcBorders>
              <w:top w:val="nil"/>
              <w:left w:val="nil"/>
              <w:bottom w:val="single" w:sz="4" w:space="0" w:color="auto"/>
              <w:right w:val="single" w:sz="4" w:space="0" w:color="auto"/>
            </w:tcBorders>
            <w:shd w:val="clear" w:color="auto" w:fill="C6EFCE"/>
            <w:noWrap/>
            <w:vAlign w:val="center"/>
          </w:tcPr>
          <w:p w14:paraId="0A3CCA33" w14:textId="77777777"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701" w:type="dxa"/>
            <w:tcBorders>
              <w:top w:val="single" w:sz="4" w:space="0" w:color="auto"/>
              <w:left w:val="nil"/>
              <w:bottom w:val="single" w:sz="4" w:space="0" w:color="auto"/>
              <w:right w:val="single" w:sz="4" w:space="0" w:color="auto"/>
            </w:tcBorders>
            <w:shd w:val="clear" w:color="auto" w:fill="C6EFCE"/>
            <w:vAlign w:val="center"/>
          </w:tcPr>
          <w:p w14:paraId="5925AC5D" w14:textId="77777777" w:rsidR="00CE3BAD" w:rsidRPr="00782BF9" w:rsidRDefault="006B5475">
            <w:pPr>
              <w:pStyle w:val="P68B1DB1-Normal10"/>
              <w:spacing w:after="0" w:line="240" w:lineRule="auto"/>
              <w:rPr>
                <w:rFonts w:eastAsia="Calibri"/>
                <w:noProof/>
                <w:lang w:val="bg-BG"/>
              </w:rPr>
            </w:pPr>
            <w:r w:rsidRPr="00782BF9">
              <w:rPr>
                <w:noProof/>
                <w:lang w:val="bg-BG"/>
              </w:rPr>
              <w:t>Влизане в сила на законодателство, установяващо институционалната рамка, процедури и процеси</w:t>
            </w:r>
          </w:p>
        </w:tc>
        <w:tc>
          <w:tcPr>
            <w:tcW w:w="1417" w:type="dxa"/>
            <w:tcBorders>
              <w:top w:val="nil"/>
              <w:left w:val="nil"/>
              <w:bottom w:val="single" w:sz="4" w:space="0" w:color="auto"/>
              <w:right w:val="single" w:sz="4" w:space="0" w:color="auto"/>
            </w:tcBorders>
            <w:shd w:val="clear" w:color="auto" w:fill="C6EFCE"/>
            <w:vAlign w:val="center"/>
          </w:tcPr>
          <w:p w14:paraId="15526193" w14:textId="77777777" w:rsidR="00CE3BAD" w:rsidRPr="00782BF9" w:rsidRDefault="006B5475">
            <w:pPr>
              <w:pStyle w:val="P68B1DB1-Normal10"/>
              <w:spacing w:after="0" w:line="240" w:lineRule="auto"/>
              <w:ind w:left="34"/>
              <w:rPr>
                <w:rFonts w:eastAsia="Calibri"/>
                <w:noProof/>
                <w:lang w:val="bg-BG"/>
              </w:rPr>
            </w:pPr>
            <w:r w:rsidRPr="00782BF9">
              <w:rPr>
                <w:noProof/>
                <w:lang w:val="bg-BG"/>
              </w:rPr>
              <w:t>Разпоредба в законодателството, указваща влизане в сила</w:t>
            </w:r>
          </w:p>
        </w:tc>
        <w:tc>
          <w:tcPr>
            <w:tcW w:w="1031" w:type="dxa"/>
            <w:tcBorders>
              <w:top w:val="nil"/>
              <w:left w:val="nil"/>
              <w:bottom w:val="single" w:sz="4" w:space="0" w:color="auto"/>
              <w:right w:val="single" w:sz="4" w:space="0" w:color="auto"/>
            </w:tcBorders>
            <w:shd w:val="clear" w:color="auto" w:fill="C6EFCE"/>
            <w:noWrap/>
            <w:vAlign w:val="center"/>
          </w:tcPr>
          <w:p w14:paraId="14760C90" w14:textId="39F34770" w:rsidR="00CE3BAD" w:rsidRPr="00782BF9" w:rsidRDefault="00CE3BAD">
            <w:pPr>
              <w:spacing w:after="0" w:line="240" w:lineRule="auto"/>
              <w:jc w:val="center"/>
              <w:rPr>
                <w:rFonts w:eastAsia="Calibri"/>
                <w:noProof/>
                <w:sz w:val="18"/>
                <w:lang w:val="bg-BG"/>
              </w:rPr>
            </w:pPr>
          </w:p>
        </w:tc>
        <w:tc>
          <w:tcPr>
            <w:tcW w:w="1011" w:type="dxa"/>
            <w:tcBorders>
              <w:top w:val="nil"/>
              <w:left w:val="nil"/>
              <w:bottom w:val="single" w:sz="4" w:space="0" w:color="auto"/>
              <w:right w:val="single" w:sz="4" w:space="0" w:color="auto"/>
            </w:tcBorders>
            <w:shd w:val="clear" w:color="auto" w:fill="C6EFCE"/>
            <w:noWrap/>
            <w:vAlign w:val="center"/>
          </w:tcPr>
          <w:p w14:paraId="0FCCA0B8" w14:textId="4508759E"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tcPr>
          <w:p w14:paraId="383E735C" w14:textId="709517BF" w:rsidR="00CE3BAD" w:rsidRPr="00782BF9" w:rsidRDefault="00CE3BAD">
            <w:pPr>
              <w:spacing w:after="0" w:line="240" w:lineRule="auto"/>
              <w:jc w:val="center"/>
              <w:rPr>
                <w:rFonts w:eastAsia="Calibri"/>
                <w:noProof/>
                <w:sz w:val="18"/>
                <w:lang w:val="bg-BG"/>
              </w:rPr>
            </w:pPr>
          </w:p>
        </w:tc>
        <w:tc>
          <w:tcPr>
            <w:tcW w:w="832" w:type="dxa"/>
            <w:tcBorders>
              <w:top w:val="nil"/>
              <w:left w:val="nil"/>
              <w:bottom w:val="single" w:sz="4" w:space="0" w:color="auto"/>
              <w:right w:val="single" w:sz="4" w:space="0" w:color="auto"/>
            </w:tcBorders>
            <w:shd w:val="clear" w:color="auto" w:fill="C6EFCE"/>
            <w:vAlign w:val="center"/>
          </w:tcPr>
          <w:p w14:paraId="4EDC52F5" w14:textId="77777777" w:rsidR="00CE3BAD" w:rsidRPr="00782BF9" w:rsidRDefault="006B5475">
            <w:pPr>
              <w:pStyle w:val="P68B1DB1-Normal10"/>
              <w:spacing w:after="0" w:line="240" w:lineRule="auto"/>
              <w:rPr>
                <w:rFonts w:eastAsia="Calibri"/>
                <w:noProof/>
                <w:lang w:val="bg-BG"/>
              </w:rPr>
            </w:pPr>
            <w:r w:rsidRPr="00782BF9">
              <w:rPr>
                <w:noProof/>
                <w:lang w:val="bg-BG"/>
              </w:rPr>
              <w:t>Т2 Г.</w:t>
            </w:r>
          </w:p>
        </w:tc>
        <w:tc>
          <w:tcPr>
            <w:tcW w:w="776" w:type="dxa"/>
            <w:tcBorders>
              <w:top w:val="nil"/>
              <w:left w:val="nil"/>
              <w:bottom w:val="single" w:sz="4" w:space="0" w:color="auto"/>
              <w:right w:val="single" w:sz="4" w:space="0" w:color="auto"/>
            </w:tcBorders>
            <w:shd w:val="clear" w:color="auto" w:fill="C6EFCE"/>
            <w:vAlign w:val="center"/>
          </w:tcPr>
          <w:p w14:paraId="7567663B" w14:textId="77777777" w:rsidR="00CE3BAD" w:rsidRPr="00782BF9" w:rsidRDefault="006B5475">
            <w:pPr>
              <w:pStyle w:val="P68B1DB1-Normal10"/>
              <w:spacing w:after="0" w:line="240" w:lineRule="auto"/>
              <w:rPr>
                <w:rFonts w:eastAsia="Calibri"/>
                <w:noProof/>
                <w:lang w:val="bg-BG"/>
              </w:rPr>
            </w:pPr>
            <w:r w:rsidRPr="00782BF9">
              <w:rPr>
                <w:noProof/>
                <w:lang w:val="bg-BG"/>
              </w:rPr>
              <w:t>2023</w:t>
            </w:r>
          </w:p>
        </w:tc>
        <w:tc>
          <w:tcPr>
            <w:tcW w:w="3760" w:type="dxa"/>
            <w:tcBorders>
              <w:top w:val="nil"/>
              <w:left w:val="nil"/>
              <w:bottom w:val="single" w:sz="4" w:space="0" w:color="auto"/>
              <w:right w:val="single" w:sz="4" w:space="0" w:color="auto"/>
            </w:tcBorders>
            <w:shd w:val="clear" w:color="auto" w:fill="C6EFCE"/>
            <w:vAlign w:val="center"/>
          </w:tcPr>
          <w:p w14:paraId="1AC9CE7C" w14:textId="77777777" w:rsidR="00CE3BAD" w:rsidRPr="00782BF9" w:rsidRDefault="006B5475">
            <w:pPr>
              <w:pStyle w:val="P68B1DB1-Normal10"/>
              <w:spacing w:after="0" w:line="240" w:lineRule="auto"/>
              <w:rPr>
                <w:rFonts w:eastAsia="Calibri"/>
                <w:noProof/>
                <w:lang w:val="bg-BG"/>
              </w:rPr>
            </w:pPr>
            <w:r w:rsidRPr="00782BF9">
              <w:rPr>
                <w:noProof/>
                <w:lang w:val="bg-BG"/>
              </w:rPr>
              <w:t>Влизане в сила на изменението на Закона за услугите за пътнически превоз, с което се създава Национален орган за обществен транспорт.</w:t>
            </w:r>
          </w:p>
          <w:p w14:paraId="4B0337FF"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Влизане в сила на законодателството и подзаконовите актове за прилагане, установяващи институционалната рамка, процедурите и процесите по отношение на тарифната система, процедурите за информиране на пътниците, работните процеси между Националния орган за обществен транспорт и операторите на обществени услуги, рамките на договорите за обществени услуги, кореспонденцията и управлението на извънредни ситуации. Това законодателство е в съответствие с разпоредбите относно правата на пътниците и се изготвя след анализ на настоящата информационна сигурност и процедури.  </w:t>
            </w:r>
          </w:p>
        </w:tc>
      </w:tr>
      <w:tr w:rsidR="00CE3BAD" w:rsidRPr="00782BF9" w14:paraId="2702516D" w14:textId="77777777">
        <w:trPr>
          <w:trHeight w:val="1655"/>
          <w:jc w:val="center"/>
        </w:trPr>
        <w:tc>
          <w:tcPr>
            <w:tcW w:w="1134" w:type="dxa"/>
            <w:tcBorders>
              <w:top w:val="nil"/>
              <w:left w:val="single" w:sz="4" w:space="0" w:color="auto"/>
              <w:bottom w:val="single" w:sz="4" w:space="0" w:color="auto"/>
              <w:right w:val="single" w:sz="4" w:space="0" w:color="auto"/>
            </w:tcBorders>
            <w:shd w:val="clear" w:color="auto" w:fill="C6EFCE"/>
            <w:noWrap/>
            <w:vAlign w:val="center"/>
          </w:tcPr>
          <w:p w14:paraId="624F14E9" w14:textId="1EF28392" w:rsidR="00CE3BAD" w:rsidRPr="00782BF9" w:rsidRDefault="006B5475">
            <w:pPr>
              <w:pStyle w:val="P68B1DB1-Normal10"/>
              <w:spacing w:after="0" w:line="240" w:lineRule="auto"/>
              <w:rPr>
                <w:rFonts w:eastAsia="Calibri"/>
                <w:noProof/>
                <w:lang w:val="bg-BG"/>
              </w:rPr>
            </w:pPr>
            <w:r w:rsidRPr="00782BF9">
              <w:rPr>
                <w:noProof/>
                <w:lang w:val="bg-BG"/>
              </w:rPr>
              <w:t>97</w:t>
            </w:r>
          </w:p>
        </w:tc>
        <w:tc>
          <w:tcPr>
            <w:tcW w:w="1598" w:type="dxa"/>
            <w:tcBorders>
              <w:top w:val="single" w:sz="4" w:space="0" w:color="auto"/>
              <w:left w:val="nil"/>
              <w:bottom w:val="single" w:sz="4" w:space="0" w:color="auto"/>
              <w:right w:val="single" w:sz="4" w:space="0" w:color="auto"/>
            </w:tcBorders>
            <w:shd w:val="clear" w:color="auto" w:fill="C6EFCE"/>
            <w:vAlign w:val="center"/>
          </w:tcPr>
          <w:p w14:paraId="0EE20929" w14:textId="089F4D7F" w:rsidR="00CE3BAD" w:rsidRPr="00782BF9" w:rsidRDefault="006B5475">
            <w:pPr>
              <w:pStyle w:val="P68B1DB1-Normal10"/>
              <w:spacing w:after="0" w:line="240" w:lineRule="auto"/>
              <w:rPr>
                <w:rFonts w:eastAsia="Calibri"/>
                <w:noProof/>
                <w:lang w:val="bg-BG"/>
              </w:rPr>
            </w:pPr>
            <w:r w:rsidRPr="00782BF9">
              <w:rPr>
                <w:noProof/>
                <w:lang w:val="bg-BG"/>
              </w:rPr>
              <w:t>C5.R1 Въвеждане на единна национална система за тарифи, продажба на билети и информация за пътниците за автобусен и железопътен транспорт от националния орган за обществен транспорт</w:t>
            </w:r>
          </w:p>
        </w:tc>
        <w:tc>
          <w:tcPr>
            <w:tcW w:w="1096" w:type="dxa"/>
            <w:tcBorders>
              <w:top w:val="nil"/>
              <w:left w:val="nil"/>
              <w:bottom w:val="single" w:sz="4" w:space="0" w:color="auto"/>
              <w:right w:val="single" w:sz="4" w:space="0" w:color="auto"/>
            </w:tcBorders>
            <w:shd w:val="clear" w:color="auto" w:fill="C6EFCE"/>
            <w:noWrap/>
            <w:vAlign w:val="center"/>
          </w:tcPr>
          <w:p w14:paraId="10862D8F" w14:textId="77777777"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701" w:type="dxa"/>
            <w:tcBorders>
              <w:top w:val="single" w:sz="4" w:space="0" w:color="auto"/>
              <w:left w:val="nil"/>
              <w:bottom w:val="single" w:sz="4" w:space="0" w:color="auto"/>
              <w:right w:val="single" w:sz="4" w:space="0" w:color="auto"/>
            </w:tcBorders>
            <w:shd w:val="clear" w:color="auto" w:fill="C6EFCE"/>
            <w:vAlign w:val="center"/>
          </w:tcPr>
          <w:p w14:paraId="068E7B41" w14:textId="687040FE" w:rsidR="00CE3BAD" w:rsidRPr="00782BF9" w:rsidRDefault="006B5475">
            <w:pPr>
              <w:pStyle w:val="P68B1DB1-Normal10"/>
              <w:spacing w:after="0" w:line="240" w:lineRule="auto"/>
              <w:rPr>
                <w:rFonts w:eastAsia="Calibri"/>
                <w:noProof/>
                <w:lang w:val="bg-BG"/>
              </w:rPr>
            </w:pPr>
            <w:r w:rsidRPr="00782BF9">
              <w:rPr>
                <w:noProof/>
                <w:lang w:val="bg-BG"/>
              </w:rPr>
              <w:t>Инфраструктура за издаване на билети и разработване на информационна платформа</w:t>
            </w:r>
          </w:p>
        </w:tc>
        <w:tc>
          <w:tcPr>
            <w:tcW w:w="1417" w:type="dxa"/>
            <w:tcBorders>
              <w:top w:val="nil"/>
              <w:left w:val="nil"/>
              <w:bottom w:val="single" w:sz="4" w:space="0" w:color="auto"/>
              <w:right w:val="single" w:sz="4" w:space="0" w:color="auto"/>
            </w:tcBorders>
            <w:shd w:val="clear" w:color="auto" w:fill="C6EFCE"/>
            <w:vAlign w:val="center"/>
          </w:tcPr>
          <w:p w14:paraId="231B17D9" w14:textId="43FE33BE" w:rsidR="00CE3BAD" w:rsidRPr="00782BF9" w:rsidRDefault="006B5475">
            <w:pPr>
              <w:pStyle w:val="P68B1DB1-Normal10"/>
              <w:spacing w:after="0" w:line="240" w:lineRule="auto"/>
              <w:ind w:left="34"/>
              <w:rPr>
                <w:rFonts w:eastAsia="Calibri"/>
                <w:noProof/>
                <w:lang w:val="bg-BG"/>
              </w:rPr>
            </w:pPr>
            <w:r w:rsidRPr="00782BF9">
              <w:rPr>
                <w:noProof/>
                <w:lang w:val="bg-BG"/>
              </w:rPr>
              <w:t>Въвеждане в експлоатация на инфраструктура за продажба на билети и наличност на информационната платформа</w:t>
            </w:r>
          </w:p>
        </w:tc>
        <w:tc>
          <w:tcPr>
            <w:tcW w:w="1031" w:type="dxa"/>
            <w:tcBorders>
              <w:top w:val="nil"/>
              <w:left w:val="nil"/>
              <w:bottom w:val="single" w:sz="4" w:space="0" w:color="auto"/>
              <w:right w:val="single" w:sz="4" w:space="0" w:color="auto"/>
            </w:tcBorders>
            <w:shd w:val="clear" w:color="auto" w:fill="C6EFCE"/>
            <w:noWrap/>
            <w:vAlign w:val="center"/>
          </w:tcPr>
          <w:p w14:paraId="616EB240" w14:textId="4884C6A2" w:rsidR="00CE3BAD" w:rsidRPr="00782BF9" w:rsidRDefault="00CE3BAD">
            <w:pPr>
              <w:spacing w:after="0" w:line="240" w:lineRule="auto"/>
              <w:jc w:val="center"/>
              <w:rPr>
                <w:rFonts w:eastAsia="Calibri"/>
                <w:noProof/>
                <w:sz w:val="18"/>
                <w:lang w:val="bg-BG"/>
              </w:rPr>
            </w:pPr>
          </w:p>
        </w:tc>
        <w:tc>
          <w:tcPr>
            <w:tcW w:w="1011" w:type="dxa"/>
            <w:tcBorders>
              <w:top w:val="nil"/>
              <w:left w:val="nil"/>
              <w:bottom w:val="single" w:sz="4" w:space="0" w:color="auto"/>
              <w:right w:val="single" w:sz="4" w:space="0" w:color="auto"/>
            </w:tcBorders>
            <w:shd w:val="clear" w:color="auto" w:fill="C6EFCE"/>
            <w:noWrap/>
            <w:vAlign w:val="center"/>
          </w:tcPr>
          <w:p w14:paraId="6EB939F5" w14:textId="28C522C6" w:rsidR="00CE3BAD" w:rsidRPr="00782BF9" w:rsidRDefault="00CE3BAD">
            <w:pPr>
              <w:spacing w:after="0" w:line="240" w:lineRule="auto"/>
              <w:jc w:val="center"/>
              <w:rPr>
                <w:rFonts w:eastAsia="Calibri"/>
                <w:noProof/>
                <w:sz w:val="18"/>
                <w:lang w:val="bg-BG"/>
              </w:rPr>
            </w:pPr>
          </w:p>
        </w:tc>
        <w:tc>
          <w:tcPr>
            <w:tcW w:w="709" w:type="dxa"/>
            <w:tcBorders>
              <w:top w:val="nil"/>
              <w:left w:val="nil"/>
              <w:bottom w:val="single" w:sz="4" w:space="0" w:color="auto"/>
              <w:right w:val="single" w:sz="4" w:space="0" w:color="auto"/>
            </w:tcBorders>
            <w:shd w:val="clear" w:color="auto" w:fill="C6EFCE"/>
            <w:noWrap/>
            <w:vAlign w:val="center"/>
          </w:tcPr>
          <w:p w14:paraId="52F15DBF" w14:textId="2DD3CB51" w:rsidR="00CE3BAD" w:rsidRPr="00782BF9" w:rsidRDefault="00CE3BAD">
            <w:pPr>
              <w:spacing w:after="0" w:line="240" w:lineRule="auto"/>
              <w:jc w:val="center"/>
              <w:rPr>
                <w:rFonts w:eastAsia="Calibri"/>
                <w:noProof/>
                <w:sz w:val="18"/>
                <w:lang w:val="bg-BG"/>
              </w:rPr>
            </w:pPr>
          </w:p>
        </w:tc>
        <w:tc>
          <w:tcPr>
            <w:tcW w:w="832" w:type="dxa"/>
            <w:tcBorders>
              <w:top w:val="nil"/>
              <w:left w:val="nil"/>
              <w:bottom w:val="single" w:sz="4" w:space="0" w:color="auto"/>
              <w:right w:val="single" w:sz="4" w:space="0" w:color="auto"/>
            </w:tcBorders>
            <w:shd w:val="clear" w:color="auto" w:fill="C6EFCE"/>
            <w:vAlign w:val="center"/>
          </w:tcPr>
          <w:p w14:paraId="10A6380A" w14:textId="0A13E914" w:rsidR="00CE3BAD" w:rsidRPr="00782BF9" w:rsidRDefault="006B5475">
            <w:pPr>
              <w:pStyle w:val="P68B1DB1-Normal10"/>
              <w:spacing w:after="0" w:line="240" w:lineRule="auto"/>
              <w:rPr>
                <w:rFonts w:eastAsia="Calibri"/>
                <w:noProof/>
                <w:lang w:val="bg-BG"/>
              </w:rPr>
            </w:pPr>
            <w:r w:rsidRPr="00782BF9">
              <w:rPr>
                <w:noProof/>
                <w:lang w:val="bg-BG"/>
              </w:rPr>
              <w:t>Т4 Г.</w:t>
            </w:r>
          </w:p>
        </w:tc>
        <w:tc>
          <w:tcPr>
            <w:tcW w:w="776" w:type="dxa"/>
            <w:tcBorders>
              <w:top w:val="nil"/>
              <w:left w:val="nil"/>
              <w:bottom w:val="single" w:sz="4" w:space="0" w:color="auto"/>
              <w:right w:val="single" w:sz="4" w:space="0" w:color="auto"/>
            </w:tcBorders>
            <w:shd w:val="clear" w:color="auto" w:fill="C6EFCE"/>
            <w:vAlign w:val="center"/>
          </w:tcPr>
          <w:p w14:paraId="53C08E54" w14:textId="38E14AB4" w:rsidR="00CE3BAD" w:rsidRPr="00782BF9" w:rsidRDefault="006B5475">
            <w:pPr>
              <w:pStyle w:val="P68B1DB1-Normal10"/>
              <w:spacing w:after="0" w:line="240" w:lineRule="auto"/>
              <w:rPr>
                <w:rFonts w:eastAsia="Calibri"/>
                <w:noProof/>
                <w:lang w:val="bg-BG"/>
              </w:rPr>
            </w:pPr>
            <w:r w:rsidRPr="00782BF9">
              <w:rPr>
                <w:noProof/>
                <w:lang w:val="bg-BG"/>
              </w:rPr>
              <w:t>2024</w:t>
            </w:r>
          </w:p>
        </w:tc>
        <w:tc>
          <w:tcPr>
            <w:tcW w:w="3760" w:type="dxa"/>
            <w:tcBorders>
              <w:top w:val="nil"/>
              <w:left w:val="nil"/>
              <w:bottom w:val="single" w:sz="4" w:space="0" w:color="auto"/>
              <w:right w:val="single" w:sz="4" w:space="0" w:color="auto"/>
            </w:tcBorders>
            <w:shd w:val="clear" w:color="auto" w:fill="C6EFCE"/>
            <w:vAlign w:val="center"/>
          </w:tcPr>
          <w:p w14:paraId="1D211D49" w14:textId="35FBBC33" w:rsidR="00CE3BAD" w:rsidRPr="00782BF9" w:rsidRDefault="006B5475">
            <w:pPr>
              <w:pStyle w:val="P68B1DB1-Normal10"/>
              <w:spacing w:after="0" w:line="240" w:lineRule="auto"/>
              <w:rPr>
                <w:rFonts w:eastAsia="Calibri"/>
                <w:noProof/>
                <w:lang w:val="bg-BG"/>
              </w:rPr>
            </w:pPr>
            <w:r w:rsidRPr="00782BF9">
              <w:rPr>
                <w:noProof/>
                <w:lang w:val="bg-BG"/>
              </w:rPr>
              <w:t>Въвеждане в експлоатация на инфраструктура за издаване на билети и свързаните с нея услуги за инфраструктурата на системата OpenData BI.</w:t>
            </w:r>
          </w:p>
          <w:p w14:paraId="1A6D3B29" w14:textId="77777777" w:rsidR="00CE3BAD" w:rsidRPr="00782BF9" w:rsidRDefault="00CE3BAD">
            <w:pPr>
              <w:spacing w:after="0" w:line="240" w:lineRule="auto"/>
              <w:rPr>
                <w:rFonts w:eastAsia="Calibri"/>
                <w:noProof/>
                <w:sz w:val="18"/>
                <w:lang w:val="bg-BG"/>
              </w:rPr>
            </w:pPr>
          </w:p>
          <w:p w14:paraId="6B834BDD" w14:textId="77777777" w:rsidR="00CE3BAD" w:rsidRPr="00782BF9" w:rsidRDefault="006B5475">
            <w:pPr>
              <w:pStyle w:val="P68B1DB1-Normal10"/>
              <w:spacing w:after="0" w:line="240" w:lineRule="auto"/>
              <w:rPr>
                <w:rFonts w:eastAsia="Calibri"/>
                <w:noProof/>
                <w:lang w:val="bg-BG"/>
              </w:rPr>
            </w:pPr>
            <w:r w:rsidRPr="00782BF9">
              <w:rPr>
                <w:noProof/>
                <w:lang w:val="bg-BG"/>
              </w:rPr>
              <w:t>Платформата за информация за пътуванията и тарифите в реално време е достъпна на публична платформа, както и чрез приложно-програмен интерфейс.</w:t>
            </w:r>
          </w:p>
        </w:tc>
      </w:tr>
      <w:tr w:rsidR="00CE3BAD" w:rsidRPr="00782BF9" w14:paraId="4D721BE1" w14:textId="77777777">
        <w:trPr>
          <w:trHeight w:val="1797"/>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FA8B0E" w14:textId="029089AA" w:rsidR="00CE3BAD" w:rsidRPr="00782BF9" w:rsidRDefault="006B5475">
            <w:pPr>
              <w:pStyle w:val="P68B1DB1-Normal10"/>
              <w:spacing w:after="0" w:line="240" w:lineRule="auto"/>
              <w:rPr>
                <w:rFonts w:eastAsia="Calibri"/>
                <w:noProof/>
                <w:lang w:val="bg-BG"/>
              </w:rPr>
            </w:pPr>
            <w:r w:rsidRPr="00782BF9">
              <w:rPr>
                <w:noProof/>
                <w:lang w:val="bg-BG"/>
              </w:rPr>
              <w:t>98</w:t>
            </w:r>
          </w:p>
        </w:tc>
        <w:tc>
          <w:tcPr>
            <w:tcW w:w="1598" w:type="dxa"/>
            <w:tcBorders>
              <w:top w:val="single" w:sz="4" w:space="0" w:color="auto"/>
              <w:left w:val="nil"/>
              <w:bottom w:val="single" w:sz="4" w:space="0" w:color="auto"/>
              <w:right w:val="single" w:sz="4" w:space="0" w:color="auto"/>
            </w:tcBorders>
            <w:shd w:val="clear" w:color="auto" w:fill="C6EFCE"/>
            <w:vAlign w:val="center"/>
          </w:tcPr>
          <w:p w14:paraId="0CB5645E" w14:textId="671EDA68" w:rsidR="00CE3BAD" w:rsidRPr="00782BF9" w:rsidRDefault="006B5475">
            <w:pPr>
              <w:pStyle w:val="P68B1DB1-Normal10"/>
              <w:spacing w:after="0" w:line="240" w:lineRule="auto"/>
              <w:rPr>
                <w:rFonts w:eastAsia="Calibri"/>
                <w:noProof/>
                <w:lang w:val="bg-BG"/>
              </w:rPr>
            </w:pPr>
            <w:r w:rsidRPr="00782BF9">
              <w:rPr>
                <w:noProof/>
                <w:lang w:val="bg-BG"/>
              </w:rPr>
              <w:t>C5.R1 Въвеждане на единна национална система за тарифи, продажба на билети и информация за пътниците за автобусен и железопътен транспорт от националния орган за обществен транспорт</w:t>
            </w:r>
          </w:p>
        </w:tc>
        <w:tc>
          <w:tcPr>
            <w:tcW w:w="1096" w:type="dxa"/>
            <w:tcBorders>
              <w:top w:val="single" w:sz="4" w:space="0" w:color="auto"/>
              <w:left w:val="nil"/>
              <w:bottom w:val="single" w:sz="4" w:space="0" w:color="auto"/>
              <w:right w:val="single" w:sz="4" w:space="0" w:color="auto"/>
            </w:tcBorders>
            <w:shd w:val="clear" w:color="auto" w:fill="C6EFCE"/>
            <w:noWrap/>
            <w:vAlign w:val="center"/>
          </w:tcPr>
          <w:p w14:paraId="25D81A2E" w14:textId="77777777" w:rsidR="00CE3BAD" w:rsidRPr="00782BF9" w:rsidRDefault="006B5475">
            <w:pPr>
              <w:pStyle w:val="P68B1DB1-Normal10"/>
              <w:spacing w:after="0" w:line="240" w:lineRule="auto"/>
              <w:rPr>
                <w:rFonts w:eastAsia="Calibri"/>
                <w:noProof/>
                <w:lang w:val="bg-BG"/>
              </w:rPr>
            </w:pPr>
            <w:r w:rsidRPr="00782BF9">
              <w:rPr>
                <w:noProof/>
                <w:lang w:val="bg-BG"/>
              </w:rPr>
              <w:t>Ключов етап</w:t>
            </w:r>
          </w:p>
        </w:tc>
        <w:tc>
          <w:tcPr>
            <w:tcW w:w="1701" w:type="dxa"/>
            <w:tcBorders>
              <w:top w:val="single" w:sz="4" w:space="0" w:color="auto"/>
              <w:left w:val="nil"/>
              <w:bottom w:val="single" w:sz="4" w:space="0" w:color="auto"/>
              <w:right w:val="single" w:sz="4" w:space="0" w:color="auto"/>
            </w:tcBorders>
            <w:shd w:val="clear" w:color="auto" w:fill="C6EFCE"/>
            <w:vAlign w:val="center"/>
          </w:tcPr>
          <w:p w14:paraId="6E711ABE"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Въвеждане на портал OpenData </w:t>
            </w:r>
          </w:p>
          <w:p w14:paraId="041BE888"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и на система за информация за пътниците в реално време </w:t>
            </w:r>
          </w:p>
        </w:tc>
        <w:tc>
          <w:tcPr>
            <w:tcW w:w="1417" w:type="dxa"/>
            <w:tcBorders>
              <w:top w:val="single" w:sz="4" w:space="0" w:color="auto"/>
              <w:left w:val="nil"/>
              <w:bottom w:val="single" w:sz="4" w:space="0" w:color="auto"/>
              <w:right w:val="single" w:sz="4" w:space="0" w:color="auto"/>
            </w:tcBorders>
            <w:shd w:val="clear" w:color="auto" w:fill="C6EFCE"/>
            <w:vAlign w:val="center"/>
          </w:tcPr>
          <w:p w14:paraId="3DB46679" w14:textId="77777777" w:rsidR="00CE3BAD" w:rsidRPr="00782BF9" w:rsidRDefault="006B5475">
            <w:pPr>
              <w:pStyle w:val="P68B1DB1-Normal10"/>
              <w:spacing w:after="0" w:line="240" w:lineRule="auto"/>
              <w:rPr>
                <w:rFonts w:eastAsia="Calibri"/>
                <w:noProof/>
                <w:lang w:val="bg-BG"/>
              </w:rPr>
            </w:pPr>
            <w:r w:rsidRPr="00782BF9">
              <w:rPr>
                <w:noProof/>
                <w:lang w:val="bg-BG"/>
              </w:rPr>
              <w:t>Порталът OpenData е достъпен за обществеността и е въведена система за информация за пътниците в реално време</w:t>
            </w:r>
          </w:p>
        </w:tc>
        <w:tc>
          <w:tcPr>
            <w:tcW w:w="1031" w:type="dxa"/>
            <w:tcBorders>
              <w:top w:val="single" w:sz="4" w:space="0" w:color="auto"/>
              <w:left w:val="nil"/>
              <w:bottom w:val="single" w:sz="4" w:space="0" w:color="auto"/>
              <w:right w:val="single" w:sz="4" w:space="0" w:color="auto"/>
            </w:tcBorders>
            <w:shd w:val="clear" w:color="auto" w:fill="C6EFCE"/>
            <w:noWrap/>
            <w:vAlign w:val="center"/>
          </w:tcPr>
          <w:p w14:paraId="4CCC0B38" w14:textId="691FFB17" w:rsidR="00CE3BAD" w:rsidRPr="00782BF9" w:rsidRDefault="00CE3BAD">
            <w:pPr>
              <w:spacing w:after="0" w:line="240" w:lineRule="auto"/>
              <w:jc w:val="center"/>
              <w:rPr>
                <w:rFonts w:eastAsia="Calibri"/>
                <w:noProof/>
                <w:sz w:val="18"/>
                <w:lang w:val="bg-BG"/>
              </w:rPr>
            </w:pPr>
          </w:p>
        </w:tc>
        <w:tc>
          <w:tcPr>
            <w:tcW w:w="1011" w:type="dxa"/>
            <w:tcBorders>
              <w:top w:val="single" w:sz="4" w:space="0" w:color="auto"/>
              <w:left w:val="nil"/>
              <w:bottom w:val="single" w:sz="4" w:space="0" w:color="auto"/>
              <w:right w:val="single" w:sz="4" w:space="0" w:color="auto"/>
            </w:tcBorders>
            <w:shd w:val="clear" w:color="auto" w:fill="C6EFCE"/>
            <w:noWrap/>
            <w:vAlign w:val="center"/>
          </w:tcPr>
          <w:p w14:paraId="4AD74653" w14:textId="0AF095DF" w:rsidR="00CE3BAD" w:rsidRPr="00782BF9" w:rsidRDefault="00CE3BAD">
            <w:pPr>
              <w:spacing w:after="0" w:line="240" w:lineRule="auto"/>
              <w:jc w:val="center"/>
              <w:rPr>
                <w:rFonts w:eastAsia="Calibri"/>
                <w:noProof/>
                <w:sz w:val="18"/>
                <w:lang w:val="bg-BG"/>
              </w:rPr>
            </w:pP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3FB1B5F8" w14:textId="4AB250CC" w:rsidR="00CE3BAD" w:rsidRPr="00782BF9" w:rsidRDefault="00CE3BAD">
            <w:pPr>
              <w:spacing w:after="0" w:line="240" w:lineRule="auto"/>
              <w:jc w:val="center"/>
              <w:rPr>
                <w:rFonts w:eastAsia="Calibri"/>
                <w:noProof/>
                <w:sz w:val="18"/>
                <w:lang w:val="bg-BG"/>
              </w:rPr>
            </w:pPr>
          </w:p>
        </w:tc>
        <w:tc>
          <w:tcPr>
            <w:tcW w:w="832" w:type="dxa"/>
            <w:tcBorders>
              <w:top w:val="single" w:sz="4" w:space="0" w:color="auto"/>
              <w:left w:val="nil"/>
              <w:bottom w:val="single" w:sz="4" w:space="0" w:color="auto"/>
              <w:right w:val="single" w:sz="4" w:space="0" w:color="auto"/>
            </w:tcBorders>
            <w:shd w:val="clear" w:color="auto" w:fill="C6EFCE"/>
            <w:vAlign w:val="center"/>
          </w:tcPr>
          <w:p w14:paraId="1F9EC070" w14:textId="77777777" w:rsidR="00CE3BAD" w:rsidRPr="00782BF9" w:rsidRDefault="006B5475">
            <w:pPr>
              <w:pStyle w:val="P68B1DB1-Normal10"/>
              <w:spacing w:after="0" w:line="240" w:lineRule="auto"/>
              <w:rPr>
                <w:rFonts w:eastAsia="Calibri"/>
                <w:noProof/>
                <w:lang w:val="bg-BG"/>
              </w:rPr>
            </w:pPr>
            <w:r w:rsidRPr="00782BF9">
              <w:rPr>
                <w:noProof/>
                <w:lang w:val="bg-BG"/>
              </w:rPr>
              <w:t>Т4 Г.</w:t>
            </w:r>
          </w:p>
        </w:tc>
        <w:tc>
          <w:tcPr>
            <w:tcW w:w="776" w:type="dxa"/>
            <w:tcBorders>
              <w:top w:val="single" w:sz="4" w:space="0" w:color="auto"/>
              <w:left w:val="nil"/>
              <w:bottom w:val="single" w:sz="4" w:space="0" w:color="auto"/>
              <w:right w:val="single" w:sz="4" w:space="0" w:color="auto"/>
            </w:tcBorders>
            <w:shd w:val="clear" w:color="auto" w:fill="C6EFCE"/>
            <w:vAlign w:val="center"/>
          </w:tcPr>
          <w:p w14:paraId="28495E42" w14:textId="156FBE15" w:rsidR="00CE3BAD" w:rsidRPr="00782BF9" w:rsidRDefault="006B5475">
            <w:pPr>
              <w:pStyle w:val="P68B1DB1-Normal10"/>
              <w:spacing w:after="0" w:line="240" w:lineRule="auto"/>
              <w:rPr>
                <w:rFonts w:eastAsia="Calibri"/>
                <w:noProof/>
                <w:lang w:val="bg-BG"/>
              </w:rPr>
            </w:pPr>
            <w:r w:rsidRPr="00782BF9">
              <w:rPr>
                <w:noProof/>
                <w:lang w:val="bg-BG"/>
              </w:rPr>
              <w:t>2025</w:t>
            </w:r>
          </w:p>
        </w:tc>
        <w:tc>
          <w:tcPr>
            <w:tcW w:w="3760" w:type="dxa"/>
            <w:tcBorders>
              <w:top w:val="single" w:sz="4" w:space="0" w:color="auto"/>
              <w:left w:val="nil"/>
              <w:bottom w:val="single" w:sz="4" w:space="0" w:color="auto"/>
              <w:right w:val="single" w:sz="4" w:space="0" w:color="auto"/>
            </w:tcBorders>
            <w:shd w:val="clear" w:color="auto" w:fill="C6EFCE"/>
            <w:vAlign w:val="center"/>
          </w:tcPr>
          <w:p w14:paraId="21B1CE17" w14:textId="77777777" w:rsidR="00CE3BAD" w:rsidRPr="00782BF9" w:rsidRDefault="006B5475">
            <w:pPr>
              <w:pStyle w:val="P68B1DB1-Normal10"/>
              <w:spacing w:after="0" w:line="240" w:lineRule="auto"/>
              <w:rPr>
                <w:rFonts w:eastAsia="Calibri"/>
                <w:noProof/>
                <w:lang w:val="bg-BG"/>
              </w:rPr>
            </w:pPr>
            <w:r w:rsidRPr="00782BF9">
              <w:rPr>
                <w:noProof/>
                <w:lang w:val="bg-BG"/>
              </w:rPr>
              <w:t>Националният орган за обществен транспорт предоставя публичен достъп до портал OpenData, съдържащ данни за пътническия транспорт, по-специално графиците, информацията за пътуванията в реално време, тарифите и издаването на билети при регистрацията.</w:t>
            </w:r>
          </w:p>
          <w:p w14:paraId="3D3C001A" w14:textId="77777777" w:rsidR="00CE3BAD" w:rsidRPr="00782BF9" w:rsidRDefault="00CE3BAD">
            <w:pPr>
              <w:spacing w:after="0" w:line="240" w:lineRule="auto"/>
              <w:rPr>
                <w:rFonts w:eastAsia="Calibri"/>
                <w:noProof/>
                <w:sz w:val="18"/>
                <w:lang w:val="bg-BG"/>
              </w:rPr>
            </w:pPr>
          </w:p>
          <w:p w14:paraId="41DCC4AE" w14:textId="77777777" w:rsidR="00CE3BAD" w:rsidRPr="00782BF9" w:rsidRDefault="006B5475">
            <w:pPr>
              <w:pStyle w:val="P68B1DB1-Normal10"/>
              <w:spacing w:after="0" w:line="240" w:lineRule="auto"/>
              <w:rPr>
                <w:rFonts w:eastAsia="Calibri"/>
                <w:noProof/>
                <w:lang w:val="bg-BG"/>
              </w:rPr>
            </w:pPr>
            <w:r w:rsidRPr="00782BF9">
              <w:rPr>
                <w:noProof/>
                <w:lang w:val="bg-BG"/>
              </w:rPr>
              <w:t xml:space="preserve">На железопътните гари, железопътните спирки и централните автобусни гари трябва да бъде внедрена система за информиране на пътниците в реално време, включително на пътниците в превозното средство. </w:t>
            </w:r>
          </w:p>
        </w:tc>
      </w:tr>
    </w:tbl>
    <w:p w14:paraId="3C717E05" w14:textId="77777777" w:rsidR="00CE3BAD" w:rsidRPr="00782BF9" w:rsidRDefault="00CE3BAD">
      <w:pPr>
        <w:spacing w:after="160" w:line="259" w:lineRule="auto"/>
        <w:rPr>
          <w:noProof/>
          <w:lang w:val="bg-BG"/>
        </w:rPr>
        <w:sectPr w:rsidR="00CE3BAD" w:rsidRPr="00782BF9" w:rsidSect="00FE4531">
          <w:headerReference w:type="even" r:id="rId81"/>
          <w:headerReference w:type="default" r:id="rId82"/>
          <w:footerReference w:type="even" r:id="rId83"/>
          <w:footerReference w:type="default" r:id="rId84"/>
          <w:headerReference w:type="first" r:id="rId85"/>
          <w:footerReference w:type="first" r:id="rId86"/>
          <w:pgSz w:w="16838" w:h="11906" w:orient="landscape"/>
          <w:pgMar w:top="1418" w:right="1418" w:bottom="1418" w:left="1418" w:header="709" w:footer="709" w:gutter="0"/>
          <w:cols w:space="708"/>
          <w:docGrid w:linePitch="360"/>
        </w:sectPr>
      </w:pPr>
    </w:p>
    <w:p w14:paraId="45DD3572" w14:textId="14F2A668" w:rsidR="00CE3BAD" w:rsidRPr="00782BF9" w:rsidRDefault="006B5475">
      <w:pPr>
        <w:pStyle w:val="P68B1DB1-Heading217"/>
        <w:ind w:left="0" w:firstLine="0"/>
        <w:rPr>
          <w:noProof/>
          <w:lang w:val="bg-BG"/>
        </w:rPr>
      </w:pPr>
      <w:r w:rsidRPr="00782BF9">
        <w:rPr>
          <w:noProof/>
          <w:lang w:val="bg-BG"/>
        </w:rPr>
        <w:t xml:space="preserve">Е. КОМПОНЕНТ 6: Енергетика — екологичен преход </w:t>
      </w:r>
    </w:p>
    <w:p w14:paraId="720866A0" w14:textId="77777777" w:rsidR="00CE3BAD" w:rsidRPr="00782BF9" w:rsidRDefault="00CE3BAD">
      <w:pPr>
        <w:spacing w:after="120" w:line="240" w:lineRule="auto"/>
        <w:jc w:val="both"/>
        <w:rPr>
          <w:rFonts w:ascii="Times New Roman" w:hAnsi="Times New Roman" w:cs="Times New Roman"/>
          <w:noProof/>
          <w:sz w:val="24"/>
          <w:lang w:val="bg-BG"/>
        </w:rPr>
      </w:pPr>
    </w:p>
    <w:p w14:paraId="525842C3" w14:textId="108FA70D"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Този компонент от унгарския план за възстановяване и устойчивост е насочен към няколко предизвикателства пред енергийния сектор. Целта на компонента е да допринесе за постигането на целите на Унгария в областта на климата и енергетиката за 2030 г., като се има предвид и необходимостта от повишаване на амбициите на държавите членки в контекста на общата за ЕС цел за 2030 г. за намаляване на емисиите на парникови газове с най-малко 55 % спрямо равнищата от 1990 г. Националната енергийна стратегия до 2030 г. и националният план в областта на енергетиката и климата имат за цел укрепване на енергийния суверенитет и енергийната сигурност чрез намаляване на зависимостта от внос, осигуряване на достъпни енергийни доставки за населението и декарбонизация на производството на енергия, включително увеличаване на дела на производството на енергия от възобновяеми източници. </w:t>
      </w:r>
    </w:p>
    <w:p w14:paraId="1F061659" w14:textId="208876B1" w:rsidR="00CE3BAD" w:rsidRPr="00782BF9" w:rsidRDefault="006B5475">
      <w:pPr>
        <w:pStyle w:val="P68B1DB1-Normal4"/>
        <w:spacing w:after="120" w:line="240" w:lineRule="auto"/>
        <w:jc w:val="both"/>
        <w:rPr>
          <w:rFonts w:cs="Times New Roman"/>
          <w:noProof/>
          <w:color w:val="000000" w:themeColor="text1"/>
          <w:lang w:val="bg-BG"/>
        </w:rPr>
      </w:pPr>
      <w:r w:rsidRPr="00782BF9">
        <w:rPr>
          <w:noProof/>
          <w:color w:val="000000"/>
          <w:shd w:val="clear" w:color="auto" w:fill="FFFFFF"/>
          <w:lang w:val="bg-BG"/>
        </w:rPr>
        <w:t xml:space="preserve">В този контекст компонентът има за цел да създаде допълнителен капацитет въз основа на възобновяеми енергийни източници и </w:t>
      </w:r>
      <w:r w:rsidRPr="00782BF9">
        <w:rPr>
          <w:noProof/>
          <w:lang w:val="bg-BG"/>
        </w:rPr>
        <w:t>в крайна сметка да намали емисиите на парникови газове</w:t>
      </w:r>
      <w:r w:rsidRPr="00782BF9">
        <w:rPr>
          <w:noProof/>
          <w:color w:val="000000"/>
          <w:shd w:val="clear" w:color="auto" w:fill="FFFFFF"/>
          <w:lang w:val="bg-BG"/>
        </w:rPr>
        <w:t xml:space="preserve">. Измененията на правната рамка установяват благоприятна регулаторна среда за постигането на тази цел. С оглед на интегрирането на мощностите за производство на енергия от възобновяеми източници в електроенергийната мрежа по сигурен и гъвкав начин, компонентът подкрепя инвестициите, свързани с развитието на мрежата, и инвестициите в съоръжения за съхранение на електроенергия. </w:t>
      </w:r>
      <w:r w:rsidRPr="00782BF9">
        <w:rPr>
          <w:noProof/>
          <w:lang w:val="bg-BG"/>
        </w:rPr>
        <w:t>Инвестициите в интелигентни измервателни уреди се очаква да допринесат за оптимизирането на търсенето на електроенергия в дългосрочен план.</w:t>
      </w:r>
      <w:r w:rsidRPr="00782BF9">
        <w:rPr>
          <w:noProof/>
          <w:color w:val="000000"/>
          <w:shd w:val="clear" w:color="auto" w:fill="FFFFFF"/>
          <w:lang w:val="bg-BG"/>
        </w:rPr>
        <w:t xml:space="preserve"> Компонентът води също така до създаване на допълнителен капацитет за производство на енергия от възобновяеми източници чрез подпомагане на инсталирането на системи от слънчеви панели за жилищни сгради. Освен това, за да се преодолеят предизвикателствата, свързани със замърсяването на въздуха и енергийната ефективност, тя също така предоставя подкрепа на домакинствата за инсталирането на електрически отоплителни системи и за подмяна на прозорци, в допълнение към слънчевите панели и съоръженията за съхранение.  </w:t>
      </w:r>
    </w:p>
    <w:p w14:paraId="47941033" w14:textId="77777777" w:rsidR="00CE3BAD" w:rsidRPr="00782BF9" w:rsidRDefault="006B5475">
      <w:pPr>
        <w:pStyle w:val="P68B1DB1-Normal5"/>
        <w:spacing w:after="120" w:line="240" w:lineRule="auto"/>
        <w:jc w:val="both"/>
        <w:rPr>
          <w:rFonts w:cs="Times New Roman"/>
          <w:noProof/>
          <w:color w:val="000000" w:themeColor="text1"/>
          <w:lang w:val="bg-BG"/>
        </w:rPr>
      </w:pPr>
      <w:r w:rsidRPr="00782BF9">
        <w:rPr>
          <w:noProof/>
          <w:lang w:val="bg-BG"/>
        </w:rPr>
        <w:t xml:space="preserve">Очаква се мерките по този компонент да допринесат за екологичния преход и за постигането на целта за неутралност по отношение на климата до 2050 г.  </w:t>
      </w:r>
    </w:p>
    <w:p w14:paraId="163E5364" w14:textId="77777777" w:rsidR="00CE3BAD" w:rsidRPr="00782BF9" w:rsidRDefault="006B5475">
      <w:pPr>
        <w:pStyle w:val="P68B1DB1-Normal5"/>
        <w:spacing w:after="120" w:line="240" w:lineRule="auto"/>
        <w:jc w:val="both"/>
        <w:rPr>
          <w:rFonts w:cs="Times New Roman"/>
          <w:noProof/>
          <w:color w:val="000000" w:themeColor="text1"/>
          <w:lang w:val="bg-BG"/>
        </w:rPr>
      </w:pPr>
      <w:r w:rsidRPr="00782BF9">
        <w:rPr>
          <w:noProof/>
          <w:lang w:val="bg-BG"/>
        </w:rPr>
        <w:t xml:space="preserve">Развитието на интелигентни мрежи въз основа на иновативни технически решения е важна стъпка към цифровизацията. Използването на данни чрез цифрови решения гарантира по-добро прогнозиране на баланса между търсенето и предлагането и по-добро регулиране на производството на енергия. </w:t>
      </w:r>
    </w:p>
    <w:p w14:paraId="7011D527" w14:textId="5922029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Компонентът допринася за стратегическата автономност и сигурност на Унгария като част от европейските цели. Увеличаването на капацитета за производство на енергия от възобновяеми източници води до увеличаване на енергийния суверенитет чрез увеличаване на дела на вътрешните енергийни източници. Развитието на мрежата допринася също така за подобряване на сигурността на електроенергийната мрежа. </w:t>
      </w:r>
    </w:p>
    <w:p w14:paraId="772B315A"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Очаква се също така инвестициите да допринесат за създаването на работни места на местно равнище, включително за сектора на МСП.</w:t>
      </w:r>
    </w:p>
    <w:p w14:paraId="4F113105" w14:textId="14300F1A" w:rsidR="00CE3BAD" w:rsidRPr="00782BF9" w:rsidRDefault="006B5475">
      <w:pPr>
        <w:pStyle w:val="P68B1DB1-Normal4"/>
        <w:spacing w:after="120" w:line="240" w:lineRule="auto"/>
        <w:jc w:val="both"/>
        <w:rPr>
          <w:rFonts w:cs="Times New Roman"/>
          <w:noProof/>
          <w:lang w:val="bg-BG"/>
        </w:rPr>
      </w:pPr>
      <w:r w:rsidRPr="00782BF9">
        <w:rPr>
          <w:noProof/>
          <w:color w:val="000000"/>
          <w:shd w:val="clear" w:color="auto" w:fill="FFFFFF"/>
          <w:lang w:val="bg-BG"/>
        </w:rPr>
        <w:t xml:space="preserve">Компонентът допринася за изпълнението на специфичните за всяка държава препоръки относно необходимостта от съсредоточаване върху екологичния и цифровия преход, по-специално върху чистото и ефективно производство и използване на енергия </w:t>
      </w:r>
      <w:r w:rsidRPr="00782BF9">
        <w:rPr>
          <w:noProof/>
          <w:lang w:val="bg-BG"/>
        </w:rPr>
        <w:t xml:space="preserve">(специфична за държавата препоръка 3 през 2020 г.), </w:t>
      </w:r>
      <w:r w:rsidRPr="00782BF9">
        <w:rPr>
          <w:noProof/>
          <w:color w:val="000000"/>
          <w:shd w:val="clear" w:color="auto" w:fill="FFFFFF"/>
          <w:lang w:val="bg-BG"/>
        </w:rPr>
        <w:t xml:space="preserve">и за поставяне на нисковъглеродната енергия и енергийната и ресурсната ефективност в центъра на ориентираната към инвестиции икономическа политика </w:t>
      </w:r>
      <w:r w:rsidRPr="00782BF9">
        <w:rPr>
          <w:noProof/>
          <w:lang w:val="bg-BG"/>
        </w:rPr>
        <w:t xml:space="preserve">(специфична за държавата препоръка 3 през 2019 г.). Той също така допринася за изпълнението на специфичната за държавата препоръка 6 през 2022 г. по отношение на необходимостта от намаляване на цялостната зависимост от изкопаеми горива чрез ускоряване на внедряването на възобновяеми енергийни източници, рационализиране на процедурите за издаване на разрешения и модернизиране на електроенергийната инфраструктура, както и чрез увеличаване на усилията за мерки за енергийна ефективност. </w:t>
      </w:r>
    </w:p>
    <w:p w14:paraId="4B41ECA1" w14:textId="2EDD2785" w:rsidR="00CE3BAD" w:rsidRPr="00782BF9" w:rsidRDefault="006B5475">
      <w:pPr>
        <w:spacing w:after="120" w:line="240" w:lineRule="auto"/>
        <w:jc w:val="both"/>
        <w:rPr>
          <w:rFonts w:ascii="Times New Roman" w:hAnsi="Times New Roman" w:cs="Times New Roman"/>
          <w:noProof/>
          <w:sz w:val="24"/>
          <w:lang w:val="bg-BG"/>
        </w:rPr>
        <w:sectPr w:rsidR="00CE3BAD" w:rsidRPr="00782BF9" w:rsidSect="00AD58A5">
          <w:headerReference w:type="even" r:id="rId87"/>
          <w:headerReference w:type="default" r:id="rId88"/>
          <w:footerReference w:type="even" r:id="rId89"/>
          <w:footerReference w:type="default" r:id="rId90"/>
          <w:headerReference w:type="first" r:id="rId91"/>
          <w:footerReference w:type="first" r:id="rId92"/>
          <w:pgSz w:w="11907" w:h="16839"/>
          <w:pgMar w:top="1134" w:right="1417" w:bottom="1134" w:left="1417" w:header="709" w:footer="709" w:gutter="0"/>
          <w:cols w:space="720"/>
          <w:docGrid w:linePitch="360"/>
        </w:sectPr>
      </w:pPr>
      <w:r w:rsidRPr="00782BF9">
        <w:rPr>
          <w:rFonts w:ascii="Times New Roman" w:hAnsi="Times New Roman"/>
          <w:noProof/>
          <w:sz w:val="24"/>
          <w:lang w:val="bg-BG"/>
        </w:rPr>
        <w:t>Очаква се, че нито една мярка в този компонент не нанася значителни вреди на екологичните цели по смисъла на член 17 от Регламент (ЕС) 2020/852, като се вземе предвид описанието на мерките и стъпките за смекчаване, определени в плана за възстановяване и устойчивост в съответствие с Техническите насоки съгласно принципа за ненанасяне на значителни вреди (2021/C58/01).</w:t>
      </w:r>
      <w:r w:rsidRPr="00782BF9">
        <w:rPr>
          <w:noProof/>
          <w:lang w:val="bg-BG"/>
        </w:rPr>
        <w:tab/>
      </w:r>
    </w:p>
    <w:p w14:paraId="3B1FC3AA" w14:textId="77777777" w:rsidR="00CE3BAD" w:rsidRPr="00782BF9" w:rsidRDefault="006B5475">
      <w:pPr>
        <w:pStyle w:val="Heading2"/>
        <w:spacing w:before="0" w:after="120" w:line="240" w:lineRule="auto"/>
        <w:ind w:left="0" w:firstLine="0"/>
        <w:rPr>
          <w:noProof/>
          <w:lang w:val="bg-BG"/>
        </w:rPr>
      </w:pPr>
      <w:r w:rsidRPr="00782BF9">
        <w:rPr>
          <w:noProof/>
          <w:lang w:val="bg-BG"/>
        </w:rPr>
        <w:t xml:space="preserve">Е.1. </w:t>
      </w:r>
      <w:r w:rsidRPr="00782BF9">
        <w:rPr>
          <w:noProof/>
          <w:lang w:val="bg-BG"/>
        </w:rPr>
        <w:tab/>
        <w:t>Описание на реформите и инвестициите за безвъзмездна финансова подкрепа</w:t>
      </w:r>
    </w:p>
    <w:p w14:paraId="4CA22F2B" w14:textId="676D0446" w:rsidR="00CE3BAD" w:rsidRPr="00782BF9" w:rsidRDefault="006B5475">
      <w:pPr>
        <w:pStyle w:val="P68B1DB1-Normal2"/>
        <w:spacing w:after="120" w:line="240" w:lineRule="auto"/>
        <w:jc w:val="both"/>
        <w:rPr>
          <w:rFonts w:cs="Times New Roman"/>
          <w:noProof/>
          <w:lang w:val="bg-BG"/>
        </w:rPr>
      </w:pPr>
      <w:r w:rsidRPr="00782BF9">
        <w:rPr>
          <w:noProof/>
          <w:lang w:val="bg-BG"/>
        </w:rPr>
        <w:t xml:space="preserve">C6.R1: Преобразуване на регулирането на електроенергията </w:t>
      </w:r>
    </w:p>
    <w:p w14:paraId="04F8595E" w14:textId="199089B0"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реформата е да се подобри правната рамка на унгарския пазар на електроенергия чрез изменение на Закон LXXXVI от 2007 г. относно електроенергията и чрез изменение на някои свързани правителствени постановления, включително Правителствени постановления 273/2007 (X.19), 389/2007 (XII.23) и 299/2017 (X.17). </w:t>
      </w:r>
    </w:p>
    <w:p w14:paraId="46892F55" w14:textId="451EE343"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Настоящата реформа предвижда въвеждането на отделно отчитане на електроенергията, подавана в мрежата, и електроенергията, консумирана от мрежата. Унгария въвежда тази отделна счетоводна система, която засяга всички съществуващи произвеждащи потребители 10 години след инсталирането на техните слънчеви панели. </w:t>
      </w:r>
    </w:p>
    <w:p w14:paraId="17E9B4F6" w14:textId="4D01624C"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трябва да приключи до 31 декември 2023 г.</w:t>
      </w:r>
    </w:p>
    <w:p w14:paraId="7BCFF61D" w14:textId="77777777" w:rsidR="00CE3BAD" w:rsidRPr="00782BF9" w:rsidRDefault="00CE3BAD">
      <w:pPr>
        <w:spacing w:after="120" w:line="240" w:lineRule="auto"/>
        <w:jc w:val="both"/>
        <w:rPr>
          <w:rFonts w:ascii="Times New Roman" w:hAnsi="Times New Roman" w:cs="Times New Roman"/>
          <w:b/>
          <w:noProof/>
          <w:sz w:val="24"/>
          <w:lang w:val="bg-BG"/>
        </w:rPr>
      </w:pPr>
    </w:p>
    <w:p w14:paraId="7421B1F0" w14:textId="19ED5ADD" w:rsidR="00CE3BAD" w:rsidRPr="00782BF9" w:rsidRDefault="006B5475">
      <w:pPr>
        <w:pStyle w:val="P68B1DB1-Normal2"/>
        <w:spacing w:after="120" w:line="240" w:lineRule="auto"/>
        <w:jc w:val="both"/>
        <w:rPr>
          <w:rFonts w:cs="Times New Roman"/>
          <w:noProof/>
          <w:lang w:val="bg-BG"/>
        </w:rPr>
      </w:pPr>
      <w:r w:rsidRPr="00782BF9">
        <w:rPr>
          <w:noProof/>
          <w:lang w:val="bg-BG"/>
        </w:rPr>
        <w:t>C6.R2: Насърчаване на развитието на вятърна енергия на сушата</w:t>
      </w:r>
    </w:p>
    <w:p w14:paraId="4BB44AAF"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мярката е да се даде възможност за развитие на допълнителни мощности за производство на вятърна енергия на сушата в Унгария чрез премахване на съществуващите общи ограничения за изграждането на вятърни електроцентрали и чрез създаване на зони, в които се насърчават инвестициите във вятърна енергия.</w:t>
      </w:r>
    </w:p>
    <w:p w14:paraId="5EA1F736" w14:textId="417409F5"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Реформата изменя, след обществена консултация, приложимата понастоящем законодателна рамка, за да се премахнат ненужните ограничения върху инсталирането на вятърни електроцентрали в страната, по-специално по отношение на отстоянието за вятърните турбини (разстояние между съоръженията за вятърна енергия и жилищните или други засегнати райони), височината на вятърните турбини (или максималния диаметър на лопатките на роторите на вятърните генератори) и мощността на турбините. Ограниченията се премахват или се определят по такъв начин, че да се даде възможност за ефективно инсталиране на вятърни електроцентрали и в съответствие с европейските референтни показатели и сравними най-добри практики. Изменените регламенти могат да включват минимални изисквания по отношение на техническата безопасност, защитата на здравето на хората и животните и опазването на околната среда, а местните органи могат да налагат обосновани изисквания. Изменените регламенти не въвеждат никакви други пречки, като например ограничения въз основа на размера, капацитета или височината. </w:t>
      </w:r>
    </w:p>
    <w:p w14:paraId="0695B214" w14:textId="6416B3C8"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Реформата също така въвежда, след обществена консултация, „предпочитани зони“ за вятърни електроцентрали в съответствие с подхода на предложението на Комисията, представено в COM (2022) 222 от 18 май 2022 г. </w:t>
      </w:r>
    </w:p>
    <w:p w14:paraId="37DD6C7A" w14:textId="0C689018" w:rsidR="00CE3BAD" w:rsidRPr="00782BF9" w:rsidRDefault="006B5475">
      <w:pPr>
        <w:pStyle w:val="P68B1DB1-Normal4"/>
        <w:spacing w:after="120" w:line="240" w:lineRule="auto"/>
        <w:jc w:val="both"/>
        <w:rPr>
          <w:rFonts w:cs="Times New Roman"/>
          <w:noProof/>
          <w:lang w:val="bg-BG"/>
        </w:rPr>
      </w:pPr>
      <w:r w:rsidRPr="00782BF9">
        <w:rPr>
          <w:noProof/>
          <w:lang w:val="bg-BG"/>
        </w:rPr>
        <w:t>„Предпочитани зони“ са специфични места, които са особено подходящи за инсталиране на вятърни електроцентрали.  Тези райони се определят съгласно обективни критерии, като например гъстотата на вятърната енергия или скоростта на вятъра. Законодателството, установяващо тези зони, установява също така специфични опростени процедури за издаване на разрешителни за изграждането на вятърни електроцентрали в тези райони, което води до по-лесни процедури и по-кратки срокове.</w:t>
      </w:r>
    </w:p>
    <w:p w14:paraId="44975B89" w14:textId="2D0DC8FC"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трябва да приключи до 31 март 2023 г.</w:t>
      </w:r>
    </w:p>
    <w:p w14:paraId="7D9F8117" w14:textId="77777777" w:rsidR="00CE3BAD" w:rsidRPr="00782BF9" w:rsidRDefault="00CE3BAD">
      <w:pPr>
        <w:spacing w:after="120" w:line="240" w:lineRule="auto"/>
        <w:jc w:val="both"/>
        <w:rPr>
          <w:rFonts w:ascii="Times New Roman" w:hAnsi="Times New Roman" w:cs="Times New Roman"/>
          <w:b/>
          <w:noProof/>
          <w:sz w:val="24"/>
          <w:lang w:val="bg-BG"/>
        </w:rPr>
      </w:pPr>
    </w:p>
    <w:p w14:paraId="6B2845E4" w14:textId="08BBD250" w:rsidR="00CE3BAD" w:rsidRPr="00782BF9" w:rsidRDefault="006B5475">
      <w:pPr>
        <w:pStyle w:val="P68B1DB1-Normal2"/>
        <w:spacing w:after="120" w:line="240" w:lineRule="auto"/>
        <w:jc w:val="both"/>
        <w:rPr>
          <w:rFonts w:cs="Times New Roman"/>
          <w:noProof/>
          <w:lang w:val="bg-BG"/>
        </w:rPr>
      </w:pPr>
      <w:r w:rsidRPr="00782BF9">
        <w:rPr>
          <w:noProof/>
          <w:lang w:val="bg-BG"/>
        </w:rPr>
        <w:t>C6.R3: Подобряване на процедурите за издаване на разрешения за проекти за енергия от възобновяеми източници</w:t>
      </w:r>
    </w:p>
    <w:p w14:paraId="030E2375"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мярката е да се подкрепи разгръщането на проекти за енергия от възобновяеми източници чрез улесняване на процедурите за издаване на разрешения.</w:t>
      </w:r>
    </w:p>
    <w:p w14:paraId="5072FB12"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Реформата въвежда интегрирана процедура за разрешително за опазване на околната среда и разрешително за изграждане на слънчеви и вятърни електроцентрали с вградена мощност над 0,5 MW. По този начин се гарантира по-кратък ефективен срок за издаване на разрешения. След изтичането на 75 дни липсата на отговор от страна на администрацията води до издаване на разрешение. Реформата също така създава „обслужване на едно гише“, което действа като единно звено за контакт за инвеститорите във връзка с обработването и предоставянето на такива комплексни разрешителни.</w:t>
      </w:r>
    </w:p>
    <w:p w14:paraId="6616CAE3" w14:textId="135B6F4D" w:rsidR="00CE3BAD" w:rsidRPr="00782BF9" w:rsidRDefault="006B5475">
      <w:pPr>
        <w:spacing w:after="120" w:line="240" w:lineRule="auto"/>
        <w:jc w:val="both"/>
        <w:rPr>
          <w:rFonts w:ascii="Times New Roman" w:hAnsi="Times New Roman" w:cs="Times New Roman"/>
          <w:noProof/>
          <w:sz w:val="24"/>
          <w:lang w:val="bg-BG"/>
        </w:rPr>
      </w:pPr>
      <w:r w:rsidRPr="00782BF9">
        <w:rPr>
          <w:rFonts w:ascii="Times New Roman" w:hAnsi="Times New Roman"/>
          <w:noProof/>
          <w:sz w:val="24"/>
          <w:lang w:val="bg-BG"/>
        </w:rPr>
        <w:t>Реформата също такаще опрости процедурите за присъединяване към мрежата за малки фотоволтаични инсталации (под 0,8 kW). За тях е необходима само регистрация преди монтажа,</w:t>
      </w:r>
      <w:r w:rsidRPr="00782BF9">
        <w:rPr>
          <w:noProof/>
          <w:lang w:val="bg-BG"/>
        </w:rPr>
        <w:t xml:space="preserve"> </w:t>
      </w:r>
      <w:r w:rsidRPr="00782BF9">
        <w:rPr>
          <w:rFonts w:ascii="Times New Roman" w:hAnsi="Times New Roman"/>
          <w:noProof/>
          <w:sz w:val="24"/>
          <w:lang w:val="bg-BG"/>
        </w:rPr>
        <w:t>без да е необходимо да се подава заявление за разрешително. От инвеститора не се изисква да подпише конкретен договор с оператора на разпределителната система (ОРС) за използването на малката фотоволтаична инсталация, а регистрацията замества договора за присъединяване на малката фотоволтаична инсталация. Крайните срокове за присъединяване на малката електроцентрала не могат да бъдат по-дълги от два месеца, освен ако причината за закъснението не е извън компетентността на съответния ОРС.</w:t>
      </w:r>
    </w:p>
    <w:p w14:paraId="13726625" w14:textId="42B0913D"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За да се насърчи внедряването на слънчева енергия, наскоро въведеното временно прекратяване на възможността новопостроените жилищни фотоволтаични системи (до 50 kVA) да захранват мрежата се премахва възможно най-скоро и не по-късно от 31 декември 2024 г. За тази цел унгарският регулаторен орган за енергийно и обществено ползване (MEKH) преразглежда редовно, най-малко на всеки шест месеца, това временно ограничение на регионално равнище, съгласувано с оператора на преносната система (ОПС) и операторите на разпределителни системи, въз основа на технически и обективни критерии. Веднага щом резултатът от оценката установи, че мрежата е в състояние да интегрира произведената електроенергия, ограничението се отменя на регионално равнище, ако е целесъобразно. </w:t>
      </w:r>
    </w:p>
    <w:p w14:paraId="26C560B3" w14:textId="7AD29CA9" w:rsidR="00CE3BAD" w:rsidRPr="00782BF9" w:rsidRDefault="006B5475">
      <w:pPr>
        <w:pStyle w:val="P68B1DB1-Normal4"/>
        <w:spacing w:after="120" w:line="240" w:lineRule="auto"/>
        <w:rPr>
          <w:rFonts w:cs="Times New Roman"/>
          <w:noProof/>
          <w:lang w:val="bg-BG"/>
        </w:rPr>
      </w:pPr>
      <w:r w:rsidRPr="00782BF9">
        <w:rPr>
          <w:noProof/>
          <w:lang w:val="bg-BG"/>
        </w:rPr>
        <w:t>Изпълнението на реформата трябва да приключи до 31 март 2023 г.</w:t>
      </w:r>
    </w:p>
    <w:p w14:paraId="7D1B82E6" w14:textId="77777777" w:rsidR="00CE3BAD" w:rsidRPr="00782BF9" w:rsidRDefault="00CE3BAD">
      <w:pPr>
        <w:spacing w:after="120" w:line="240" w:lineRule="auto"/>
        <w:jc w:val="both"/>
        <w:rPr>
          <w:rFonts w:ascii="Times New Roman" w:hAnsi="Times New Roman" w:cs="Times New Roman"/>
          <w:b/>
          <w:noProof/>
          <w:sz w:val="24"/>
          <w:lang w:val="bg-BG"/>
        </w:rPr>
      </w:pPr>
    </w:p>
    <w:p w14:paraId="2379A386" w14:textId="10296795" w:rsidR="00CE3BAD" w:rsidRPr="00782BF9" w:rsidRDefault="006B5475">
      <w:pPr>
        <w:pStyle w:val="P68B1DB1-Normal2"/>
        <w:spacing w:after="120" w:line="240" w:lineRule="auto"/>
        <w:jc w:val="both"/>
        <w:rPr>
          <w:rFonts w:cs="Times New Roman"/>
          <w:noProof/>
          <w:lang w:val="bg-BG"/>
        </w:rPr>
      </w:pPr>
      <w:r w:rsidRPr="00782BF9">
        <w:rPr>
          <w:noProof/>
          <w:lang w:val="bg-BG"/>
        </w:rPr>
        <w:t>C6.R4:  Подобряване на прозрачността, предвидимостта и достъпността на свързването към мрежата</w:t>
      </w:r>
    </w:p>
    <w:p w14:paraId="0C8309CC"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мярката е да се повиши прозрачността и предвидимостта на процедурата за координирано свързване към мрежата за инвестиции в енергия от възобновяеми източници, зависещи от метеорологичните условия, и в крайна сметка да се увеличи наличието на мрежови връзки. </w:t>
      </w:r>
    </w:p>
    <w:p w14:paraId="1A1BA0D7"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Реформата изменя съответното законодателство относно процедурите за присъединяване към мрежата, за да се гарантира недискриминационен подход между технологиите за производство на електроенергия. Заявките за свързване, надхвърлящи ограниченията за присъединяване, винаги се приемат, при условие че инвеститорите изпълняват изискванията за балансиращ капацитет и плащат таксите за пряка връзка. В законодателството се определя максималното равнище на балансираща мощност, което може да бъде поискано. Този максимален размер е обективно обоснован и пропорционален, не надвишава 30 % и постепенно се намалява.</w:t>
      </w:r>
    </w:p>
    <w:p w14:paraId="30F627C1"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Реформата също така увеличава прозрачността на процедурата за присъединяване към мрежата с няколко действия за повишаване на осведомеността и насърчаване на вземането на информирани решения от страна на участниците на пазара. Те включват по-специално редовното публикуване на приети и отхвърлени искания, на актуализирани прогнози за капацитета за присъединяване към мрежата и на опростени примери за различни видове свързване, както и организирането на форуми за обмен на информация за участниците на пазара. За да се подобри ефективността на процедурата, ОПС и операторите на разпределителни системи създават и необходимата ИТ инфраструктура, за да могат да събират и използват данни от инсталираните интелигентни измервателни уреди. </w:t>
      </w:r>
    </w:p>
    <w:p w14:paraId="6E5FF42C"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Реформата ще допринесе за способността на Унгария да увеличи значително капацитета на слънчевата и вятърната електроцентрала, свързана с мрежата на национално равнище. Правителствената база данни наблюдава напредъка към постигането на съответните цели.</w:t>
      </w:r>
    </w:p>
    <w:p w14:paraId="72272CC0" w14:textId="2B51B7B9"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трябва да приключи до 30 юни 2026 г.</w:t>
      </w:r>
    </w:p>
    <w:p w14:paraId="63ECA9D3" w14:textId="77777777" w:rsidR="00CE3BAD" w:rsidRPr="00782BF9" w:rsidRDefault="00CE3BAD">
      <w:pPr>
        <w:spacing w:after="120" w:line="240" w:lineRule="auto"/>
        <w:jc w:val="both"/>
        <w:rPr>
          <w:rFonts w:ascii="Times New Roman" w:hAnsi="Times New Roman" w:cs="Times New Roman"/>
          <w:noProof/>
          <w:sz w:val="24"/>
          <w:lang w:val="bg-BG"/>
        </w:rPr>
      </w:pPr>
    </w:p>
    <w:p w14:paraId="093BE909" w14:textId="47DE4EAA" w:rsidR="00CE3BAD" w:rsidRPr="00782BF9" w:rsidRDefault="006B5475">
      <w:pPr>
        <w:pStyle w:val="P68B1DB1-Normal2"/>
        <w:spacing w:after="120" w:line="240" w:lineRule="auto"/>
        <w:jc w:val="both"/>
        <w:rPr>
          <w:rFonts w:cs="Times New Roman"/>
          <w:noProof/>
          <w:lang w:val="bg-BG"/>
        </w:rPr>
      </w:pPr>
      <w:r w:rsidRPr="00782BF9">
        <w:rPr>
          <w:noProof/>
          <w:lang w:val="bg-BG"/>
        </w:rPr>
        <w:t>C6.R5: Засилване на изискванията за енергийна ефективност</w:t>
      </w:r>
    </w:p>
    <w:p w14:paraId="5A67A887"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мярката е да се подобри енергийната ефективност на сградите в Унгария, което се очаква да допринесе за намаляване на потреблението на енергия в сградите и по този начин за намаляване на експозицията на руски газ. </w:t>
      </w:r>
    </w:p>
    <w:p w14:paraId="55B92DF7"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С реформата се въвеждат минимални стандарти за енергийна ефективност (намаляване на потреблението на енергия с най-малко 30 %) за схемите за подпомагане на санирането на сгради, финансирани със средства на ЕС.</w:t>
      </w:r>
    </w:p>
    <w:p w14:paraId="3C253E4A" w14:textId="25864168"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Изпълнението на реформата трябва да приключи до 31 март 2023 г. </w:t>
      </w:r>
    </w:p>
    <w:p w14:paraId="7BD36363" w14:textId="77777777" w:rsidR="00CE3BAD" w:rsidRPr="00782BF9" w:rsidRDefault="00CE3BAD">
      <w:pPr>
        <w:spacing w:after="120" w:line="240" w:lineRule="auto"/>
        <w:jc w:val="both"/>
        <w:rPr>
          <w:rFonts w:ascii="Times New Roman" w:hAnsi="Times New Roman" w:cs="Times New Roman"/>
          <w:b/>
          <w:noProof/>
          <w:sz w:val="24"/>
          <w:lang w:val="bg-BG"/>
        </w:rPr>
      </w:pPr>
    </w:p>
    <w:p w14:paraId="7798CA3E" w14:textId="5CBA583B" w:rsidR="00CE3BAD" w:rsidRPr="00782BF9" w:rsidRDefault="00315798">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6.</w:t>
      </w:r>
      <w:r w:rsidRPr="00782BF9">
        <w:rPr>
          <w:noProof/>
          <w:lang w:val="bg-BG"/>
        </w:rPr>
        <w:t>I</w:t>
      </w:r>
      <w:r w:rsidR="006B5475" w:rsidRPr="00782BF9">
        <w:rPr>
          <w:noProof/>
          <w:lang w:val="bg-BG"/>
        </w:rPr>
        <w:t xml:space="preserve">1: Развитие на класически и интелигентни мрежи за операторите на преносни системи и операторите на разпределителни системи </w:t>
      </w:r>
    </w:p>
    <w:p w14:paraId="3B93A156"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инвестицията е да се развие електроенергийната мрежа, за да се гарантира сигурното интегриране на допълнителните мощности, които ще бъдат създадени от възобновяеми енергийни източници, и да се увеличи гъвкавостта на системата. В съответствие със стратегията за енергийната политика на Унгария Унгария възнамерява да увеличи дела на възобновяемите енергийни източници в своя енергиен микс и да утрои настоящия си капацитет за слънчеви електроцентрали до 2030 г. Това изисква достатъчен достъп до мрежата и необходимия мрежов капацитет. Необходимо е да се развие преносната и разпределителната мрежа, за да може да се отговори на тези предизвикателства. </w:t>
      </w:r>
    </w:p>
    <w:p w14:paraId="29A140FA"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По този начин инвестицията допринася за премахването на някои от оскъдните мощности на мрежата и за безопасното интегриране на допълнителното производство, произтичащо от увеличения капацитет за производство на енергия от възобновяеми източници. Инвестицията включва по-специално елементи на развитие, като изграждане и модернизиране на мрежа за високо/средно/ниско напрежение, нови инсталации на подстанции, подмяна и разширяване на трансформатора на подстанцията, изграждане и подмяна на органи за управление, както и развитие на цифровизацията.</w:t>
      </w:r>
    </w:p>
    <w:p w14:paraId="2A467D68" w14:textId="4924D919"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Завършването на инвестицията, която се състои в повишената способност за интегриране в мрежата на електроцентрали, използващи възобновяеми енергийни източници, води до способност за интегриране на допълнителен капацитет на електроцентралата от 3 609 MW до 30 юни 2026 г. чрез действия в рамките на настоящата инвестиция. </w:t>
      </w:r>
    </w:p>
    <w:p w14:paraId="6D45B64D"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30 юни 2026 г.</w:t>
      </w:r>
    </w:p>
    <w:p w14:paraId="266F98AB" w14:textId="77777777" w:rsidR="00CE3BAD" w:rsidRPr="00782BF9" w:rsidRDefault="00CE3BAD">
      <w:pPr>
        <w:spacing w:after="120" w:line="240" w:lineRule="auto"/>
        <w:jc w:val="both"/>
        <w:rPr>
          <w:rFonts w:ascii="Times New Roman" w:hAnsi="Times New Roman" w:cs="Times New Roman"/>
          <w:b/>
          <w:noProof/>
          <w:sz w:val="24"/>
          <w:lang w:val="bg-BG"/>
        </w:rPr>
      </w:pPr>
    </w:p>
    <w:p w14:paraId="224092CB" w14:textId="6B6DBA01" w:rsidR="00CE3BAD" w:rsidRPr="00782BF9" w:rsidRDefault="00315798">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6.</w:t>
      </w:r>
      <w:r w:rsidRPr="00782BF9">
        <w:rPr>
          <w:noProof/>
          <w:lang w:val="bg-BG"/>
        </w:rPr>
        <w:t>I</w:t>
      </w:r>
      <w:r w:rsidR="006B5475" w:rsidRPr="00782BF9">
        <w:rPr>
          <w:noProof/>
          <w:lang w:val="bg-BG"/>
        </w:rPr>
        <w:t>2: Подкрепа за използването на слънчеви панели за жилищни сгради и модернизация на отоплението</w:t>
      </w:r>
    </w:p>
    <w:p w14:paraId="224C31D7" w14:textId="597ECC1D"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мярката е увеличаване на капацитета за производство на енергия от възобновяеми източници в жилищните сгради, повишаване на енергийната ефективност, което води до намаляване на емисиите на парникови газове, както и намаляване на замърсяването на въздуха, произтичащо от остарели решения за отопление (като прахови частици и серен диоксид). Тази мярка е в полза на домакинствата, изложени на по-висок от средния риск от енергийна бедност. За тази цел равнището на доходите на получателя се определя въз основа на една от следните две възможности: лица с доход под националната средна заплата или домакинства със среден доход на глава от населението под средния за страната, като и двете са установени въз основа на статистически данни от Централната статистическа служба на Унгария.</w:t>
      </w:r>
    </w:p>
    <w:p w14:paraId="6020D281" w14:textId="6EABB6C2"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подпомага два вида дейности. Първият вид дейност е инсталирането на слънчеви панели върху покривни конструкции за собствено потребление. Вторият вид дейност се състои в инсталирането на слънчеви панели на покривни конструкции за собствено потребление, съчетано с подмяна на прозорци, установяване на капацитет за съхранение (максимум 14 kWh) и инсталиране на електрическо отопление (термопомпи, при необходимост придружени от панели за електрическо отопление в зависимост от техническите обстоятелства в сградата, която се ползва от подкрепата). Мярката е в полза на 30 974 домакинства, от които най-малко 7 385 домакинства извършват инвестицията, попадаща във втория вид дейност.</w:t>
      </w:r>
    </w:p>
    <w:p w14:paraId="6638910D"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30 юни 2026 г.</w:t>
      </w:r>
    </w:p>
    <w:p w14:paraId="22B8282F" w14:textId="298E26FE" w:rsidR="00CE3BAD" w:rsidRPr="00782BF9" w:rsidRDefault="00CE3BAD">
      <w:pPr>
        <w:spacing w:after="120" w:line="240" w:lineRule="auto"/>
        <w:rPr>
          <w:rFonts w:ascii="Times New Roman" w:hAnsi="Times New Roman" w:cs="Times New Roman"/>
          <w:noProof/>
          <w:sz w:val="24"/>
          <w:lang w:val="bg-BG"/>
        </w:rPr>
      </w:pPr>
    </w:p>
    <w:p w14:paraId="0DEA4A00" w14:textId="02D3ADD7" w:rsidR="00CE3BAD" w:rsidRPr="00782BF9" w:rsidRDefault="00315798">
      <w:pPr>
        <w:spacing w:after="120" w:line="240" w:lineRule="auto"/>
        <w:jc w:val="both"/>
        <w:rPr>
          <w:rFonts w:ascii="Times New Roman" w:hAnsi="Times New Roman" w:cs="Times New Roman"/>
          <w:b/>
          <w:noProof/>
          <w:sz w:val="24"/>
          <w:lang w:val="bg-BG"/>
        </w:rPr>
      </w:pPr>
      <w:r w:rsidRPr="00782BF9">
        <w:rPr>
          <w:rFonts w:ascii="Times New Roman" w:hAnsi="Times New Roman"/>
          <w:b/>
          <w:noProof/>
          <w:sz w:val="24"/>
          <w:lang w:val="bg-BG"/>
        </w:rPr>
        <w:t>C</w:t>
      </w:r>
      <w:r w:rsidR="006B5475" w:rsidRPr="00782BF9">
        <w:rPr>
          <w:rFonts w:ascii="Times New Roman" w:hAnsi="Times New Roman"/>
          <w:b/>
          <w:noProof/>
          <w:sz w:val="24"/>
          <w:lang w:val="bg-BG"/>
        </w:rPr>
        <w:t>6.</w:t>
      </w:r>
      <w:r w:rsidRPr="00782BF9">
        <w:rPr>
          <w:rFonts w:ascii="Times New Roman" w:hAnsi="Times New Roman"/>
          <w:b/>
          <w:noProof/>
          <w:sz w:val="24"/>
          <w:lang w:val="bg-BG"/>
        </w:rPr>
        <w:t>I</w:t>
      </w:r>
      <w:r w:rsidR="006B5475" w:rsidRPr="00782BF9">
        <w:rPr>
          <w:rFonts w:ascii="Times New Roman" w:hAnsi="Times New Roman"/>
          <w:b/>
          <w:noProof/>
          <w:sz w:val="24"/>
          <w:lang w:val="bg-BG"/>
        </w:rPr>
        <w:t>4: Инсталиране на мрежови съоръжения за акумулиране на енергия за участниците на пазара</w:t>
      </w:r>
      <w:r w:rsidR="006B5475" w:rsidRPr="00782BF9">
        <w:rPr>
          <w:rStyle w:val="FootnoteReference"/>
          <w:rFonts w:ascii="Times New Roman" w:hAnsi="Times New Roman"/>
          <w:b/>
          <w:noProof/>
          <w:sz w:val="24"/>
          <w:lang w:val="bg-BG"/>
        </w:rPr>
        <w:footnoteReference w:id="6"/>
      </w:r>
      <w:r w:rsidR="006B5475" w:rsidRPr="00782BF9">
        <w:rPr>
          <w:rFonts w:ascii="Times New Roman" w:hAnsi="Times New Roman"/>
          <w:b/>
          <w:noProof/>
          <w:sz w:val="24"/>
          <w:lang w:val="bg-BG"/>
        </w:rPr>
        <w:t xml:space="preserve"> </w:t>
      </w:r>
    </w:p>
    <w:p w14:paraId="70259AF1" w14:textId="77777777" w:rsidR="00CE3BAD" w:rsidRPr="00782BF9" w:rsidRDefault="006B5475">
      <w:pPr>
        <w:pStyle w:val="P68B1DB1-Norml5"/>
        <w:spacing w:after="120" w:line="240" w:lineRule="auto"/>
        <w:jc w:val="both"/>
        <w:rPr>
          <w:noProof/>
          <w:lang w:val="bg-BG"/>
        </w:rPr>
      </w:pPr>
      <w:r w:rsidRPr="00782BF9">
        <w:rPr>
          <w:noProof/>
          <w:lang w:val="bg-BG"/>
        </w:rPr>
        <w:t xml:space="preserve">Целта на тази инвестиция е да се предостави на участниците на пазара, които вече присъстват или желаят да навлязат на балансиращия пазар (напр. доставчици на агрегирани услуги, производители на електроенергия и големи промишлени потребители) достъп до технологии, които предоставят услуга за гъвкавост без замърсяване. </w:t>
      </w:r>
    </w:p>
    <w:p w14:paraId="6DB6118D" w14:textId="77777777" w:rsidR="00CE3BAD" w:rsidRPr="00782BF9" w:rsidRDefault="006B5475">
      <w:pPr>
        <w:pStyle w:val="P68B1DB1-Norml5"/>
        <w:spacing w:after="120" w:line="240" w:lineRule="auto"/>
        <w:jc w:val="both"/>
        <w:rPr>
          <w:noProof/>
          <w:lang w:val="bg-BG"/>
        </w:rPr>
      </w:pPr>
      <w:r w:rsidRPr="00782BF9">
        <w:rPr>
          <w:noProof/>
          <w:lang w:val="bg-BG"/>
        </w:rPr>
        <w:t xml:space="preserve">Тази мярка подпомага участниците на пазара да инсталират мрежови съоръжения за акумулиране на енергия. </w:t>
      </w:r>
    </w:p>
    <w:p w14:paraId="7CCC2DC1" w14:textId="7F575906" w:rsidR="00CE3BAD" w:rsidRPr="00782BF9" w:rsidRDefault="006B5475">
      <w:pPr>
        <w:pStyle w:val="P68B1DB1-Normal4"/>
        <w:spacing w:after="120" w:line="240" w:lineRule="auto"/>
        <w:jc w:val="both"/>
        <w:rPr>
          <w:noProof/>
          <w:lang w:val="bg-BG"/>
        </w:rPr>
      </w:pPr>
      <w:r w:rsidRPr="00782BF9">
        <w:rPr>
          <w:noProof/>
          <w:lang w:val="bg-BG"/>
        </w:rPr>
        <w:t xml:space="preserve">Получателите се избират чрез открита покана за представяне на предложения. В процеса на подбор предложенията за проекти, които ще се изпълняват с различни технологии, се оценяват и подбират въз основа на анализ на разходите и ползите, като по този начин се гарантира технологично неутрален процес на подбор с акцент върху общата разходна ефективност. Получателите са длъжни да въведат на балансиращия пазар целия или част от капацитета, произтичащ от субсидираното съоръжение за съхранение на електроенергия. </w:t>
      </w:r>
    </w:p>
    <w:p w14:paraId="400435BB" w14:textId="0DFA9EE1" w:rsidR="00CE3BAD" w:rsidRPr="00782BF9" w:rsidRDefault="006B5475">
      <w:pPr>
        <w:pStyle w:val="P68B1DB1-Normal4"/>
        <w:spacing w:after="120" w:line="240" w:lineRule="auto"/>
        <w:jc w:val="both"/>
        <w:rPr>
          <w:noProof/>
          <w:lang w:val="bg-BG"/>
        </w:rPr>
      </w:pPr>
      <w:r w:rsidRPr="00782BF9">
        <w:rPr>
          <w:noProof/>
          <w:lang w:val="bg-BG"/>
        </w:rPr>
        <w:t>Общият капацитет на акумулирането на електроенергия, инсталиран като част от балансиращия пазар в резултат на тази инвестиция, е най-малко 885 MWh.</w:t>
      </w:r>
    </w:p>
    <w:p w14:paraId="7C8E2112" w14:textId="1C4EE5D6" w:rsidR="00CE3BAD" w:rsidRPr="00782BF9" w:rsidRDefault="006B5475">
      <w:pPr>
        <w:pStyle w:val="P68B1DB1-Normal4"/>
        <w:spacing w:after="120" w:line="240" w:lineRule="auto"/>
        <w:rPr>
          <w:rFonts w:cs="Times New Roman"/>
          <w:noProof/>
          <w:lang w:val="bg-BG"/>
        </w:rPr>
      </w:pPr>
      <w:r w:rsidRPr="00782BF9">
        <w:rPr>
          <w:noProof/>
          <w:lang w:val="bg-BG"/>
        </w:rPr>
        <w:t>Изпълнението на инвестицията трябва да приключи до 30 юни 2026 г.</w:t>
      </w:r>
    </w:p>
    <w:p w14:paraId="787A8F59" w14:textId="77777777" w:rsidR="00CE3BAD" w:rsidRPr="00782BF9" w:rsidRDefault="00CE3BAD">
      <w:pPr>
        <w:spacing w:after="120" w:line="240" w:lineRule="auto"/>
        <w:rPr>
          <w:rFonts w:ascii="Times New Roman" w:hAnsi="Times New Roman" w:cs="Times New Roman"/>
          <w:noProof/>
          <w:sz w:val="24"/>
          <w:lang w:val="bg-BG"/>
        </w:rPr>
      </w:pPr>
    </w:p>
    <w:p w14:paraId="1A721E0D" w14:textId="799C1F52" w:rsidR="00CE3BAD" w:rsidRPr="00782BF9" w:rsidRDefault="00315798">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6.</w:t>
      </w:r>
      <w:r w:rsidRPr="00782BF9">
        <w:rPr>
          <w:noProof/>
          <w:lang w:val="bg-BG"/>
        </w:rPr>
        <w:t>I</w:t>
      </w:r>
      <w:r w:rsidR="006B5475" w:rsidRPr="00782BF9">
        <w:rPr>
          <w:noProof/>
          <w:lang w:val="bg-BG"/>
        </w:rPr>
        <w:t>5: Разпространение на интелигентни измервателни уреди</w:t>
      </w:r>
    </w:p>
    <w:p w14:paraId="26F79019" w14:textId="77777777" w:rsidR="00CE3BAD" w:rsidRPr="00782BF9" w:rsidRDefault="006B5475">
      <w:pPr>
        <w:pStyle w:val="P68B1DB1-Normal4"/>
        <w:spacing w:after="120" w:line="240" w:lineRule="auto"/>
        <w:jc w:val="both"/>
        <w:rPr>
          <w:noProof/>
          <w:lang w:val="bg-BG"/>
        </w:rPr>
      </w:pPr>
      <w:r w:rsidRPr="00782BF9">
        <w:rPr>
          <w:noProof/>
          <w:lang w:val="bg-BG"/>
        </w:rPr>
        <w:t xml:space="preserve">Целта на мярката е да се подпомогне закупуването и инсталирането на интелигентни измервателни уреди. </w:t>
      </w:r>
    </w:p>
    <w:p w14:paraId="025FCB7A" w14:textId="2646F951"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Очаква се прилагането на интелигентни измервателни уреди да играе важна роля като инструмент от край до край за точното определяне на потребителските профили и оптимизирането на търсенето на електроенергия, а техните функции за събиране на данни и комуникация следва да се използват и в много други области на приложение. Интелигентните измервателни уреди трябва да могат да се управляват дистанционно, да могат да включват и изключват номиналната мощност на измервателния уред в случай на пряко измерване, да могат да осигуряват възможност за управление и да имат комуникационен модул. Въвеждането на интелигентни измервателни уреди и гъвкавите тарифи, които се основават на тях, се очаква да осигурят основата за отговори на търсенето в дългосрочен план, което се очаква да спомогне за изграждането на гъвкавост в електроенергийната система в дългосрочен план. </w:t>
      </w:r>
    </w:p>
    <w:p w14:paraId="300DCA3C" w14:textId="1C121223" w:rsidR="00CE3BAD" w:rsidRPr="00782BF9" w:rsidRDefault="006B5475">
      <w:pPr>
        <w:pStyle w:val="P68B1DB1-Normal4"/>
        <w:spacing w:after="120" w:line="240" w:lineRule="auto"/>
        <w:jc w:val="both"/>
        <w:rPr>
          <w:noProof/>
          <w:lang w:val="bg-BG"/>
        </w:rPr>
      </w:pPr>
      <w:r w:rsidRPr="00782BF9">
        <w:rPr>
          <w:noProof/>
          <w:lang w:val="bg-BG"/>
        </w:rPr>
        <w:t xml:space="preserve">Националното законодателство предвижда за определени видове потребители инсталирането на интелигентни измервателни уреди на мястото им на потребление. Съгласно Правителствено постановление 273/2007 (X. 19.) относно прилагането на някои разпоредби на Закон LXXXVI от 2007 г. за електроенергията е необходимо да се инсталира интелигентен измервателен уред за потребителите, присъединени към ниско напрежение, в случай на годишно потребление от 5 000 kWh или повече; в случай на нови връзки с консумирана мощност 3x32 A, но ненадвишаваща 3x80 A; и за потребители, които вече имат малка електроцентрала с размер на домакинство или ще инсталират такава система в бъдеще. Инвестицията допринася за разпространението на интелигентни измервателни уреди. </w:t>
      </w:r>
    </w:p>
    <w:p w14:paraId="1C141B25" w14:textId="350D7016"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Получатели на инвестицията са операторите на разпределителни системи въз основа на покана за приоритетни проекти. Операторите на разпределителни системи получават субсидията пропорционално на броя физически обекти, необходими за инсталирането на интелигентни измервателни уреди в географските райони, в които работят.  </w:t>
      </w:r>
    </w:p>
    <w:p w14:paraId="4A621F86"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води до общ брой от най-малко 290 680 новоинсталирани интелигентни измервателни уреди.</w:t>
      </w:r>
    </w:p>
    <w:p w14:paraId="17CC898C" w14:textId="77777777" w:rsidR="00CE3BAD" w:rsidRPr="00782BF9" w:rsidRDefault="006B5475">
      <w:pPr>
        <w:pStyle w:val="P68B1DB1-Normal4"/>
        <w:spacing w:after="120" w:line="240" w:lineRule="auto"/>
        <w:jc w:val="both"/>
        <w:rPr>
          <w:rFonts w:cs="Times New Roman"/>
          <w:b/>
          <w:noProof/>
          <w:lang w:val="bg-BG"/>
        </w:rPr>
      </w:pPr>
      <w:r w:rsidRPr="00782BF9">
        <w:rPr>
          <w:noProof/>
          <w:lang w:val="bg-BG"/>
        </w:rPr>
        <w:t>Изпълнението на инвестицията трябва да приключи до 30 юни 2026 г.</w:t>
      </w:r>
    </w:p>
    <w:p w14:paraId="73F12724" w14:textId="77777777" w:rsidR="00CE3BAD" w:rsidRPr="00782BF9" w:rsidRDefault="00CE3BAD">
      <w:pPr>
        <w:spacing w:before="120" w:after="120" w:line="240" w:lineRule="auto"/>
        <w:jc w:val="both"/>
        <w:rPr>
          <w:rFonts w:ascii="Times New Roman" w:hAnsi="Times New Roman"/>
          <w:b/>
          <w:noProof/>
          <w:color w:val="000000" w:themeColor="text1"/>
          <w:sz w:val="24"/>
          <w:lang w:val="bg-BG"/>
        </w:rPr>
      </w:pPr>
    </w:p>
    <w:p w14:paraId="1CC58FA9" w14:textId="101E9921" w:rsidR="00CE3BAD" w:rsidRPr="00782BF9" w:rsidRDefault="00315798">
      <w:pPr>
        <w:pStyle w:val="P68B1DB1-Normal6"/>
        <w:spacing w:before="120" w:after="120" w:line="240" w:lineRule="auto"/>
        <w:jc w:val="both"/>
        <w:rPr>
          <w:rFonts w:eastAsia="Times New Roman" w:cs="Times New Roman"/>
          <w:noProof/>
          <w:lang w:val="bg-BG"/>
        </w:rPr>
      </w:pPr>
      <w:r w:rsidRPr="00782BF9">
        <w:rPr>
          <w:noProof/>
          <w:lang w:val="bg-BG"/>
        </w:rPr>
        <w:t>C</w:t>
      </w:r>
      <w:r w:rsidR="006B5475" w:rsidRPr="00782BF9">
        <w:rPr>
          <w:noProof/>
          <w:lang w:val="bg-BG"/>
        </w:rPr>
        <w:t>6.</w:t>
      </w:r>
      <w:r w:rsidRPr="00782BF9">
        <w:rPr>
          <w:noProof/>
          <w:lang w:val="bg-BG"/>
        </w:rPr>
        <w:t>I</w:t>
      </w:r>
      <w:r w:rsidR="006B5475" w:rsidRPr="00782BF9">
        <w:rPr>
          <w:noProof/>
          <w:lang w:val="bg-BG"/>
        </w:rPr>
        <w:t>6: Инвестиции в енергийна ефективност в обществени сгради</w:t>
      </w:r>
    </w:p>
    <w:p w14:paraId="62250B07" w14:textId="77777777" w:rsidR="00CE3BAD" w:rsidRPr="00782BF9" w:rsidRDefault="006B5475">
      <w:pPr>
        <w:pStyle w:val="P68B1DB1-Normal7"/>
        <w:spacing w:before="120" w:after="120" w:line="240" w:lineRule="auto"/>
        <w:jc w:val="both"/>
        <w:rPr>
          <w:rFonts w:eastAsia="Times New Roman" w:cs="Times New Roman"/>
          <w:noProof/>
          <w:color w:val="0078D4"/>
          <w:highlight w:val="yellow"/>
          <w:u w:val="single"/>
          <w:lang w:val="bg-BG"/>
        </w:rPr>
      </w:pPr>
      <w:r w:rsidRPr="00782BF9">
        <w:rPr>
          <w:noProof/>
          <w:lang w:val="bg-BG"/>
        </w:rPr>
        <w:t>Тази инвестиция е насочена към подобряване на енергийните характеристики на обществените сгради.</w:t>
      </w:r>
    </w:p>
    <w:p w14:paraId="4224F411" w14:textId="77777777" w:rsidR="00CE3BAD" w:rsidRPr="00782BF9" w:rsidRDefault="006B5475">
      <w:pPr>
        <w:pStyle w:val="P68B1DB1-Normal4"/>
        <w:spacing w:before="120" w:after="120" w:line="240" w:lineRule="auto"/>
        <w:jc w:val="both"/>
        <w:rPr>
          <w:rFonts w:eastAsia="Times New Roman" w:cs="Times New Roman"/>
          <w:noProof/>
          <w:color w:val="0078D4"/>
          <w:u w:val="single"/>
          <w:lang w:val="bg-BG"/>
        </w:rPr>
      </w:pPr>
      <w:r w:rsidRPr="00782BF9">
        <w:rPr>
          <w:noProof/>
          <w:color w:val="000000" w:themeColor="text1"/>
          <w:lang w:val="bg-BG"/>
        </w:rPr>
        <w:t xml:space="preserve">Инвестицията води до цялостно намаляване на потреблението на първична енергия чрез подобряване на енергийната ефективност в обществените сгради с разгъната застроена площ от 388 000 квадратни метра, със </w:t>
      </w:r>
      <w:r w:rsidRPr="00782BF9">
        <w:rPr>
          <w:noProof/>
          <w:lang w:val="bg-BG"/>
        </w:rPr>
        <w:t>специален акцент върху региона на Будапеща.</w:t>
      </w:r>
      <w:r w:rsidRPr="00782BF9">
        <w:rPr>
          <w:noProof/>
          <w:color w:val="000000" w:themeColor="text1"/>
          <w:lang w:val="bg-BG"/>
        </w:rPr>
        <w:t xml:space="preserve"> Това се постига чрез предприемане на инвестиции в енергийното управление на сградите, например чрез подобряване на изолацията на сградите, топлинните характеристики на сградите, намаляване на топлинните загуби, модернизиране на отоплението</w:t>
      </w:r>
      <w:r w:rsidRPr="00782BF9">
        <w:rPr>
          <w:noProof/>
          <w:color w:val="D13438"/>
          <w:u w:val="single"/>
          <w:lang w:val="bg-BG"/>
        </w:rPr>
        <w:t>,</w:t>
      </w:r>
      <w:r w:rsidRPr="00782BF9">
        <w:rPr>
          <w:noProof/>
          <w:color w:val="000000" w:themeColor="text1"/>
          <w:lang w:val="bg-BG"/>
        </w:rPr>
        <w:t xml:space="preserve">прилагане на цифрови системи за енергийно управление с цел намаляване на търсенето на енергия и/или енергийно ефективно модернизиране на съществуващите системи за вътрешно осветление, използване на енергия от възобновяеми източници за обществените сгради и дейности в подкрепа на адаптирането на обществените сгради към изменението на климата. Подпомагането за отоплителни системи на базата на газ не трябва да надвишава максималния размер от 20 % от общия пакет за тази мярка. </w:t>
      </w:r>
    </w:p>
    <w:p w14:paraId="1EB418EE" w14:textId="77777777" w:rsidR="00CE3BAD" w:rsidRPr="00782BF9" w:rsidRDefault="006B5475">
      <w:pPr>
        <w:pStyle w:val="P68B1DB1-Normal7"/>
        <w:spacing w:before="120" w:after="120" w:line="240" w:lineRule="auto"/>
        <w:jc w:val="both"/>
        <w:rPr>
          <w:rFonts w:eastAsia="Times New Roman" w:cs="Times New Roman"/>
          <w:noProof/>
          <w:color w:val="000000" w:themeColor="text1"/>
          <w:lang w:val="bg-BG"/>
        </w:rPr>
      </w:pPr>
      <w:r w:rsidRPr="00782BF9">
        <w:rPr>
          <w:noProof/>
          <w:lang w:val="bg-BG"/>
        </w:rPr>
        <w:t>Изпълнението на мярката трябва да приключи до 30 юни 2026 г.</w:t>
      </w:r>
    </w:p>
    <w:p w14:paraId="316043A7" w14:textId="7E2D1363" w:rsidR="00CE3BAD" w:rsidRPr="00782BF9" w:rsidRDefault="00CE3BAD">
      <w:pPr>
        <w:spacing w:after="120" w:line="240" w:lineRule="auto"/>
        <w:rPr>
          <w:rFonts w:ascii="Times New Roman" w:hAnsi="Times New Roman" w:cs="Times New Roman"/>
          <w:noProof/>
          <w:sz w:val="24"/>
          <w:lang w:val="bg-BG"/>
        </w:rPr>
      </w:pPr>
    </w:p>
    <w:p w14:paraId="002F2764" w14:textId="1BB17C1A" w:rsidR="00CE3BAD" w:rsidRPr="00782BF9" w:rsidRDefault="00CE3BAD">
      <w:pPr>
        <w:spacing w:after="120" w:line="240" w:lineRule="auto"/>
        <w:jc w:val="both"/>
        <w:rPr>
          <w:rFonts w:ascii="Times New Roman" w:hAnsi="Times New Roman" w:cs="Times New Roman"/>
          <w:b/>
          <w:noProof/>
          <w:sz w:val="24"/>
          <w:lang w:val="bg-BG"/>
        </w:rPr>
        <w:sectPr w:rsidR="00CE3BAD" w:rsidRPr="00782BF9" w:rsidSect="005105E0">
          <w:headerReference w:type="even" r:id="rId93"/>
          <w:headerReference w:type="default" r:id="rId94"/>
          <w:footerReference w:type="even" r:id="rId95"/>
          <w:footerReference w:type="default" r:id="rId96"/>
          <w:headerReference w:type="first" r:id="rId97"/>
          <w:footerReference w:type="first" r:id="rId98"/>
          <w:type w:val="continuous"/>
          <w:pgSz w:w="11906" w:h="16838"/>
          <w:pgMar w:top="1440" w:right="1440" w:bottom="1440" w:left="1440" w:header="708" w:footer="708" w:gutter="0"/>
          <w:cols w:space="708"/>
          <w:docGrid w:linePitch="360"/>
        </w:sectPr>
      </w:pPr>
    </w:p>
    <w:p w14:paraId="55102DB1" w14:textId="77777777" w:rsidR="00CE3BAD" w:rsidRPr="00782BF9" w:rsidRDefault="006B5475">
      <w:pPr>
        <w:pStyle w:val="Heading2"/>
        <w:spacing w:after="120"/>
        <w:ind w:left="0" w:firstLine="0"/>
        <w:rPr>
          <w:noProof/>
          <w:lang w:val="bg-BG"/>
        </w:rPr>
      </w:pPr>
      <w:r w:rsidRPr="00782BF9">
        <w:rPr>
          <w:noProof/>
          <w:lang w:val="bg-BG"/>
        </w:rPr>
        <w:t>Е.2. Ключови етапи, цели, показатели и график за мониторинг и изпълнение на безвъзмездната финансова подкрепа</w:t>
      </w:r>
    </w:p>
    <w:tbl>
      <w:tblPr>
        <w:tblStyle w:val="GridTable1Light-Accent11"/>
        <w:tblW w:w="16074" w:type="dxa"/>
        <w:tblInd w:w="-1026" w:type="dxa"/>
        <w:tblLayout w:type="fixed"/>
        <w:tblLook w:val="06A0" w:firstRow="1" w:lastRow="0" w:firstColumn="1" w:lastColumn="0" w:noHBand="1" w:noVBand="1"/>
      </w:tblPr>
      <w:tblGrid>
        <w:gridCol w:w="850"/>
        <w:gridCol w:w="1418"/>
        <w:gridCol w:w="993"/>
        <w:gridCol w:w="1532"/>
        <w:gridCol w:w="1310"/>
        <w:gridCol w:w="912"/>
        <w:gridCol w:w="1065"/>
        <w:gridCol w:w="1276"/>
        <w:gridCol w:w="850"/>
        <w:gridCol w:w="709"/>
        <w:gridCol w:w="5159"/>
      </w:tblGrid>
      <w:tr w:rsidR="00CE3BAD" w:rsidRPr="00782BF9" w14:paraId="749AFCDF" w14:textId="77777777" w:rsidTr="00CE3BAD">
        <w:trPr>
          <w:cnfStyle w:val="100000000000" w:firstRow="1" w:lastRow="0" w:firstColumn="0" w:lastColumn="0" w:oddVBand="0" w:evenVBand="0" w:oddHBand="0" w:evenHBand="0" w:firstRowFirstColumn="0" w:firstRowLastColumn="0" w:lastRowFirstColumn="0" w:lastRowLastColumn="0"/>
          <w:trHeight w:val="714"/>
          <w:tblHeader/>
        </w:trPr>
        <w:tc>
          <w:tcPr>
            <w:cnfStyle w:val="001000000000" w:firstRow="0" w:lastRow="0" w:firstColumn="1" w:lastColumn="0" w:oddVBand="0" w:evenVBand="0" w:oddHBand="0" w:evenHBand="0" w:firstRowFirstColumn="0" w:firstRowLastColumn="0" w:lastRowFirstColumn="0" w:lastRowLastColumn="0"/>
            <w:tcW w:w="85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8B5B8D7" w14:textId="79900FE1" w:rsidR="00CE3BAD" w:rsidRPr="00782BF9" w:rsidRDefault="006B5475">
            <w:pPr>
              <w:pStyle w:val="P68B1DB1-Normal10"/>
              <w:spacing w:after="0" w:line="240" w:lineRule="auto"/>
              <w:jc w:val="center"/>
              <w:rPr>
                <w:rFonts w:eastAsia="Calibri"/>
                <w:noProof/>
                <w:lang w:val="bg-BG"/>
              </w:rPr>
            </w:pPr>
            <w:r w:rsidRPr="00782BF9">
              <w:rPr>
                <w:noProof/>
                <w:lang w:val="bg-BG"/>
              </w:rPr>
              <w:t>Следващи Брой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80EC45"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Свързана мярка (реформа или инвестиции)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2F4D693"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етап/Цел</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5D8B87F"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Име</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62A939D"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Качествени индикатори  </w:t>
            </w:r>
            <w:r w:rsidRPr="00782BF9">
              <w:rPr>
                <w:noProof/>
                <w:lang w:val="bg-BG"/>
              </w:rPr>
              <w:br/>
              <w:t>(за ключовите етапи)</w:t>
            </w:r>
          </w:p>
        </w:tc>
        <w:tc>
          <w:tcPr>
            <w:tcW w:w="3253"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6DBFB6"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Количествени индикатори  </w:t>
            </w:r>
            <w:r w:rsidRPr="00782BF9">
              <w:rPr>
                <w:noProof/>
                <w:lang w:val="bg-BG"/>
              </w:rPr>
              <w:br/>
              <w:t>(за целите)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605C24" w14:textId="56E19B72"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Примерен график за приключване</w:t>
            </w:r>
          </w:p>
        </w:tc>
        <w:tc>
          <w:tcPr>
            <w:tcW w:w="5159"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BBC5AB"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Описание на всеки ключов етап и цел</w:t>
            </w:r>
          </w:p>
        </w:tc>
      </w:tr>
      <w:tr w:rsidR="00CE3BAD" w:rsidRPr="00782BF9" w14:paraId="4F568576" w14:textId="77777777" w:rsidTr="00CE3BAD">
        <w:trPr>
          <w:cnfStyle w:val="100000000000" w:firstRow="1" w:lastRow="0" w:firstColumn="0" w:lastColumn="0" w:oddVBand="0" w:evenVBand="0" w:oddHBand="0" w:evenHBand="0" w:firstRowFirstColumn="0" w:firstRowLastColumn="0" w:lastRowFirstColumn="0" w:lastRowLastColumn="0"/>
          <w:trHeight w:val="412"/>
          <w:tblHeader/>
        </w:trPr>
        <w:tc>
          <w:tcPr>
            <w:cnfStyle w:val="001000000000" w:firstRow="0" w:lastRow="0" w:firstColumn="1" w:lastColumn="0" w:oddVBand="0" w:evenVBand="0" w:oddHBand="0" w:evenHBand="0" w:firstRowFirstColumn="0" w:firstRowLastColumn="0" w:lastRowFirstColumn="0" w:lastRowLastColumn="0"/>
            <w:tcW w:w="850" w:type="dxa"/>
            <w:vMerge/>
            <w:tcBorders>
              <w:top w:val="single" w:sz="4" w:space="0" w:color="auto"/>
              <w:left w:val="single" w:sz="4" w:space="0" w:color="auto"/>
              <w:bottom w:val="single" w:sz="4" w:space="0" w:color="auto"/>
              <w:right w:val="single" w:sz="4" w:space="0" w:color="auto"/>
            </w:tcBorders>
            <w:vAlign w:val="center"/>
          </w:tcPr>
          <w:p w14:paraId="78E3E959" w14:textId="77777777" w:rsidR="00CE3BAD" w:rsidRPr="00782BF9" w:rsidRDefault="00CE3BAD">
            <w:pPr>
              <w:spacing w:after="0" w:line="240" w:lineRule="auto"/>
              <w:jc w:val="center"/>
              <w:rPr>
                <w:rFonts w:cstheme="minorHAnsi"/>
                <w:b w:val="0"/>
                <w:noProof/>
                <w:sz w:val="18"/>
                <w:lang w:val="bg-BG"/>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A7C02BA" w14:textId="77777777" w:rsidR="00CE3BAD" w:rsidRPr="00782BF9" w:rsidRDefault="00CE3B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noProof/>
                <w:sz w:val="18"/>
                <w:lang w:val="bg-BG"/>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2817C19" w14:textId="77777777" w:rsidR="00CE3BAD" w:rsidRPr="00782BF9" w:rsidRDefault="00CE3B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noProof/>
                <w:sz w:val="18"/>
                <w:lang w:val="bg-BG"/>
              </w:rPr>
            </w:pPr>
          </w:p>
        </w:tc>
        <w:tc>
          <w:tcPr>
            <w:tcW w:w="1532" w:type="dxa"/>
            <w:vMerge/>
            <w:tcBorders>
              <w:top w:val="single" w:sz="4" w:space="0" w:color="auto"/>
              <w:left w:val="single" w:sz="4" w:space="0" w:color="auto"/>
              <w:bottom w:val="single" w:sz="4" w:space="0" w:color="auto"/>
              <w:right w:val="single" w:sz="4" w:space="0" w:color="auto"/>
            </w:tcBorders>
            <w:vAlign w:val="center"/>
          </w:tcPr>
          <w:p w14:paraId="1C82C5D1" w14:textId="77777777" w:rsidR="00CE3BAD" w:rsidRPr="00782BF9" w:rsidRDefault="00CE3B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noProof/>
                <w:sz w:val="18"/>
                <w:lang w:val="bg-BG"/>
              </w:rPr>
            </w:pPr>
          </w:p>
        </w:tc>
        <w:tc>
          <w:tcPr>
            <w:tcW w:w="1310" w:type="dxa"/>
            <w:vMerge/>
            <w:tcBorders>
              <w:top w:val="single" w:sz="4" w:space="0" w:color="auto"/>
              <w:left w:val="single" w:sz="4" w:space="0" w:color="auto"/>
              <w:bottom w:val="single" w:sz="4" w:space="0" w:color="auto"/>
              <w:right w:val="single" w:sz="4" w:space="0" w:color="auto"/>
            </w:tcBorders>
            <w:vAlign w:val="center"/>
          </w:tcPr>
          <w:p w14:paraId="5FEBAAA1" w14:textId="77777777" w:rsidR="00CE3BAD" w:rsidRPr="00782BF9" w:rsidRDefault="00CE3B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noProof/>
                <w:sz w:val="18"/>
                <w:lang w:val="bg-BG"/>
              </w:rPr>
            </w:pPr>
          </w:p>
        </w:tc>
        <w:tc>
          <w:tcPr>
            <w:tcW w:w="9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EFDDC2B"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Единица мярка</w:t>
            </w:r>
          </w:p>
        </w:tc>
        <w:tc>
          <w:tcPr>
            <w:tcW w:w="106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BF45D3A"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Базова линия</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A93A70"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Цел</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338F49"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Тримесечие</w:t>
            </w:r>
          </w:p>
        </w:tc>
        <w:tc>
          <w:tcPr>
            <w:tcW w:w="7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0CD0FD" w14:textId="77777777" w:rsidR="00CE3BAD" w:rsidRPr="00782BF9" w:rsidRDefault="006B5475">
            <w:pPr>
              <w:pStyle w:val="P68B1DB1-Normal10"/>
              <w:spacing w:after="0" w:line="240" w:lineRule="auto"/>
              <w:jc w:val="center"/>
              <w:cnfStyle w:val="100000000000" w:firstRow="1" w:lastRow="0" w:firstColumn="0" w:lastColumn="0" w:oddVBand="0" w:evenVBand="0" w:oddHBand="0" w:evenHBand="0" w:firstRowFirstColumn="0" w:firstRowLastColumn="0" w:lastRowFirstColumn="0" w:lastRowLastColumn="0"/>
              <w:rPr>
                <w:noProof/>
                <w:lang w:val="bg-BG"/>
              </w:rPr>
            </w:pPr>
            <w:r w:rsidRPr="00782BF9">
              <w:rPr>
                <w:noProof/>
                <w:lang w:val="bg-BG"/>
              </w:rPr>
              <w:t>Година</w:t>
            </w:r>
          </w:p>
        </w:tc>
        <w:tc>
          <w:tcPr>
            <w:tcW w:w="5159" w:type="dxa"/>
            <w:vMerge/>
            <w:tcBorders>
              <w:top w:val="single" w:sz="4" w:space="0" w:color="auto"/>
              <w:bottom w:val="single" w:sz="4" w:space="0" w:color="auto"/>
              <w:right w:val="single" w:sz="4" w:space="0" w:color="auto"/>
            </w:tcBorders>
            <w:vAlign w:val="center"/>
          </w:tcPr>
          <w:p w14:paraId="7EBA6235" w14:textId="77777777" w:rsidR="00CE3BAD" w:rsidRPr="00782BF9" w:rsidRDefault="00CE3BA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noProof/>
                <w:sz w:val="18"/>
                <w:lang w:val="bg-BG"/>
              </w:rPr>
            </w:pPr>
          </w:p>
        </w:tc>
      </w:tr>
      <w:tr w:rsidR="00DC4301" w:rsidRPr="00782BF9" w14:paraId="43F25764"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454AE399" w14:textId="58BEB13F" w:rsidR="00CE3BAD" w:rsidRPr="00782BF9" w:rsidRDefault="006B5475">
            <w:pPr>
              <w:pStyle w:val="P68B1DB1-Normal10"/>
              <w:spacing w:after="0" w:line="240" w:lineRule="auto"/>
              <w:jc w:val="center"/>
              <w:rPr>
                <w:rFonts w:eastAsia="Calibri"/>
                <w:b w:val="0"/>
                <w:noProof/>
                <w:lang w:val="bg-BG"/>
              </w:rPr>
            </w:pPr>
            <w:r w:rsidRPr="00782BF9">
              <w:rPr>
                <w:noProof/>
                <w:lang w:val="bg-BG"/>
              </w:rPr>
              <w:t>99</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650A355A" w14:textId="4B8016C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C6.R1 Преобразуване на регулиране на електроенергията</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53ADB68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4A413EE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Влизане в сила на законодателни изменения на Правителствено постановление 273/2007. (X.19.)</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4416EB2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rFonts w:ascii="Calibri" w:hAnsi="Calibri"/>
                <w:noProof/>
                <w:lang w:val="bg-BG"/>
              </w:rPr>
              <w:t>Да</w:t>
            </w:r>
            <w:r w:rsidRPr="00782BF9">
              <w:rPr>
                <w:noProof/>
                <w:lang w:val="bg-BG"/>
              </w:rPr>
              <w:t>влезе в сила законодателното изменение, включително брутното плащане</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3E48ED39"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0EC16F5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2DD80E1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4A1E49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Т1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1CA88C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31EF49E3" w14:textId="6D34AB5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Влизане в сила на изменението на Правителствено постановление 273/2007 (X.19) относно правилата за задължителна схема за брутно плащане за произвеждащите потребители. С постановлението се гарантира, че считано от 1 януари 2023 г. произвеждащите потребители, които се ползват от публична финансова подкрепа за инсталирането на техните единици за производство на електроенергия, отчитат поотделно произведеното количество енергия и количеството консумирана енергия.</w:t>
            </w:r>
          </w:p>
        </w:tc>
      </w:tr>
      <w:tr w:rsidR="00DC4301" w:rsidRPr="00782BF9" w14:paraId="733673F9"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430F6D92" w14:textId="061442AE" w:rsidR="00CE3BAD" w:rsidRPr="00782BF9" w:rsidRDefault="006B5475">
            <w:pPr>
              <w:pStyle w:val="P68B1DB1-Normal10"/>
              <w:spacing w:after="0" w:line="240" w:lineRule="auto"/>
              <w:jc w:val="center"/>
              <w:rPr>
                <w:rFonts w:eastAsia="Calibri"/>
                <w:b w:val="0"/>
                <w:noProof/>
                <w:lang w:val="bg-BG"/>
              </w:rPr>
            </w:pPr>
            <w:r w:rsidRPr="00782BF9">
              <w:rPr>
                <w:noProof/>
                <w:lang w:val="bg-BG"/>
              </w:rPr>
              <w:t>100</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41EB5680" w14:textId="75DF618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C6.R2 Насърчаване на развитието на вятърна енергия на сушата</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7C624BE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6205FFB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Изменение на законодателството в полза на използването на вятърна енергия</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1B2F9E1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Влизане в сила на измененото законодателство</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0CD0C24F"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3FBAFE08"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3B04EA1"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1DC5222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Т1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EBCC7D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1B4BD62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Влизане в сила на измененото законодателство, с което се премахват ненужните ограничения за изграждане на вятърни електроцентрали за цялата страна. </w:t>
            </w:r>
          </w:p>
          <w:p w14:paraId="47647056" w14:textId="7859797E"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Законодателството позволява ефективно инсталиране на вятърни електроцентрали. По-конкретно, правилата за минимално разстояние в приложимото понастоящем законодателство трябва да бъдат значително намалени и всяко минимално разстояние между съоръженията за вятърна енергия и жилищните или други засегнати райони не надвишава европейските референтни показатели и съпоставими най-добри практики. Максимално допустимата височина на вятърната турбина (или максималният диаметър на лопатките на роторите на вятърни генератори) се премахва или увеличава, за да съответства на европейските референтни показатели и съпоставими най-добри практики. Не се запазва или не се въвежда максимално допустима мощност на вятърна турбина. Националното законодателство може да разреши на местните органи да налагат обосновани изисквания за отчитане на други законни интереси, като например други видове земеползване, опазване на природата или ландшафта. Законодателството също така гарантира, че пространственото планиране третира вятърната енергия по начин, подобен на този на другите източници на възобновяема енергия, без никакви специфични ограничения. Преди приемането на новото законодателство се провеждат обществени консултации и прозрачен диалог с местните органи.</w:t>
            </w:r>
          </w:p>
        </w:tc>
      </w:tr>
      <w:tr w:rsidR="00DC4301" w:rsidRPr="00782BF9" w14:paraId="3ADEB4F7"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23A86165" w14:textId="2ED33137" w:rsidR="00CE3BAD" w:rsidRPr="00782BF9" w:rsidRDefault="006B5475">
            <w:pPr>
              <w:pStyle w:val="P68B1DB1-Normal10"/>
              <w:jc w:val="center"/>
              <w:rPr>
                <w:rFonts w:eastAsia="Calibri"/>
                <w:b w:val="0"/>
                <w:noProof/>
                <w:lang w:val="bg-BG"/>
              </w:rPr>
            </w:pPr>
            <w:r w:rsidRPr="00782BF9">
              <w:rPr>
                <w:noProof/>
                <w:lang w:val="bg-BG"/>
              </w:rPr>
              <w:t>101</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6711C173" w14:textId="222E511F"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C6.R2 Насърчаване на развитието на вятърна енергия на сушата</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2F37576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7921099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Създаване на зони за вятърна енергия</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0379094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Влизане в сила на съответното законодателство</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55647C3E"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0AFF45DF"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E282C56"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639E58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Т1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5626BF9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2791A887" w14:textId="1E49940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Влизане в сила на регламента за определяне на зони за вятърни електроцентрали и за създаване на специални опростени процедури за издаване на разрешителни за инсталирането на такива електроцентрали в такива зони (10</w:t>
            </w:r>
            <w:r w:rsidRPr="00782BF9">
              <w:rPr>
                <w:noProof/>
                <w:color w:val="006100"/>
                <w:lang w:val="bg-BG"/>
              </w:rPr>
              <w:t xml:space="preserve"> </w:t>
            </w:r>
            <w:r w:rsidRPr="00782BF9">
              <w:rPr>
                <w:noProof/>
                <w:lang w:val="bg-BG"/>
              </w:rPr>
              <w:t xml:space="preserve">% по-кратки срокове за процедурите, свързани с издаване на разрешения и предоставяне на правна възможност за получаване на изявления от съответните органи — като например орган за защита на земята, пожарна служба — преди започване на процедурата за издаване на разрешение). </w:t>
            </w:r>
          </w:p>
          <w:p w14:paraId="19FB094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Тези „отиват в райони“ се определят най-малко като райони в държавата, в която енергийната плътност на вятъра е най-малко 500 W/m² на височина 150 метра, или като се използва сходна средна стойност на скоростта на вятъра, при условие че получената обхваната площ не е по-малка. Предпочитаните зони във всички случаи обхващат зоните, които понастоящем се използват за вятърни турбини, така че да се улесни издаването на разрешения за модернизиране. </w:t>
            </w:r>
          </w:p>
          <w:p w14:paraId="4E9EBDA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Преди приемането на новото законодателство се провеждат обществени консултации и прозрачен диалог с местните органи.</w:t>
            </w:r>
          </w:p>
        </w:tc>
      </w:tr>
      <w:tr w:rsidR="00DC4301" w:rsidRPr="00782BF9" w14:paraId="039D993E"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4DD0689F" w14:textId="1218CB2A" w:rsidR="00CE3BAD" w:rsidRPr="00782BF9" w:rsidRDefault="006B5475">
            <w:pPr>
              <w:pStyle w:val="P68B1DB1-Normal10"/>
              <w:jc w:val="center"/>
              <w:rPr>
                <w:rFonts w:eastAsia="Calibri"/>
                <w:b w:val="0"/>
                <w:noProof/>
                <w:lang w:val="bg-BG"/>
              </w:rPr>
            </w:pPr>
            <w:r w:rsidRPr="00782BF9">
              <w:rPr>
                <w:noProof/>
                <w:lang w:val="bg-BG"/>
              </w:rPr>
              <w:t>102</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53996687" w14:textId="45A556E3"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C6.R3 Подобряване на процедурите за издаване на разрешения за проекти за енергия от възобновяеми източници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3EFF30B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5EFDD1D9"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Интегрирана процедура за издаване на разрешения за ВЕИ</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4A68501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Влизане в сила на измененото законодателство</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1ED56F87"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7D245A77"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6AF91EB"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487DECF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Т1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1F89EA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59EBBEEA"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Влизане в сила на правната и административна рамка за комплексно обработване на издаването на разрешително за опазване на околната среда и разрешително за изграждане на зависещи от метеорологичните условия възобновяеми — слънчеви и вятърни електроцентрали с вградена мощност над 0,5 MW.</w:t>
            </w:r>
          </w:p>
          <w:p w14:paraId="44080B1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Законодателната рамка осигурява също така по-кратък срок за издаване на разрешения, като предвижда, че комплексното разрешително се издава в срок от 75 дни и че ако през този период не е получен отговор от администрацията, разрешението се счита за предоставено. </w:t>
            </w:r>
          </w:p>
        </w:tc>
      </w:tr>
      <w:tr w:rsidR="00DC4301" w:rsidRPr="00782BF9" w14:paraId="4E0EF74D"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4775168D" w14:textId="31B88819" w:rsidR="00CE3BAD" w:rsidRPr="00782BF9" w:rsidRDefault="006B5475">
            <w:pPr>
              <w:pStyle w:val="P68B1DB1-Normal10"/>
              <w:jc w:val="center"/>
              <w:rPr>
                <w:rFonts w:eastAsia="Calibri"/>
                <w:b w:val="0"/>
                <w:noProof/>
                <w:lang w:val="bg-BG"/>
              </w:rPr>
            </w:pPr>
            <w:r w:rsidRPr="00782BF9">
              <w:rPr>
                <w:noProof/>
                <w:lang w:val="bg-BG"/>
              </w:rPr>
              <w:t>103</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0FAF1ECF" w14:textId="5B2E8ADD"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C6.R3 Подобряване на процедурите за издаване на разрешения за проекти за енергия от възобновяеми източници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4C3DB20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75E2C32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Обслужване на едно гише за издаване на разрешения за ВЕИ</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1765938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Начало на експлоатацията на обслужване на едно гише </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2ED8515E"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3BB66202"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EDABEEA"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08DB0F3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Т1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56E2B22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51D861F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Трябва да функционира обслужване на едно гише, което да е започнало да предлага услуги на инвеститори, заинтересовани от изграждането на зависими от метеорологичните условия централи за енергия от възобновяеми източници, слънчева и вятърна енергия.</w:t>
            </w:r>
          </w:p>
          <w:p w14:paraId="753359F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Обслужването на едно гише е централизиран субект на национално равнище, който действа като единно звено за контакт за инвеститорите във връзка с обработването и предоставянето на разрешения. </w:t>
            </w:r>
          </w:p>
        </w:tc>
      </w:tr>
      <w:tr w:rsidR="00DC4301" w:rsidRPr="00782BF9" w14:paraId="0627EF05"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1DECCBFF" w14:textId="18A366BD" w:rsidR="00CE3BAD" w:rsidRPr="00782BF9" w:rsidRDefault="006B5475">
            <w:pPr>
              <w:pStyle w:val="P68B1DB1-Normal10"/>
              <w:jc w:val="center"/>
              <w:rPr>
                <w:rFonts w:eastAsia="Calibri"/>
                <w:b w:val="0"/>
                <w:noProof/>
                <w:lang w:val="bg-BG"/>
              </w:rPr>
            </w:pPr>
            <w:r w:rsidRPr="00782BF9">
              <w:rPr>
                <w:noProof/>
                <w:lang w:val="bg-BG"/>
              </w:rPr>
              <w:t>104</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3175DBFE" w14:textId="0010560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C6.R3 Подобряване на процедурите за издаване на разрешения за проекти за енергия от възобновяеми източници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1185781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485BE10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Проста връзка към мрежата на малки фотоволтаични инсталации</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07D4432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Влизане в сила на измененото законодателство</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7521DE53"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2F5B1336"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3FCB83C"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2134C9CA"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Т1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12E04C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5D7926B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Влизане в сила на измененото законодателство, което позволява опростена процедура за инсталиране и пускане в експлоатация, включително присъединяване към мрежата, за малки фотоволтаични инсталации с максимална вградена мощност от 0,8 kW. Опростената процедура е под формата на обикновена регистрация. </w:t>
            </w:r>
          </w:p>
          <w:p w14:paraId="0BCE588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 законодателството се предвижда също така, че срокът за свързване на тези малки електроцентрали не може да бъде по-дълъг от два месеца след пълното подаване на заявка за мрежата. Закъснения при осигуряването на връзката от страна на съответния ОРС се допускат само в случаите, когато закъснението се дължи на фактори, които не попадат в неговата компетентност.</w:t>
            </w:r>
          </w:p>
        </w:tc>
      </w:tr>
      <w:tr w:rsidR="00DC4301" w:rsidRPr="00782BF9" w14:paraId="6A817445"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375130E" w14:textId="11142ED3" w:rsidR="00CE3BAD" w:rsidRPr="00782BF9" w:rsidRDefault="006B5475">
            <w:pPr>
              <w:pStyle w:val="P68B1DB1-Normal10"/>
              <w:jc w:val="center"/>
              <w:rPr>
                <w:rFonts w:eastAsia="Calibri"/>
                <w:b w:val="0"/>
                <w:noProof/>
                <w:lang w:val="bg-BG"/>
              </w:rPr>
            </w:pPr>
            <w:r w:rsidRPr="00782BF9">
              <w:rPr>
                <w:noProof/>
                <w:lang w:val="bg-BG"/>
              </w:rPr>
              <w:t>105</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0FBADE58" w14:textId="3B626A28"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C6.R3 Подобряване на процедурите за издаване на разрешения за проекти за енергия от възобновяеми източници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0EF08FF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3DCFC0D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Премахване на ограниченията за изкупуване на електроенергия за домакинствата</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66259DD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Влизане в сила на измененото законодателство за редовен преглед на ограничението</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4C263C78"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71EA93DE"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F37A867"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254461E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Т4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4B6C45F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2022</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13C3E76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Влизане в сила на измененото законодателство, с което се налага задължение на унгарския регулаторен орган за енергийно и обществено ползване (MEKH) редовно да преразглежда въведеното неотдавна временно спиране на новоизградените жилищни фотоволтаични системи (до 50 kVA) за захранване на мрежата. </w:t>
            </w:r>
          </w:p>
          <w:p w14:paraId="5D91EEE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Измененото законодателство включва най-малко следните елементи: </w:t>
            </w:r>
          </w:p>
          <w:p w14:paraId="4286F77F" w14:textId="3A47522B" w:rsidR="00CE3BAD" w:rsidRPr="00782BF9" w:rsidRDefault="006B5475">
            <w:pPr>
              <w:pStyle w:val="P68B1DB1-ListParagraph11"/>
              <w:numPr>
                <w:ilvl w:val="0"/>
                <w:numId w:val="10"/>
              </w:numPr>
              <w:spacing w:after="160" w:line="240" w:lineRule="auto"/>
              <w:ind w:left="357" w:hanging="357"/>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MEKH прави преглед най-малко на всеки шест месеца по региони на адекватността на временното ограничение в съответните региони; </w:t>
            </w:r>
          </w:p>
          <w:p w14:paraId="4ED1AC56" w14:textId="606BBA65" w:rsidR="00CE3BAD" w:rsidRPr="00782BF9" w:rsidRDefault="006B5475">
            <w:pPr>
              <w:pStyle w:val="P68B1DB1-ListParagraph11"/>
              <w:numPr>
                <w:ilvl w:val="0"/>
                <w:numId w:val="10"/>
              </w:numPr>
              <w:spacing w:after="160" w:line="240" w:lineRule="auto"/>
              <w:ind w:left="357" w:hanging="357"/>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този преглед се основава на техническата информация, предоставена от операторите на разпределителни системи и ОПС; </w:t>
            </w:r>
          </w:p>
          <w:p w14:paraId="5CCD39FB" w14:textId="2584ED1B" w:rsidR="00CE3BAD" w:rsidRPr="00782BF9" w:rsidRDefault="006B5475">
            <w:pPr>
              <w:pStyle w:val="P68B1DB1-ListParagraph11"/>
              <w:numPr>
                <w:ilvl w:val="0"/>
                <w:numId w:val="10"/>
              </w:numPr>
              <w:spacing w:after="160" w:line="240" w:lineRule="auto"/>
              <w:ind w:left="357" w:hanging="357"/>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определят се и публикуват технически и обективни критерии за премахването на ограничението;</w:t>
            </w:r>
          </w:p>
          <w:p w14:paraId="48362AC0" w14:textId="02533960" w:rsidR="00CE3BAD" w:rsidRPr="00782BF9" w:rsidRDefault="006B5475">
            <w:pPr>
              <w:pStyle w:val="P68B1DB1-ListParagraph11"/>
              <w:numPr>
                <w:ilvl w:val="0"/>
                <w:numId w:val="10"/>
              </w:numPr>
              <w:spacing w:after="160" w:line="240" w:lineRule="auto"/>
              <w:ind w:left="357" w:hanging="357"/>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MEKH публикува мотивираното си решение за всеки регион на всеки шест месеца; MEKH информира правителството, когато оценката въз основа на посочените по-горе обективни критерии покаже, че мрежата е в състояние да интегрира енергията, произведена от битови фотоволтаични уредби, с оглед на пълното премахване на това ограничение;</w:t>
            </w:r>
          </w:p>
          <w:p w14:paraId="6112D60C" w14:textId="1BCFF701" w:rsidR="00CE3BAD" w:rsidRPr="00782BF9" w:rsidRDefault="006B5475">
            <w:pPr>
              <w:pStyle w:val="P68B1DB1-ListParagraph11"/>
              <w:numPr>
                <w:ilvl w:val="0"/>
                <w:numId w:val="10"/>
              </w:numPr>
              <w:spacing w:after="120" w:line="240" w:lineRule="auto"/>
              <w:ind w:left="357" w:hanging="357"/>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ограничението се премахва в съответния регион веднага щом бъдат изпълнени техническите и обективните критерии, посочени по-горе.</w:t>
            </w:r>
          </w:p>
          <w:p w14:paraId="2AAA837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Временното преустановяване за новопостроени жилищни фотоволтаични системи (до 50 kVA) да захранват мрежата се премахва в цялата държава най-късно до 31 декември 2024 г.</w:t>
            </w:r>
          </w:p>
        </w:tc>
      </w:tr>
      <w:tr w:rsidR="00DC4301" w:rsidRPr="00782BF9" w14:paraId="34BEB28F"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F0CBCA5" w14:textId="2929829A" w:rsidR="00CE3BAD" w:rsidRPr="00782BF9" w:rsidRDefault="006B5475">
            <w:pPr>
              <w:pStyle w:val="P68B1DB1-Normal10"/>
              <w:jc w:val="center"/>
              <w:rPr>
                <w:rFonts w:eastAsia="Calibri"/>
                <w:b w:val="0"/>
                <w:noProof/>
                <w:lang w:val="bg-BG"/>
              </w:rPr>
            </w:pPr>
            <w:r w:rsidRPr="00782BF9">
              <w:rPr>
                <w:noProof/>
                <w:lang w:val="bg-BG"/>
              </w:rPr>
              <w:t>106</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4AAAB41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C6.R4</w:t>
            </w:r>
          </w:p>
          <w:p w14:paraId="2320AD27" w14:textId="2EB76434"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Подобряване на прозрачността, предвидимостта и достъпността на свързването към мрежата</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379F723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7AED283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Повишаване на предвидимостта на процедурите за присъединяване към мрежата</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772C41A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Влизане в сила на измененото законодателство</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77DECFAC"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39D1E203"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3D84F8D"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C70B27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Т4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A7C05DA"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2022</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32F96EFD" w14:textId="77777777" w:rsidR="00CE3BAD" w:rsidRPr="00782BF9" w:rsidRDefault="006B5475">
            <w:pPr>
              <w:pStyle w:val="P68B1DB1-Normal10"/>
              <w:spacing w:after="0"/>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Законодателството се изменя, за да:</w:t>
            </w:r>
          </w:p>
          <w:p w14:paraId="26239DE1" w14:textId="4BB1E822" w:rsidR="00CE3BAD" w:rsidRPr="00782BF9" w:rsidRDefault="006B5475">
            <w:pPr>
              <w:pStyle w:val="P68B1DB1-ListParagraph11"/>
              <w:numPr>
                <w:ilvl w:val="0"/>
                <w:numId w:val="10"/>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гарантира, че едни и същи правила за присъединяване („процедура за координирано присъединяване към мрежата“) се прилагат за всички технологии за производство на електроенергия при недискриминационен подход;</w:t>
            </w:r>
          </w:p>
          <w:p w14:paraId="3F6C7C88" w14:textId="78BC42AE" w:rsidR="00CE3BAD" w:rsidRPr="00782BF9" w:rsidRDefault="006B5475">
            <w:pPr>
              <w:pStyle w:val="P68B1DB1-ListParagraph11"/>
              <w:numPr>
                <w:ilvl w:val="0"/>
                <w:numId w:val="10"/>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предвижда този процес да се основава на обективни технологични параметри и да се публикува преди поканите за представяне на предложения;</w:t>
            </w:r>
          </w:p>
          <w:p w14:paraId="3FF2454C" w14:textId="26C50AC8" w:rsidR="00CE3BAD" w:rsidRPr="00782BF9" w:rsidRDefault="006B5475">
            <w:pPr>
              <w:pStyle w:val="P68B1DB1-ListParagraph11"/>
              <w:numPr>
                <w:ilvl w:val="0"/>
                <w:numId w:val="10"/>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гарантира, че операторите на преносни системи и операторите на разпределителни системи имат право да отхвърлят искането за присъединяване на зависими от метеорологичните условия електроцентрали — слънчеви и вятърни електроцентрали — само по недискриминационен начин и въз основа на технически критерии и само ако представените нужди от капацитет надвишават зависимата от метеорологичните условия пределна мощност за свързване на електроцентралите от възобновяеми източници, слънчева и вятърна енергия, и заявителят не променя предложените технически условия на електроцентралата, за да се гарантира поддържането на баланса на електроенергията на електроенергийната система чрез предоставяне на резерви като балансиращи услуги;</w:t>
            </w:r>
          </w:p>
          <w:p w14:paraId="4C5950EC" w14:textId="1E471497" w:rsidR="00CE3BAD" w:rsidRPr="00782BF9" w:rsidRDefault="006B5475">
            <w:pPr>
              <w:pStyle w:val="P68B1DB1-ListParagraph11"/>
              <w:numPr>
                <w:ilvl w:val="0"/>
                <w:numId w:val="10"/>
              </w:numPr>
              <w:spacing w:after="16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предвиждат, че за индивидуални искания инвеститорите трябва да имат сигурност, че искането им ще бъде прието, при условие че се съгласят да предоставят балансираща мощност, както е поискано от ОПС/ОРС в съответния момент във времето, и плащат таксите за пряка връзка;</w:t>
            </w:r>
          </w:p>
          <w:p w14:paraId="19823F2F" w14:textId="6388594E" w:rsidR="00CE3BAD" w:rsidRPr="00782BF9" w:rsidRDefault="006B5475">
            <w:pPr>
              <w:pStyle w:val="P68B1DB1-ListParagraph11"/>
              <w:numPr>
                <w:ilvl w:val="0"/>
                <w:numId w:val="10"/>
              </w:numPr>
              <w:spacing w:after="160" w:line="240" w:lineRule="auto"/>
              <w:ind w:left="357" w:hanging="357"/>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определя максималното равнище на балансиращата мощност, което трябва да бъде поискано в този случай. Този максимален балансиращ капацитет не трябва да надвишава 30 % от капацитета на ВЕИ, който ще бъде инсталиран от 2022 г. нататък. Законодателството установява процедура, чрез която определеният в законодателството максимален задължителен коефициент на балансираща мощност се преразглежда всяка година въз основа на анализ на дисбаланса в системата и неговите основни фактори и постепенно се намалява, като се вземат предвид очакваните инвестиции в мрежата и резултатите от процедурите за присъединяване към мрежата. Равнището на изискването за балансиране е обективно обосновано и пропорционално. </w:t>
            </w:r>
          </w:p>
        </w:tc>
      </w:tr>
      <w:tr w:rsidR="00DC4301" w:rsidRPr="00782BF9" w14:paraId="195C34C2"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0DFBF3AA" w14:textId="4CC3AA87" w:rsidR="00CE3BAD" w:rsidRPr="00782BF9" w:rsidRDefault="006B5475">
            <w:pPr>
              <w:pStyle w:val="P68B1DB1-Normal10"/>
              <w:jc w:val="center"/>
              <w:rPr>
                <w:rFonts w:eastAsia="Calibri"/>
                <w:b w:val="0"/>
                <w:noProof/>
                <w:lang w:val="bg-BG"/>
              </w:rPr>
            </w:pPr>
            <w:r w:rsidRPr="00782BF9">
              <w:rPr>
                <w:noProof/>
                <w:lang w:val="bg-BG"/>
              </w:rPr>
              <w:t>107</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0E6962C4" w14:textId="75D9676F"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7BFEA96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73B4E69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Публикуване на информация относно заявките за присъединяване към мрежата и капацитета</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7DFE647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Влизане в сила на задължението за публикуване от ОПС/ОРС</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236081E5"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4863FA3E"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E840460"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9A8A74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Т1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625FE7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7A9F4955" w14:textId="2A01E8A2"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Законодателството се изменя, за да се гарантира, че преди отправянето на нова покана за представяне на предложения и най-малко на всеки шест месеца ОПС и ОРС публикуват анонимизираните изисквания за присъединяване на приетите искания и на отхвърлените искания със съответна обосновка, както и предоставят допълнителна информация за нови искания за присъединяване, които са възможни в резултат на всички необходими инвестиции в мрежата, включително проекти, финансирани чрез плана за възстановяване и устойчивост, и актуализирани прогнози за капацитета за присъединяване към мрежата през следващите пет години.</w:t>
            </w:r>
          </w:p>
          <w:p w14:paraId="4BCD2DA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Освен това на интернет страницата на унгарския ОПС (MAVIR) се публикуват опростени примери за различни видове свързване.</w:t>
            </w:r>
          </w:p>
        </w:tc>
      </w:tr>
      <w:tr w:rsidR="00DC4301" w:rsidRPr="00782BF9" w14:paraId="404F75B9"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79D57D5A" w14:textId="51E0BDA9" w:rsidR="00CE3BAD" w:rsidRPr="00782BF9" w:rsidRDefault="006B5475">
            <w:pPr>
              <w:pStyle w:val="P68B1DB1-Normal10"/>
              <w:jc w:val="center"/>
              <w:rPr>
                <w:rFonts w:eastAsia="Calibri"/>
                <w:b w:val="0"/>
                <w:noProof/>
                <w:lang w:val="bg-BG"/>
              </w:rPr>
            </w:pPr>
            <w:r w:rsidRPr="00782BF9">
              <w:rPr>
                <w:noProof/>
                <w:lang w:val="bg-BG"/>
              </w:rPr>
              <w:t>108</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784A3A6F" w14:textId="5A38C1D8"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52B0A98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5E63EF4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Форуми за обмен на информация</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3ADED40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Създаване на форуми за обмен на информация за участниците на пазара</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1178DF98"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652695E5"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4515D91"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107F425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Т4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D1FF19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2022</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4D83473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Организират се форуми за обмен на информация за участниците на пазара, за да се подпомогне разбирането на процедурата за присъединяване към мрежата. Първият кръг от форуми се организира преди края на 2022 г., последван от форуми за обмен на информация на всеки шест месеца. Тези форуми следва да бъдат организирани преди публикуването на нови повиквания към мрежата. </w:t>
            </w:r>
          </w:p>
        </w:tc>
      </w:tr>
      <w:tr w:rsidR="00DC4301" w:rsidRPr="00782BF9" w14:paraId="44C14AF8"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F3864A2" w14:textId="1EF04B7B" w:rsidR="00CE3BAD" w:rsidRPr="00782BF9" w:rsidRDefault="006B5475">
            <w:pPr>
              <w:pStyle w:val="P68B1DB1-Normal10"/>
              <w:jc w:val="center"/>
              <w:rPr>
                <w:rFonts w:eastAsia="Calibri"/>
                <w:b w:val="0"/>
                <w:noProof/>
                <w:lang w:val="bg-BG"/>
              </w:rPr>
            </w:pPr>
            <w:r w:rsidRPr="00782BF9">
              <w:rPr>
                <w:noProof/>
                <w:lang w:val="bg-BG"/>
              </w:rPr>
              <w:t>109</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73366CF3" w14:textId="6B6CEFCD"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09FE927A"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064610E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Създаване на ИТ инфраструктура за използване на данни от интелигентни измервателни уреди</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4902A1A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Пускане в действие на съответните бази данни и ИТ инструменти</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04FFEDDE"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69551697"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050A0DC"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3037D10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85A700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2026</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7088A225" w14:textId="12213C4F"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ОПС и ОРС създават необходимата ИТ инфраструктура, за да могат да събират и използват данни от инсталираните интелигентни измервателни уреди. Данните се използват за повишаване на точността на плана за развитие на мрежата, както и за разработване на гъвкави варианти за свързване и експлоатация.</w:t>
            </w:r>
          </w:p>
        </w:tc>
      </w:tr>
      <w:tr w:rsidR="00DC4301" w:rsidRPr="00782BF9" w14:paraId="361A07B8"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3B7AB162" w14:textId="499CB95A" w:rsidR="00CE3BAD" w:rsidRPr="00782BF9" w:rsidRDefault="006B5475">
            <w:pPr>
              <w:pStyle w:val="P68B1DB1-Normal10"/>
              <w:jc w:val="center"/>
              <w:rPr>
                <w:rFonts w:eastAsia="Calibri"/>
                <w:b w:val="0"/>
                <w:noProof/>
                <w:lang w:val="bg-BG"/>
              </w:rPr>
            </w:pPr>
            <w:r w:rsidRPr="00782BF9">
              <w:rPr>
                <w:noProof/>
                <w:lang w:val="bg-BG"/>
              </w:rPr>
              <w:t>110</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4EEACB38" w14:textId="2C9D3571"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2083018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5CDE7E3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Разрешение за присъединяване към мрежата за капацитет на централи за енергия от възобновяеми източници</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5E9E076F" w14:textId="3E57D413"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Общ разрешен капацитет за производство на енергия от възобновяеми източници</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6F90114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MW</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04F3B679" w14:textId="14F3AF62"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3</w:t>
            </w:r>
            <w:r w:rsidRPr="00782BF9">
              <w:rPr>
                <w:noProof/>
                <w:color w:val="006100"/>
                <w:lang w:val="bg-BG"/>
              </w:rPr>
              <w:t xml:space="preserve"> </w:t>
            </w:r>
            <w:r w:rsidRPr="00782BF9">
              <w:rPr>
                <w:noProof/>
                <w:lang w:val="bg-BG"/>
              </w:rPr>
              <w:t>500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4AC062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8 000 </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26755AA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Т3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F240AB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2024</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24BB077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Разрешение за присъединяване към мрежата, изпълнимо от датата на предоставяне, се издава от ОРС или ОПС на зависими от метеорологичните условия централи за възобновяема енергия — слънчева и вятърна енергия, с обща мощност от най-малко 8 000 MW. Целта обхваща всички категории такива електроцентрали (малки и големи електроцентрали), включително централи за енергия от възобновяеми източници, които са обхванати само от процедура за регистрация и са регистрирани.</w:t>
            </w:r>
          </w:p>
        </w:tc>
      </w:tr>
      <w:tr w:rsidR="00DC4301" w:rsidRPr="00782BF9" w14:paraId="194D0FFD"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2FBC9705" w14:textId="0BB52FC0" w:rsidR="00CE3BAD" w:rsidRPr="00782BF9" w:rsidRDefault="006B5475">
            <w:pPr>
              <w:pStyle w:val="P68B1DB1-Normal10"/>
              <w:jc w:val="center"/>
              <w:rPr>
                <w:rFonts w:eastAsia="Calibri"/>
                <w:b w:val="0"/>
                <w:noProof/>
                <w:lang w:val="bg-BG"/>
              </w:rPr>
            </w:pPr>
            <w:r w:rsidRPr="00782BF9">
              <w:rPr>
                <w:noProof/>
                <w:lang w:val="bg-BG"/>
              </w:rPr>
              <w:t>111</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61E3787B" w14:textId="3FF1A562"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6E91E5B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6E259D6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Разрешение за присъединяване към мрежата за централи за енергия от възобновяеми източници</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34154E9E" w14:textId="7F09A77D"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Общ разрешен капацитет за производство на енергия от възобновяеми източници</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3075CC2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MW</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3225DC52" w14:textId="747AE98F"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8</w:t>
            </w:r>
            <w:r w:rsidRPr="00782BF9">
              <w:rPr>
                <w:noProof/>
                <w:color w:val="006100"/>
                <w:lang w:val="bg-BG"/>
              </w:rPr>
              <w:t xml:space="preserve"> </w:t>
            </w:r>
            <w:r w:rsidRPr="00782BF9">
              <w:rPr>
                <w:noProof/>
                <w:lang w:val="bg-BG"/>
              </w:rPr>
              <w:t>000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181FBB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10 000 </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22A1C79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3371A85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2026</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2A54FBC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Разрешение за присъединяване към мрежата, изпълнимо от датата на предоставяне, се издава от ОРС или ОПС на зависими от метеорологичните условия централи за възобновяема енергия — слънчева и вятърна енергия, с обща мощност от най-малко 10 000 MW. Целта обхваща всички категории такива електроцентрали (малки и големи електроцентрали), включително централи за енергия от възобновяеми източници, които са обхванати само от процедура за регистрация и са регистрирани.</w:t>
            </w:r>
          </w:p>
        </w:tc>
      </w:tr>
      <w:tr w:rsidR="00DC4301" w:rsidRPr="00782BF9" w14:paraId="232D0828"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CFD0C75" w14:textId="71F4C674" w:rsidR="00CE3BAD" w:rsidRPr="00782BF9" w:rsidRDefault="006B5475">
            <w:pPr>
              <w:pStyle w:val="P68B1DB1-Normal10"/>
              <w:jc w:val="center"/>
              <w:rPr>
                <w:rFonts w:eastAsia="Calibri"/>
                <w:b w:val="0"/>
                <w:noProof/>
                <w:lang w:val="bg-BG"/>
              </w:rPr>
            </w:pPr>
            <w:r w:rsidRPr="00782BF9">
              <w:rPr>
                <w:noProof/>
                <w:lang w:val="bg-BG"/>
              </w:rPr>
              <w:t>112</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754EB5E1" w14:textId="69AB3831"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C6.R5 Засилване на изискванията за енергийна ефективност</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67A4771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2B78AA9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Засилване на изискванията за енергийна ефективност на схемите за подпомагане на санирането на сгради</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4F35D79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Влизане в сила на законодателството</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5F9BDF05"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79C79AA1"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9840E31"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A2169C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Т1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4EE4F55A"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40A55EA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Влизане в сила на законодателство за установяване на минимални стандарти за енергийна ефективност за схемите за публично подпомагане на санирането на сгради, финансирани от ЕС. В законодателството се предвижда поне, че за (съ) схемите за подпомагане на санирането, финансирани със средства на ЕС, трябва да се постигне поне 30 % намаление на потреблението на енергия в жилищни, корпоративни и обществени сгради. Тази цел ще бъде отразена в поканите за представяне на проекти (с изключение на вече публикуваните програми за сгради на местното самоуправление).  </w:t>
            </w:r>
          </w:p>
        </w:tc>
      </w:tr>
      <w:tr w:rsidR="00DC4301" w:rsidRPr="00782BF9" w14:paraId="0AB968DE"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B3F929D" w14:textId="40734C36" w:rsidR="00CE3BAD" w:rsidRPr="00782BF9" w:rsidRDefault="006B5475">
            <w:pPr>
              <w:pStyle w:val="P68B1DB1-Normal10"/>
              <w:jc w:val="center"/>
              <w:rPr>
                <w:rFonts w:eastAsia="Calibri"/>
                <w:b w:val="0"/>
                <w:noProof/>
                <w:lang w:val="bg-BG"/>
              </w:rPr>
            </w:pPr>
            <w:r w:rsidRPr="00782BF9">
              <w:rPr>
                <w:noProof/>
                <w:lang w:val="bg-BG"/>
              </w:rPr>
              <w:t>113</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1107BC8B" w14:textId="2A30A7AD"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C6.I1 Развитие на класическите и интелигентните мрежи на операторите на преносни системи и операторите на</w:t>
            </w:r>
            <w:r w:rsidRPr="00782BF9">
              <w:rPr>
                <w:rFonts w:ascii="Times New Roman" w:hAnsi="Times New Roman"/>
                <w:b/>
                <w:noProof/>
                <w:lang w:val="bg-BG"/>
              </w:rPr>
              <w:t xml:space="preserve"> </w:t>
            </w:r>
            <w:r w:rsidRPr="00782BF9">
              <w:rPr>
                <w:noProof/>
                <w:lang w:val="bg-BG"/>
              </w:rPr>
              <w:t xml:space="preserve">разпределителни системи  </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70D8D099"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48C76EF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Подписване на споразумения за отпускане на безвъзмездна финансова помощ с всички упълномощени лица относно условията за изпълнение и подпомагане на развитието на преносните и разпределителните мрежи </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25F8336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Подписани споразумения за отпускане на безвъзмездни средства </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3DD7AE3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16431A4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27539BF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4D921BF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948453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2022</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64938746" w14:textId="2A5F10FB"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Сключване на всички договори за предоставяне на безвъзмездна финансова помощ относно условията за изпълнение и подпомагане на инвестицията между организациите, участващи в инвестицията (оторизирания оператор на преносна система и операторите на разпределителни системи) и управляващия орган (Кабинета на министър-председателя). Споразуменията за отпускане на безвъзмездни средства, сключени с оператора на преносната система и всички участващи оператори на разпределителни системи, водят до създаване на възможност за интегриране в електроенергийната мрежа чрез тази инвестиция на добавен капацитет от 2</w:t>
            </w:r>
            <w:r w:rsidRPr="00782BF9">
              <w:rPr>
                <w:noProof/>
                <w:color w:val="006100"/>
                <w:lang w:val="bg-BG"/>
              </w:rPr>
              <w:t xml:space="preserve"> </w:t>
            </w:r>
            <w:r w:rsidRPr="00782BF9">
              <w:rPr>
                <w:noProof/>
                <w:lang w:val="bg-BG"/>
              </w:rPr>
              <w:t>925 MW електроенергия, произведена от възобновяеми източници. В споразумението за отпускане на безвъзмездни средства се описват планираните инвестиции, които включват свързаните с развитието елементи, като изграждане и модернизиране на мрежата с високо/средно/ниско напрежение; нови инсталации на подстанции; подмяна и разширяване на трансформатора на подстанцията; конструкции и подмяна на органи за управление; и развитието на цифровизацията.</w:t>
            </w:r>
          </w:p>
        </w:tc>
      </w:tr>
      <w:tr w:rsidR="00DC4301" w:rsidRPr="00782BF9" w14:paraId="795B0A18"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E006DCD" w14:textId="1B348FAD" w:rsidR="00CE3BAD" w:rsidRPr="00782BF9" w:rsidRDefault="006B5475">
            <w:pPr>
              <w:pStyle w:val="P68B1DB1-Normal10"/>
              <w:jc w:val="center"/>
              <w:rPr>
                <w:rFonts w:eastAsia="Calibri"/>
                <w:b w:val="0"/>
                <w:noProof/>
                <w:lang w:val="bg-BG"/>
              </w:rPr>
            </w:pPr>
            <w:r w:rsidRPr="00782BF9">
              <w:rPr>
                <w:noProof/>
                <w:lang w:val="bg-BG"/>
              </w:rPr>
              <w:t>114</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319F0C6E" w14:textId="0C6DD54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C6.I1 Развитие на класическите и интелигентните мрежи на операторите на преносни системи и операторите на</w:t>
            </w:r>
            <w:r w:rsidRPr="00782BF9">
              <w:rPr>
                <w:rFonts w:ascii="Times New Roman" w:hAnsi="Times New Roman"/>
                <w:b/>
                <w:noProof/>
                <w:lang w:val="bg-BG"/>
              </w:rPr>
              <w:t xml:space="preserve"> </w:t>
            </w:r>
            <w:r w:rsidRPr="00782BF9">
              <w:rPr>
                <w:noProof/>
                <w:lang w:val="bg-BG"/>
              </w:rPr>
              <w:t xml:space="preserve">разпределителни системи </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3DACA0C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22A1548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22339AA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30C0BE9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MW</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6D5BF94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C77C80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119</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1A41924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Т3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095909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64DA1401" w14:textId="1F099CF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Повишена способност на електроенергийната мрежа да интегрира допълнителен капацитет на електроцентралата, използваща възобновяеми енергийни източници, чрез действия по тази инвестиция, които са в допълнение към тези, които ще бъдат финансирани от безвъзмездната подкрепа по C10.I1c (безвъзмездни средства) в раздел J.1. и от заемите по C10.I1c (заеми) в раздел Й.3.</w:t>
            </w:r>
          </w:p>
          <w:p w14:paraId="1D3E47F3" w14:textId="5BA5EB4B"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Унгарският регулаторен орган за енергетиката и обществените нужди го проверява и представя доклад за валидиране, като използва методика, в която се разработват необходимите действия по мрежата, финансирани по плана за възстановяване и устойчивост, за да се интегрира енергията, произведена чрез допълнителен капацитет за производство на енергия от възобновяеми източници.</w:t>
            </w:r>
          </w:p>
        </w:tc>
      </w:tr>
      <w:tr w:rsidR="00DC4301" w:rsidRPr="00782BF9" w14:paraId="2BB0D15E"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477F179B" w14:textId="72A96092" w:rsidR="00CE3BAD" w:rsidRPr="00782BF9" w:rsidRDefault="006B5475">
            <w:pPr>
              <w:pStyle w:val="P68B1DB1-Normal10"/>
              <w:jc w:val="center"/>
              <w:rPr>
                <w:rFonts w:eastAsia="Calibri"/>
                <w:b w:val="0"/>
                <w:noProof/>
                <w:lang w:val="bg-BG"/>
              </w:rPr>
            </w:pPr>
            <w:r w:rsidRPr="00782BF9">
              <w:rPr>
                <w:noProof/>
                <w:lang w:val="bg-BG"/>
              </w:rPr>
              <w:t>115</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5970DAD4" w14:textId="049A2F85"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C6.I1 Развитие на класическите и интелигентните мрежи на операторите на преносни системи и операторите на</w:t>
            </w:r>
            <w:r w:rsidRPr="00782BF9">
              <w:rPr>
                <w:rFonts w:ascii="Times New Roman" w:hAnsi="Times New Roman"/>
                <w:b/>
                <w:noProof/>
                <w:lang w:val="bg-BG"/>
              </w:rPr>
              <w:t xml:space="preserve"> </w:t>
            </w:r>
            <w:r w:rsidRPr="00782BF9">
              <w:rPr>
                <w:noProof/>
                <w:lang w:val="bg-BG"/>
              </w:rPr>
              <w:t xml:space="preserve">разпределителни системи </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5987D97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4BAEC45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0AAFC94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14C86F3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MW</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685EADE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119</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34331F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772</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13E1AF6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Т3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5412928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2024</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678C20E7" w14:textId="4E6C57E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Повишена способност на електроенергийната мрежа да интегрира допълнителен капацитет на електроцентралата, използваща възобновяеми енергийни източници, чрез действия по тази инвестиция, които са в допълнение към тези, които ще бъдат финансирани от безвъзмездната подкрепа по C10.I1c (безвъзмездни средства) в раздел J.1. и от заемите по C10.I1c (заеми) в раздел Й.3.</w:t>
            </w:r>
          </w:p>
          <w:p w14:paraId="05D73249"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Унгарският регулаторен орган за енергетиката и обществените нужди го проверява и представя доклад за валидиране, като използва методика, в която се разработват необходимите действия по мрежата, финансирани по плана за възстановяване и устойчивост, за да се интегрира енергията, произведена чрез допълнителен капацитет за производство на енергия от възобновяеми източници.</w:t>
            </w:r>
          </w:p>
        </w:tc>
      </w:tr>
      <w:tr w:rsidR="00DC4301" w:rsidRPr="00782BF9" w14:paraId="19EA5577"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311E9015" w14:textId="41145A67" w:rsidR="00CE3BAD" w:rsidRPr="00782BF9" w:rsidRDefault="006B5475">
            <w:pPr>
              <w:pStyle w:val="P68B1DB1-Normal10"/>
              <w:jc w:val="center"/>
              <w:rPr>
                <w:rFonts w:eastAsia="Calibri"/>
                <w:b w:val="0"/>
                <w:noProof/>
                <w:lang w:val="bg-BG"/>
              </w:rPr>
            </w:pPr>
            <w:r w:rsidRPr="00782BF9">
              <w:rPr>
                <w:noProof/>
                <w:lang w:val="bg-BG"/>
              </w:rPr>
              <w:t>116</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3A5D2A2B" w14:textId="661E636B"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C6.I1 Развитие на класическите и интелигентните мрежи на операторите на преносни системи и операторите на</w:t>
            </w:r>
            <w:r w:rsidRPr="00782BF9">
              <w:rPr>
                <w:rFonts w:ascii="Times New Roman" w:hAnsi="Times New Roman"/>
                <w:b/>
                <w:noProof/>
                <w:lang w:val="bg-BG"/>
              </w:rPr>
              <w:t xml:space="preserve"> </w:t>
            </w:r>
            <w:r w:rsidRPr="00782BF9">
              <w:rPr>
                <w:noProof/>
                <w:lang w:val="bg-BG"/>
              </w:rPr>
              <w:t>разпределителни системи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232792B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4033F07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Допълнително 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239DB0D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73971D1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MW</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074429D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772</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D06DEC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1749</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B9D237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Т3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665E499"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2025</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781EE340" w14:textId="1814B2D1" w:rsidR="00CE3BAD" w:rsidRPr="00782BF9" w:rsidRDefault="006B5475">
            <w:pPr>
              <w:pStyle w:val="P68B1DB1-Normal10"/>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Повишена способност на електроенергийната мрежа да интегрира допълнителен капацитет на електроцентралата, използваща възобновяеми енергийни източници, чрез действия по тази инвестиция, които са в допълнение към тези, които ще бъдат финансирани от безвъзмездната подкрепа по C10.I1c (безвъзмездни средства) в раздел J.1. и от заемите по C10.I1c (заеми) в раздел Й.3. </w:t>
            </w:r>
          </w:p>
          <w:p w14:paraId="0DFF71C4" w14:textId="540116D8"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p w14:paraId="1BBC17D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Унгарският регулаторен орган за енергетиката и обществените нужди го проверява и представя доклад за валидиране, като използва методика, в която се разработват необходимите действия по мрежата, финансирани по плана за възстановяване и устойчивост, за да се интегрира енергията, произведена чрез допълнителен капацитет за производство на енергия от възобновяеми източници.</w:t>
            </w:r>
          </w:p>
        </w:tc>
      </w:tr>
      <w:tr w:rsidR="00DC4301" w:rsidRPr="00782BF9" w14:paraId="797983CB"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0C8EB2B7" w14:textId="03DC763C" w:rsidR="00CE3BAD" w:rsidRPr="00782BF9" w:rsidRDefault="006B5475">
            <w:pPr>
              <w:pStyle w:val="P68B1DB1-Normal10"/>
              <w:jc w:val="center"/>
              <w:rPr>
                <w:rFonts w:eastAsia="Calibri"/>
                <w:b w:val="0"/>
                <w:noProof/>
                <w:lang w:val="bg-BG"/>
              </w:rPr>
            </w:pPr>
            <w:r w:rsidRPr="00782BF9">
              <w:rPr>
                <w:noProof/>
                <w:lang w:val="bg-BG"/>
              </w:rPr>
              <w:t>117</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43B6E4B5" w14:textId="38530C2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C6.I1 Развитие на класическите и интелигентните мрежи на операторите на преносни системи и операторите на</w:t>
            </w:r>
            <w:r w:rsidRPr="00782BF9">
              <w:rPr>
                <w:rFonts w:ascii="Times New Roman" w:hAnsi="Times New Roman"/>
                <w:b/>
                <w:noProof/>
                <w:lang w:val="bg-BG"/>
              </w:rPr>
              <w:t xml:space="preserve"> </w:t>
            </w:r>
            <w:r w:rsidRPr="00782BF9">
              <w:rPr>
                <w:noProof/>
                <w:lang w:val="bg-BG"/>
              </w:rPr>
              <w:t>разпределителни системи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5A70D80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Целеви </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361B9FEA"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Допълнително 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5CD2B00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19B78BC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MW</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3179401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1 749</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39C3EB9" w14:textId="1A479828"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3 609</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C1EF18E"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A25D72F"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2026</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18BD16FE" w14:textId="1C1B34BE"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Повишена способност на електроенергийната мрежа да интегрира допълнителна мощност на електроцентралата с обща мощност от 3 609 MW, използваща възобновяеми енергийни източници, чрез действия по тази инвестиция, която е в допълнение към финансираните от безвъзмездната подкрепа по C10.I1c (безвъзмездни средства) в раздел J.1. и от заемите по C10.I1c (заеми) в раздел Й.3.</w:t>
            </w:r>
          </w:p>
          <w:p w14:paraId="2927DDED"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Унгарският регулаторен орган за енергетиката и обществените нужди го проверява и представя доклад за валидиране, като използва методика, в която се разработват необходимите действия по мрежата, финансирани по плана за възстановяване и устойчивост, за да се интегрира енергията, произведена чрез допълнителен капацитет за производство на енергия от възобновяеми източници.</w:t>
            </w:r>
          </w:p>
        </w:tc>
      </w:tr>
      <w:tr w:rsidR="00DC4301" w:rsidRPr="00782BF9" w14:paraId="6ED2C606"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2D1BE9D0" w14:textId="5B8ABA6F" w:rsidR="00CE3BAD" w:rsidRPr="00782BF9" w:rsidRDefault="006B5475">
            <w:pPr>
              <w:pStyle w:val="P68B1DB1-Normal10"/>
              <w:jc w:val="center"/>
              <w:rPr>
                <w:rFonts w:eastAsia="Calibri"/>
                <w:b w:val="0"/>
                <w:noProof/>
                <w:lang w:val="bg-BG"/>
              </w:rPr>
            </w:pPr>
            <w:r w:rsidRPr="00782BF9">
              <w:rPr>
                <w:noProof/>
                <w:lang w:val="bg-BG"/>
              </w:rPr>
              <w:t>118</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3CA7D0AA" w14:textId="4406813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C6.I2 Подкрепа за използване на слънчеви панели за жилищни сгради и модернизация на отоплението</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0CFCEF1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5E6C027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Отправяне на покана за представяне на предложения за проекти, свързани с използването на слънчеви панели за жилищни сгради и модернизирането на отоплението</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70A77E46" w14:textId="2F2419B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Публикуване на поканата за представяне на предложения на официалния уебсайт на правителството за покани за представяне на предложения, включително условията за допустимост и обхвата на дейностите, които ще бъдат подпомагани</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64A4249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081D652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ABDE23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119BD3B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Т3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215B96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2021</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36762E16" w14:textId="3533E4BB"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Въз основа на поканата за представяне на предложения могат да бъдат подкрепени два вида дейности: I) само инсталиране на система от слънчеви панели на покривни конструкции за собствено потребление или ii) освен монтирането на система от слънчеви панели на покривни конструкции, също и подмяна на прозорци, инсталиране на съоръжения за съхранение и електрическа отоплителна система. Критериите за допустимост включват: и) техническата пригодност на сградата да поеме планираната инвестиция (като например състоянието на покрива и електроенергийната мрежа, инсталирана в сградата) и ii) равнището на доходите на получателя. Равнището на доходите на получателя се определя въз основа на една от следните две възможности: лица с доход под националната средна заплата или домакинства със среден доход на глава от населението под средния за страната, като и двете са установени въз основа на статистически данни от Централната статистическа служба на Унгария.</w:t>
            </w:r>
          </w:p>
        </w:tc>
      </w:tr>
      <w:tr w:rsidR="00DC4301" w:rsidRPr="00782BF9" w14:paraId="7040FE7A"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760CA09" w14:textId="3228FC05" w:rsidR="00CE3BAD" w:rsidRPr="00782BF9" w:rsidRDefault="006B5475">
            <w:pPr>
              <w:pStyle w:val="P68B1DB1-Normal10"/>
              <w:jc w:val="center"/>
              <w:rPr>
                <w:rFonts w:eastAsia="Calibri"/>
                <w:b w:val="0"/>
                <w:noProof/>
                <w:lang w:val="bg-BG"/>
              </w:rPr>
            </w:pPr>
            <w:r w:rsidRPr="00782BF9">
              <w:rPr>
                <w:noProof/>
                <w:lang w:val="bg-BG"/>
              </w:rPr>
              <w:t>119</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58900A01" w14:textId="2EC7CB5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C6.I2 Подкрепа за използване на слънчеви панели за жилищни сгради и модернизация на отоплението</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28DCA3A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Целеви </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337E141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Брой на домакинствата, оборудвани със слънчеви панели или със слънчеви панели, акумулираща единица, електрическа отоплителна система и подмяна на прозорци (общо, брой на домакинствата)</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06D627A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60BAFA7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Брой </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0027A32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BAB465F" w14:textId="0B0BD144"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lang w:val="bg-BG"/>
              </w:rPr>
            </w:pPr>
            <w:r w:rsidRPr="00782BF9">
              <w:rPr>
                <w:rFonts w:ascii="Calibri" w:hAnsi="Calibri"/>
                <w:noProof/>
                <w:lang w:val="bg-BG"/>
              </w:rPr>
              <w:t>12</w:t>
            </w:r>
            <w:r w:rsidRPr="00782BF9">
              <w:rPr>
                <w:noProof/>
                <w:color w:val="006100"/>
                <w:lang w:val="bg-BG"/>
              </w:rPr>
              <w:t xml:space="preserve"> </w:t>
            </w:r>
            <w:r w:rsidRPr="00782BF9">
              <w:rPr>
                <w:rFonts w:ascii="Calibri" w:hAnsi="Calibri"/>
                <w:noProof/>
                <w:lang w:val="bg-BG"/>
              </w:rPr>
              <w:t>234</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44B76243"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Т3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4A416B9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2024</w:t>
            </w:r>
          </w:p>
        </w:tc>
        <w:tc>
          <w:tcPr>
            <w:tcW w:w="5159" w:type="dxa"/>
            <w:tcBorders>
              <w:top w:val="single" w:sz="4" w:space="0" w:color="auto"/>
              <w:left w:val="single" w:sz="4" w:space="0" w:color="auto"/>
              <w:bottom w:val="single" w:sz="4" w:space="0" w:color="auto"/>
              <w:right w:val="single" w:sz="4" w:space="0" w:color="auto"/>
            </w:tcBorders>
            <w:shd w:val="clear" w:color="auto" w:fill="C6EFCE"/>
            <w:vAlign w:val="center"/>
          </w:tcPr>
          <w:p w14:paraId="4AC94071"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Брой домакинства с инсталирани битови слънчеви панели или оборудвани със слънчеви панели, електрически отоплителни системи, подмяна на прозорци и съоръжения за съхранение в резултат на инвестицията.</w:t>
            </w:r>
          </w:p>
          <w:p w14:paraId="25BA1EE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Система със слънчеви панели със средна мощност 4—5 kW, съоръжение за съхранение до 14 kWh, електрическа отоплителна система с мощност 5—12 kW, подмяна на прозорци въз основа на стандарти съгласно приложимите конструктивни изисквания.</w:t>
            </w:r>
          </w:p>
        </w:tc>
      </w:tr>
      <w:tr w:rsidR="00DC4301" w:rsidRPr="00782BF9" w14:paraId="7F9815D2" w14:textId="77777777" w:rsidTr="00CE3BAD">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7130AE45" w14:textId="5BC0D624" w:rsidR="00CE3BAD" w:rsidRPr="00782BF9" w:rsidRDefault="006B5475">
            <w:pPr>
              <w:pStyle w:val="P68B1DB1-Normal10"/>
              <w:jc w:val="center"/>
              <w:rPr>
                <w:rFonts w:eastAsia="Calibri"/>
                <w:b w:val="0"/>
                <w:noProof/>
                <w:lang w:val="bg-BG"/>
              </w:rPr>
            </w:pPr>
            <w:r w:rsidRPr="00782BF9">
              <w:rPr>
                <w:noProof/>
                <w:lang w:val="bg-BG"/>
              </w:rPr>
              <w:t>120</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3751A3BE" w14:textId="6943C885"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C6.I2 Подкрепа за използване на слънчеви панели за жилищни сгради и модернизация на отоплението</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52038331" w14:textId="5CB7894F"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6BCCE07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Брой на допълнителните домакинства, оборудвани със слънчеви панели или със слънчеви панели, акумулираща единица, електрическа отоплителна система и подмяна на прозорци (общо, брой на домакинствата)</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2DCC242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0B92B2E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Брой</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15E4E749" w14:textId="1F8F1F6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12 234</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9899FEF" w14:textId="2E9F6E90"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w:t>
            </w:r>
            <w:r w:rsidRPr="00782BF9">
              <w:rPr>
                <w:noProof/>
                <w:color w:val="006100"/>
                <w:lang w:val="bg-BG"/>
              </w:rPr>
              <w:t xml:space="preserve"> </w:t>
            </w:r>
            <w:r w:rsidRPr="00782BF9">
              <w:rPr>
                <w:noProof/>
                <w:lang w:val="bg-BG"/>
              </w:rPr>
              <w:t xml:space="preserve">684 </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7FC94114"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Т3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6D29160"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2025</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37200C7B"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Брой домакинства с инсталирани битови слънчеви панели или оборудвани със слънчеви панели, електрически отоплителни системи, подмяна на прозорци и съоръжения за съхранение в резултат на инвестицията.</w:t>
            </w:r>
          </w:p>
          <w:p w14:paraId="638BA725"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Система със слънчеви панели със средна мощност 4—5 kW, съоръжение за съхранение до 14 kWh, електрическа отоплителна система с мощност 5—12 kW, подмяна на прозорци въз основа на стандарти съгласно приложимите конструктивни изисквания.</w:t>
            </w:r>
          </w:p>
        </w:tc>
      </w:tr>
      <w:tr w:rsidR="00DC4301" w:rsidRPr="00782BF9" w14:paraId="0AFCCE7F"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196F872E" w14:textId="35DD6C4A" w:rsidR="00CE3BAD" w:rsidRPr="00782BF9" w:rsidRDefault="006B5475">
            <w:pPr>
              <w:pStyle w:val="P68B1DB1-Normal10"/>
              <w:jc w:val="center"/>
              <w:rPr>
                <w:rFonts w:eastAsia="Calibri"/>
                <w:b w:val="0"/>
                <w:noProof/>
                <w:lang w:val="bg-BG"/>
              </w:rPr>
            </w:pPr>
            <w:r w:rsidRPr="00782BF9">
              <w:rPr>
                <w:noProof/>
                <w:lang w:val="bg-BG"/>
              </w:rPr>
              <w:t>121</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36511951" w14:textId="6AAD65F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C6.I2 Подкрепа за използване на слънчеви панели за жилищни сгради и модернизация на отоплението</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6044FC02"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 xml:space="preserve">Целеви </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5184D2C9"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Брой на допълнителните домакинства, оборудвани със слънчеви панели или със слънчеви панели, акумулираща единица, електрическа отоплителна система и подмяна на прозорци (общо, брой на домакинствата)</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6F973EB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cstheme="minorHAnsi"/>
                <w:noProof/>
                <w:lang w:val="bg-BG"/>
              </w:rPr>
            </w:pPr>
            <w:r w:rsidRPr="00782BF9">
              <w:rPr>
                <w:noProof/>
                <w:lang w:val="bg-BG"/>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184EAAB6" w14:textId="2B380F75"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Брой</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1CF7B7B3" w14:textId="7288B224"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w:t>
            </w:r>
            <w:r w:rsidRPr="00782BF9">
              <w:rPr>
                <w:noProof/>
                <w:color w:val="006100"/>
                <w:lang w:val="bg-BG"/>
              </w:rPr>
              <w:t xml:space="preserve"> </w:t>
            </w:r>
            <w:r w:rsidRPr="00782BF9">
              <w:rPr>
                <w:noProof/>
                <w:lang w:val="bg-BG"/>
              </w:rPr>
              <w:t>684</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64F0E9D" w14:textId="012709A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30</w:t>
            </w:r>
            <w:r w:rsidRPr="00782BF9">
              <w:rPr>
                <w:noProof/>
                <w:color w:val="006100"/>
                <w:lang w:val="bg-BG"/>
              </w:rPr>
              <w:t xml:space="preserve"> </w:t>
            </w:r>
            <w:r w:rsidRPr="00782BF9">
              <w:rPr>
                <w:noProof/>
                <w:lang w:val="bg-BG"/>
              </w:rPr>
              <w:t xml:space="preserve">974 </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01F08CE8"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45A5B0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2026</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1962DE9C"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Брой домакинства с инсталирани битови слънчеви панели или оборудвани със слънчеви панели, електрически отоплителни системи, подмяна на прозорци и съоръжения за съхранение в резултат на инвестицията.</w:t>
            </w:r>
          </w:p>
          <w:p w14:paraId="0102C096"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Система със слънчеви панели със средна мощност 4—5 kW, съоръжение за съхранение до 14 kWh, електрическа отоплителна система с мощност 5—12 kW, подмяна на прозорци въз основа на стандарти съгласно приложимите конструктивни изисквания.</w:t>
            </w:r>
          </w:p>
          <w:p w14:paraId="61A2EE61"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p w14:paraId="429FE40E" w14:textId="13DEAE9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Най-малко 7 385 домакинства от 330-те</w:t>
            </w:r>
            <w:r w:rsidRPr="00782BF9">
              <w:rPr>
                <w:noProof/>
                <w:color w:val="006100"/>
                <w:lang w:val="bg-BG"/>
              </w:rPr>
              <w:t xml:space="preserve"> </w:t>
            </w:r>
            <w:r w:rsidRPr="00782BF9">
              <w:rPr>
                <w:noProof/>
                <w:lang w:val="bg-BG"/>
              </w:rPr>
              <w:t>974 домакинства получават не само слънчеви панели, но и електрически отоплителни системи, подмяна на прозорци и запаметяваща единица.</w:t>
            </w:r>
          </w:p>
        </w:tc>
      </w:tr>
      <w:tr w:rsidR="00DC4301" w:rsidRPr="00782BF9" w14:paraId="1DBC61C1"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7D28A0E5" w14:textId="3C878174" w:rsidR="00CE3BAD" w:rsidRPr="00782BF9" w:rsidRDefault="006B5475">
            <w:pPr>
              <w:pStyle w:val="P68B1DB1-Normal10"/>
              <w:jc w:val="center"/>
              <w:rPr>
                <w:rFonts w:eastAsia="Calibri"/>
                <w:b w:val="0"/>
                <w:noProof/>
                <w:lang w:val="bg-BG"/>
              </w:rPr>
            </w:pPr>
            <w:r w:rsidRPr="00782BF9">
              <w:rPr>
                <w:noProof/>
                <w:lang w:val="bg-BG"/>
              </w:rPr>
              <w:t>126</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1AB176B7" w14:textId="357E1CF4"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C6.I4 Инсталиране на мрежови съоръжения за акумулиране на енергия за участниците на енергийния пазар</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25241855" w14:textId="42298000"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4D20652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Обявяване на поканата за представяне на предложения за условията за изпълнение и подпомагане на съоръженията за съхранение, които ще бъдат инсталирани за участниците на пазара</w:t>
            </w:r>
          </w:p>
          <w:p w14:paraId="74C64426" w14:textId="6ED56B3F"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 xml:space="preserve"> </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75316CBF" w14:textId="0C80472D"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Публикуване на поканата за представяне на предложения на официалния уебсайт на правителството за покани за представяне на предложения</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0425E0D7"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3C2F388D"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A9945A5" w14:textId="77777777" w:rsidR="00CE3BAD" w:rsidRPr="00782BF9" w:rsidRDefault="00CE3BA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511D5A2" w14:textId="3037436B"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Т4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83D8A14" w14:textId="17419D5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61BC7BEB" w14:textId="77777777" w:rsidR="00CE3BAD" w:rsidRPr="00782BF9" w:rsidRDefault="006B5475">
            <w:pPr>
              <w:pStyle w:val="P68B1DB1-Normal1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Отправя се покана за представяне на предложения за условията за изпълнение и подпомагане на съоръженията за съхранение, които ще бъдат инсталирани за участниците на пазара. В поканата за представяне на предложения се описват основните принципи за инсталирането на съоръжения за краткосрочно акумулиране на енергия от участниците на пазара, включително технологичната неутралност по отношение на съоръженията за съхранение, техническите изисквания за балансиране, определени от оператора на преносната система, както и изискването от получателите да въведат на балансиращия пазар целия или част от капацитета, произтичащ от субсидираното съоръжение за съхранение на електроенергия.</w:t>
            </w:r>
          </w:p>
          <w:p w14:paraId="6BE7267C" w14:textId="16EAD591"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 xml:space="preserve">В процеса на подбор предложенията за проекти, които ще се изпълняват с различни технологии, се оценяват и подбират въз основа на анализ на разходите и ползите, като по този начин се гарантира технологично неутрален процес на подбор с акцент върху разходната ефективност. </w:t>
            </w:r>
          </w:p>
        </w:tc>
      </w:tr>
      <w:tr w:rsidR="00DC4301" w:rsidRPr="00782BF9" w14:paraId="317CCED6"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74F9C5B6" w14:textId="4A0FE46E" w:rsidR="00CE3BAD" w:rsidRPr="00782BF9" w:rsidRDefault="006B5475">
            <w:pPr>
              <w:pStyle w:val="P68B1DB1-Normal10"/>
              <w:jc w:val="center"/>
              <w:rPr>
                <w:rFonts w:eastAsia="Calibri"/>
                <w:b w:val="0"/>
                <w:noProof/>
                <w:lang w:val="bg-BG"/>
              </w:rPr>
            </w:pPr>
            <w:r w:rsidRPr="00782BF9">
              <w:rPr>
                <w:noProof/>
                <w:lang w:val="bg-BG"/>
              </w:rPr>
              <w:t>127</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2D22C7EC" w14:textId="5EBB381C"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C6.I4 Инсталиране на мрежови съоръжения за акумулиране на енергия за участниците на енергийния пазар</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2A5C8114" w14:textId="4F647671"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39D095A9" w14:textId="5C20B8F2"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Сключване на всички споразумения за предоставяне на безвъзмездна финансова помощ относно условията за изпълнение и подпомагане на съоръженията за съхранение, които ще бъдат инсталирани за участниците на пазара</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120A537B" w14:textId="6E640B54"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Подписани споразумения за отпускане на безвъзмездни средства</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31315C6B"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4DB33A54"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FD190F7" w14:textId="77777777" w:rsidR="00CE3BAD" w:rsidRPr="00782BF9" w:rsidRDefault="00CE3BA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5B33583" w14:textId="0F13998B"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5718BE14" w14:textId="4B3DD691"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2024</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6B40D6C9" w14:textId="6612CA81"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Споразуменията за отпускане на безвъзмездни средства се подписват за всички проекти, избрани в рамките на поканата за представяне на предложения, посочена в етап 126. Споразуменията за отпускане на безвъзмездни средства гарантират, че от получателите се изисква да въведат на балансиращия пазар целия или част от капацитета, произтичащ от субсидираното съоръжение за съхранение на електроенергия.</w:t>
            </w:r>
          </w:p>
        </w:tc>
      </w:tr>
      <w:tr w:rsidR="00DC4301" w:rsidRPr="00782BF9" w14:paraId="2B81BAC4"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33B8D4C3" w14:textId="773F7004" w:rsidR="00CE3BAD" w:rsidRPr="00782BF9" w:rsidRDefault="006B5475">
            <w:pPr>
              <w:pStyle w:val="P68B1DB1-Normal10"/>
              <w:jc w:val="center"/>
              <w:rPr>
                <w:rFonts w:eastAsia="Calibri"/>
                <w:b w:val="0"/>
                <w:noProof/>
                <w:lang w:val="bg-BG"/>
              </w:rPr>
            </w:pPr>
            <w:r w:rsidRPr="00782BF9">
              <w:rPr>
                <w:noProof/>
                <w:lang w:val="bg-BG"/>
              </w:rPr>
              <w:t>129</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54C6F8EE" w14:textId="57B93CB1"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C6.I4 Инсталиране на мрежови съоръжения за акумулиране на енергия за участниците на енергийния пазар</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7048B639" w14:textId="785A3A3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30839AE6" w14:textId="38789A70"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Капацитет на новоинсталираните съоръжения за акумулиране на енергия</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43DA3C80" w14:textId="05C98CBD"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264FD743" w14:textId="2028DE2B"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MWh</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6001FA3B" w14:textId="1E5D48DA"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6E9A1EB" w14:textId="7BC0944E"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885</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0BF59136" w14:textId="26066E9F"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6D07A1D" w14:textId="5FCE8E05"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2026 </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66E99EE6" w14:textId="3D54BA5A"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 xml:space="preserve">Новоинсталиран капацитет за съхранение на електроенергия за участници на пазара с ефективен капацитет, измерен в MWh. </w:t>
            </w:r>
          </w:p>
        </w:tc>
      </w:tr>
      <w:tr w:rsidR="00DC4301" w:rsidRPr="00782BF9" w14:paraId="5C150C45"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3F5E5267" w14:textId="767DF139" w:rsidR="00CE3BAD" w:rsidRPr="00782BF9" w:rsidRDefault="006B5475">
            <w:pPr>
              <w:pStyle w:val="P68B1DB1-Normal10"/>
              <w:jc w:val="center"/>
              <w:rPr>
                <w:rFonts w:eastAsia="Calibri"/>
                <w:b w:val="0"/>
                <w:noProof/>
                <w:lang w:val="bg-BG"/>
              </w:rPr>
            </w:pPr>
            <w:r w:rsidRPr="00782BF9">
              <w:rPr>
                <w:noProof/>
                <w:lang w:val="bg-BG"/>
              </w:rPr>
              <w:t>130</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208C22B2" w14:textId="589C1270"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C6.I5 Разпространяване на интелигентни измервателни уреди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3B1BD903" w14:textId="767C40E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36611378" w14:textId="17D2E58A"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 xml:space="preserve">Отправяне на покана за представяне на предложения за приоритетни проекти, насочени към ОРС, за закупуване и инсталиране на интелигентни измервателни уреди  </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4534B218" w14:textId="10BCB04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Публикуване на поканата за приоритетни проекти на официалния уебсайт на правителството за покани за представяне на предложения</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11A111D9"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6B365E1D"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FC565CA" w14:textId="77777777" w:rsidR="00CE3BAD" w:rsidRPr="00782BF9" w:rsidRDefault="00CE3BA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72DEB58B" w14:textId="31C38922"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Т4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4E79A6B" w14:textId="3570A210"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2022</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3D0608F1" w14:textId="77777777" w:rsidR="00CE3BAD" w:rsidRPr="00782BF9" w:rsidRDefault="006B5475">
            <w:pPr>
              <w:pStyle w:val="P68B1DB1-Normal10"/>
              <w:spacing w:after="12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Отправя се покана за приоритетни проекти, насочени към операторите на</w:t>
            </w:r>
            <w:r w:rsidRPr="00782BF9">
              <w:rPr>
                <w:rFonts w:ascii="Times New Roman" w:hAnsi="Times New Roman"/>
                <w:b/>
                <w:noProof/>
                <w:lang w:val="bg-BG"/>
              </w:rPr>
              <w:t xml:space="preserve"> </w:t>
            </w:r>
            <w:r w:rsidRPr="00782BF9">
              <w:rPr>
                <w:noProof/>
                <w:lang w:val="bg-BG"/>
              </w:rPr>
              <w:t xml:space="preserve">разпределителни системи, за закупуване и инсталиране на интелигентни измервателни уреди и за подкрепа. В поканата се описват техническите изисквания за инсталирането на интелигентни измервателни уреди. </w:t>
            </w:r>
          </w:p>
          <w:p w14:paraId="241BDDB4" w14:textId="2B91EA2E"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Операторите на разпределителни системи получават субсидията пропорционално на броя физически обекти, необходими за инсталирането на интелигентни измервателни уреди в географските райони, в които работят.</w:t>
            </w:r>
          </w:p>
        </w:tc>
      </w:tr>
      <w:tr w:rsidR="00DC4301" w:rsidRPr="00782BF9" w14:paraId="29D123C5"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5DCE811" w14:textId="17D1BE61" w:rsidR="00CE3BAD" w:rsidRPr="00782BF9" w:rsidRDefault="006B5475">
            <w:pPr>
              <w:pStyle w:val="P68B1DB1-Normal10"/>
              <w:jc w:val="center"/>
              <w:rPr>
                <w:rFonts w:eastAsia="Calibri"/>
                <w:b w:val="0"/>
                <w:noProof/>
                <w:lang w:val="bg-BG"/>
              </w:rPr>
            </w:pPr>
            <w:r w:rsidRPr="00782BF9">
              <w:rPr>
                <w:noProof/>
                <w:lang w:val="bg-BG"/>
              </w:rPr>
              <w:t>131</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16BFCA91" w14:textId="648156A5"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C6.I5 Разпространяване на интелигентни измервателни уреди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56CAE6DB" w14:textId="50E5D5C0"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410732A8" w14:textId="1C46107A"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 xml:space="preserve">Сключване на всички договори за отпускане на безвъзмездна финансова помощ за закупуване и инсталиране на интелигентни измервателни уреди </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4C2F1B5E" w14:textId="46F2D71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Подписани споразумения за отпускане на безвъзмездни средства</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4639B1CD"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2E66D858"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A867DC3" w14:textId="77777777" w:rsidR="00CE3BAD" w:rsidRPr="00782BF9" w:rsidRDefault="00CE3BA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4937ADB" w14:textId="6D332F40"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38DCF54E" w14:textId="5FA8A18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0FBB91B2" w14:textId="6349E533"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Споразуменията за отпускане на безвъзмездни средства се подписват за всички проекти, избрани в рамките на поканата за представяне на предложения, посочена в етап 130.</w:t>
            </w:r>
          </w:p>
        </w:tc>
      </w:tr>
      <w:tr w:rsidR="00DC4301" w:rsidRPr="00782BF9" w14:paraId="1742B7FA"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1D8740B6" w14:textId="24EACCF7" w:rsidR="00CE3BAD" w:rsidRPr="00782BF9" w:rsidRDefault="006B5475">
            <w:pPr>
              <w:pStyle w:val="P68B1DB1-Normal10"/>
              <w:jc w:val="center"/>
              <w:rPr>
                <w:rFonts w:eastAsia="Calibri"/>
                <w:b w:val="0"/>
                <w:noProof/>
                <w:lang w:val="bg-BG"/>
              </w:rPr>
            </w:pPr>
            <w:r w:rsidRPr="00782BF9">
              <w:rPr>
                <w:noProof/>
                <w:lang w:val="bg-BG"/>
              </w:rPr>
              <w:t>132</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68CA449B" w14:textId="5EC5E7BC"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C6.I5 Разпространяване на интелигентни измервателни уреди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32B6DAE1" w14:textId="6958067D"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2BF7CB26" w14:textId="70FDD887"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Новоинсталирани интелигентни измервателни уреди</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5C392960"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17F52709" w14:textId="55689B31"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Брой на интелигентните електромери</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32E751F9" w14:textId="2916933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F407ECB" w14:textId="7CF5F1AF"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213</w:t>
            </w:r>
            <w:r w:rsidRPr="00782BF9">
              <w:rPr>
                <w:noProof/>
                <w:color w:val="006100"/>
                <w:lang w:val="bg-BG"/>
              </w:rPr>
              <w:t xml:space="preserve"> </w:t>
            </w:r>
            <w:r w:rsidRPr="00782BF9">
              <w:rPr>
                <w:noProof/>
                <w:lang w:val="bg-BG"/>
              </w:rPr>
              <w:t>297</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184D1A93" w14:textId="380B3686"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Т3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101315F" w14:textId="2137911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2024</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05CFFDA8" w14:textId="122B41DE"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 xml:space="preserve">Ново инсталиране на еднофазни или трифазни електромери с устройство за пряка връзка и комуникация, които са в допълнение към тези, които ще бъдат финансирани от безвъзмездната подкрепа по C10.I1d (безвъзмездни средства) в раздел J.1. и C10.I1d (заеми) в раздел Й.3. </w:t>
            </w:r>
          </w:p>
        </w:tc>
      </w:tr>
      <w:tr w:rsidR="00DC4301" w:rsidRPr="00782BF9" w14:paraId="0B5892C7"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4AFA1785" w14:textId="24324DA2" w:rsidR="00CE3BAD" w:rsidRPr="00782BF9" w:rsidRDefault="006B5475">
            <w:pPr>
              <w:pStyle w:val="P68B1DB1-Normal10"/>
              <w:jc w:val="center"/>
              <w:rPr>
                <w:rFonts w:eastAsia="Calibri"/>
                <w:b w:val="0"/>
                <w:noProof/>
                <w:lang w:val="bg-BG"/>
              </w:rPr>
            </w:pPr>
            <w:r w:rsidRPr="00782BF9">
              <w:rPr>
                <w:noProof/>
                <w:lang w:val="bg-BG"/>
              </w:rPr>
              <w:t>133</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776527B9" w14:textId="38D8FEB8"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C6.I5 Разпространяване на интелигентни измервателни уреди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7EB1DF50" w14:textId="77B09B8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08D0EAB0" w14:textId="4D4B7D35"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Допълнителни новоинсталирани интелигентни измервателни уреди (кумулативно)</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51C827B2"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06A7B5A1" w14:textId="640F3B22"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Брой на интелигентните електромери</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6AEF8C6B" w14:textId="499715A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213</w:t>
            </w:r>
            <w:r w:rsidRPr="00782BF9">
              <w:rPr>
                <w:noProof/>
                <w:color w:val="006100"/>
                <w:lang w:val="bg-BG"/>
              </w:rPr>
              <w:t xml:space="preserve"> </w:t>
            </w:r>
            <w:r w:rsidRPr="00782BF9">
              <w:rPr>
                <w:noProof/>
                <w:lang w:val="bg-BG"/>
              </w:rPr>
              <w:t>297</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2EAE826" w14:textId="3213A1A9"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254</w:t>
            </w:r>
            <w:r w:rsidRPr="00782BF9">
              <w:rPr>
                <w:noProof/>
                <w:color w:val="006100"/>
                <w:lang w:val="bg-BG"/>
              </w:rPr>
              <w:t xml:space="preserve"> </w:t>
            </w:r>
            <w:r w:rsidRPr="00782BF9">
              <w:rPr>
                <w:noProof/>
                <w:lang w:val="bg-BG"/>
              </w:rPr>
              <w:t>065</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08D8B647" w14:textId="70F97320"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Т3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CD5654F" w14:textId="2CC29321"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2025</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219C7C48" w14:textId="208A9247"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 xml:space="preserve">Ново инсталиране на еднофазни или трифазни електромери с устройство за пряка връзка и комуникация, които са в допълнение към тези, които ще бъдат финансирани от безвъзмездната подкрепа по C10.I1d (безвъзмездни средства) в раздел J.1. и C10.I1d (заеми) в раздел Й.3. </w:t>
            </w:r>
          </w:p>
        </w:tc>
      </w:tr>
      <w:tr w:rsidR="00DC4301" w:rsidRPr="00782BF9" w14:paraId="27D5511B"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45C944E" w14:textId="7E4D6273" w:rsidR="00CE3BAD" w:rsidRPr="00782BF9" w:rsidRDefault="006B5475">
            <w:pPr>
              <w:pStyle w:val="P68B1DB1-Normal10"/>
              <w:jc w:val="center"/>
              <w:rPr>
                <w:rFonts w:eastAsia="Calibri"/>
                <w:b w:val="0"/>
                <w:noProof/>
                <w:lang w:val="bg-BG"/>
              </w:rPr>
            </w:pPr>
            <w:r w:rsidRPr="00782BF9">
              <w:rPr>
                <w:noProof/>
                <w:lang w:val="bg-BG"/>
              </w:rPr>
              <w:t>134</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7EB264E0" w14:textId="79C6C412"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C6.I5 Разпространяване на интелигентни измервателни уреди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1CD4DED6" w14:textId="595CCEC3"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58750227" w14:textId="7777777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Нови инсталирани интелигентни измервателни уреди </w:t>
            </w:r>
          </w:p>
          <w:p w14:paraId="2D757C27" w14:textId="1BE080EA"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(кумулативно)</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0F28B7CB"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281F8F22" w14:textId="0EBE5652"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Брой на интелигентните електромери</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5DC2E185" w14:textId="20C850B5"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254</w:t>
            </w:r>
            <w:r w:rsidRPr="00782BF9">
              <w:rPr>
                <w:noProof/>
                <w:color w:val="006100"/>
                <w:lang w:val="bg-BG"/>
              </w:rPr>
              <w:t xml:space="preserve"> </w:t>
            </w:r>
            <w:r w:rsidRPr="00782BF9">
              <w:rPr>
                <w:noProof/>
                <w:lang w:val="bg-BG"/>
              </w:rPr>
              <w:t>065</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85280D0" w14:textId="0CC10153"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290</w:t>
            </w:r>
            <w:r w:rsidRPr="00782BF9">
              <w:rPr>
                <w:noProof/>
                <w:color w:val="006100"/>
                <w:lang w:val="bg-BG"/>
              </w:rPr>
              <w:t xml:space="preserve"> </w:t>
            </w:r>
            <w:r w:rsidRPr="00782BF9">
              <w:rPr>
                <w:noProof/>
                <w:lang w:val="bg-BG"/>
              </w:rPr>
              <w:t>680</w:t>
            </w: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302468B5" w14:textId="188C0248"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FD1A39E" w14:textId="4E4055E7"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2026</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287EE99F" w14:textId="6D3883BF"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Нова инсталация на общо 290</w:t>
            </w:r>
            <w:r w:rsidRPr="00782BF9">
              <w:rPr>
                <w:noProof/>
                <w:color w:val="006100"/>
                <w:lang w:val="bg-BG"/>
              </w:rPr>
              <w:t xml:space="preserve"> </w:t>
            </w:r>
            <w:r w:rsidRPr="00782BF9">
              <w:rPr>
                <w:noProof/>
                <w:lang w:val="bg-BG"/>
              </w:rPr>
              <w:t xml:space="preserve">еднофазни или трифазни електромера с инсталация за пряка връзка и комуникация, която е в допълнение към инсталациите, финансирани от безвъзмездната подкрепа по C10.I1d (безвъзмездни средства) в раздел J.1. и C10.I1d (заеми) в раздел Й.3. </w:t>
            </w:r>
          </w:p>
        </w:tc>
      </w:tr>
      <w:tr w:rsidR="00DC4301" w:rsidRPr="00782BF9" w14:paraId="45F44CE8"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5DEB9529" w14:textId="4C9179F1" w:rsidR="00CE3BAD" w:rsidRPr="00782BF9" w:rsidRDefault="006B5475">
            <w:pPr>
              <w:pStyle w:val="P68B1DB1-Normal10"/>
              <w:jc w:val="center"/>
              <w:rPr>
                <w:noProof/>
                <w:lang w:val="bg-BG"/>
              </w:rPr>
            </w:pPr>
            <w:r w:rsidRPr="00782BF9">
              <w:rPr>
                <w:noProof/>
                <w:lang w:val="bg-BG"/>
              </w:rPr>
              <w:t>369</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31C62DBF" w14:textId="04000379"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C6.I6. Инвестиции в енергийна ефективност в обществени сгради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1AD5C8CA" w14:textId="0F91E22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6A9E61B6" w14:textId="77777777"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Отправяне на покана за представяне на предложения за инвестиции в енергийна ефективност в обществени сгради</w:t>
            </w:r>
          </w:p>
          <w:p w14:paraId="16849D0A"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78895030" w14:textId="59177801"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Публикуване на поканата за представяне на предложения на официалния уебсайт на правителството за покани за представяне на предложения</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46D62D2F"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219045B5"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6CEFE3B" w14:textId="77777777" w:rsidR="00CE3BAD" w:rsidRPr="00782BF9" w:rsidRDefault="00CE3BAD">
            <w:pPr>
              <w:spacing w:before="120" w:after="12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3DFBF03B" w14:textId="7463A5F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Т4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53BD643" w14:textId="2DE3BCC5"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2023</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14CD8DBD" w14:textId="77777777"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На уебсайта на правителството се публикува покана за представяне на предложения за инвестиции в енергийна ефективност в обществени сгради. Само проекти, които постигат поне 30</w:t>
            </w:r>
            <w:r w:rsidRPr="00782BF9">
              <w:rPr>
                <w:noProof/>
                <w:color w:val="006100"/>
                <w:lang w:val="bg-BG"/>
              </w:rPr>
              <w:t xml:space="preserve"> </w:t>
            </w:r>
            <w:r w:rsidRPr="00782BF9">
              <w:rPr>
                <w:noProof/>
                <w:lang w:val="bg-BG"/>
              </w:rPr>
              <w:t xml:space="preserve">% намаление на потреблението на първична енергия на сграда (в сравнение с изходното положение преди подобренията на енергийните характеристики), са допустими по поканата, със специален акцент върху региона на Будапеща. </w:t>
            </w:r>
          </w:p>
          <w:p w14:paraId="2CC339AB" w14:textId="77777777"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В поканата за представяне на предложения се посочва, че могат да бъдат подпомагани следните видове дейности, свързани с: </w:t>
            </w:r>
          </w:p>
          <w:p w14:paraId="58881CD4" w14:textId="77777777" w:rsidR="00CE3BAD" w:rsidRPr="00782BF9" w:rsidRDefault="006B5475">
            <w:pPr>
              <w:pStyle w:val="P68B1DB1-ListParagraph11"/>
              <w:numPr>
                <w:ilvl w:val="0"/>
                <w:numId w:val="2"/>
              </w:numPr>
              <w:spacing w:after="160" w:line="259" w:lineRule="auto"/>
              <w:ind w:left="594"/>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Енергийно управление в сградите:</w:t>
            </w:r>
          </w:p>
          <w:p w14:paraId="78C6C455" w14:textId="77777777" w:rsidR="00CE3BAD" w:rsidRPr="00782BF9" w:rsidRDefault="006B5475">
            <w:pPr>
              <w:pStyle w:val="P68B1DB1-ListParagraph11"/>
              <w:numPr>
                <w:ilvl w:val="0"/>
                <w:numId w:val="1"/>
              </w:numPr>
              <w:spacing w:after="160" w:line="259" w:lineRule="auto"/>
              <w:ind w:left="877"/>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Подобряване на изолацията на сградите, топлинните характеристики на сградите и намаляване на топлинните загуби </w:t>
            </w:r>
          </w:p>
          <w:p w14:paraId="7C66F07A" w14:textId="77777777" w:rsidR="00CE3BAD" w:rsidRPr="00782BF9" w:rsidRDefault="006B5475">
            <w:pPr>
              <w:pStyle w:val="P68B1DB1-ListParagraph11"/>
              <w:numPr>
                <w:ilvl w:val="0"/>
                <w:numId w:val="1"/>
              </w:numPr>
              <w:spacing w:after="160" w:line="259" w:lineRule="auto"/>
              <w:ind w:left="877"/>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Модернизиране на системите за отопление, охлаждане и топла вода за битови нужди в сградите;</w:t>
            </w:r>
          </w:p>
          <w:p w14:paraId="1424856A" w14:textId="77777777" w:rsidR="00CE3BAD" w:rsidRPr="00782BF9" w:rsidRDefault="006B5475">
            <w:pPr>
              <w:pStyle w:val="P68B1DB1-ListParagraph11"/>
              <w:numPr>
                <w:ilvl w:val="0"/>
                <w:numId w:val="1"/>
              </w:numPr>
              <w:spacing w:before="120" w:after="160" w:line="259" w:lineRule="auto"/>
              <w:ind w:left="877"/>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Внедряване на цифрови системи за управление на енергията с цел намаляване на търсенето на енергия;</w:t>
            </w:r>
          </w:p>
          <w:p w14:paraId="581EE82E" w14:textId="77777777" w:rsidR="00CE3BAD" w:rsidRPr="00782BF9" w:rsidRDefault="006B5475">
            <w:pPr>
              <w:pStyle w:val="P68B1DB1-ListParagraph11"/>
              <w:numPr>
                <w:ilvl w:val="0"/>
                <w:numId w:val="1"/>
              </w:numPr>
              <w:spacing w:before="120" w:after="160" w:line="259" w:lineRule="auto"/>
              <w:ind w:left="877"/>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Енергийно ефективно модернизиране на съществуващите системи за вътрешно осветление.</w:t>
            </w:r>
          </w:p>
          <w:p w14:paraId="34BE2127" w14:textId="77777777" w:rsidR="00CE3BAD" w:rsidRPr="00782BF9" w:rsidRDefault="006B5475">
            <w:pPr>
              <w:pStyle w:val="P68B1DB1-ListParagraph11"/>
              <w:numPr>
                <w:ilvl w:val="0"/>
                <w:numId w:val="2"/>
              </w:numPr>
              <w:spacing w:after="160" w:line="259" w:lineRule="auto"/>
              <w:ind w:left="594"/>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Увеличаване на използването на енергия от възобновяеми източници;</w:t>
            </w:r>
          </w:p>
          <w:p w14:paraId="7D0A92FB" w14:textId="77777777" w:rsidR="00CE3BAD" w:rsidRPr="00782BF9" w:rsidRDefault="006B5475">
            <w:pPr>
              <w:pStyle w:val="P68B1DB1-ListParagraph11"/>
              <w:numPr>
                <w:ilvl w:val="0"/>
                <w:numId w:val="2"/>
              </w:numPr>
              <w:spacing w:after="160" w:line="259" w:lineRule="auto"/>
              <w:ind w:left="594"/>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Дейности в подкрепа на адаптирането към изменението на климата.</w:t>
            </w:r>
          </w:p>
          <w:p w14:paraId="63977F1C" w14:textId="19B5A1C5"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Критериите за подбор на поканата гарантират, че се дава приоритет на сгради с по-висок потенциал за икономии на енергия (тези с 300 kWh/m² или над годишното потребление на първична енергия) и че не повече от 20 % от общия пакет се използват за подпомагане на отоплителни дейности на основата на газ.</w:t>
            </w:r>
          </w:p>
        </w:tc>
      </w:tr>
      <w:tr w:rsidR="00DC4301" w:rsidRPr="00782BF9" w14:paraId="55615EBD"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0C33EF5C" w14:textId="680BBC56" w:rsidR="00CE3BAD" w:rsidRPr="00782BF9" w:rsidRDefault="006B5475">
            <w:pPr>
              <w:pStyle w:val="P68B1DB1-Normal10"/>
              <w:jc w:val="center"/>
              <w:rPr>
                <w:noProof/>
                <w:lang w:val="bg-BG"/>
              </w:rPr>
            </w:pPr>
            <w:r w:rsidRPr="00782BF9">
              <w:rPr>
                <w:noProof/>
                <w:lang w:val="bg-BG"/>
              </w:rPr>
              <w:t>370</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3F7256CB" w14:textId="25450ACE"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C6.I6. Инвестиции в енергийна ефективност в обществени сгради</w:t>
            </w: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20787055" w14:textId="64BC5953"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Ключов етап</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477A2467" w14:textId="28BBB2D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Сключване и влизане в сила на всички споразумения за предоставяне на безвъзмездна финансова помощ за проекти, свързани с инвестиции в енергийна ефективност в обществени сгради</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33D34DBF" w14:textId="43C905AD"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lang w:val="bg-BG"/>
              </w:rPr>
            </w:pPr>
            <w:r w:rsidRPr="00782BF9">
              <w:rPr>
                <w:noProof/>
                <w:lang w:val="bg-BG"/>
              </w:rPr>
              <w:t>Подписване и влизане в сила на споразуменията за отпускане на безвъзмездни средства</w:t>
            </w: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4C5A796B"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45F0E054"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4DAC3EB" w14:textId="77777777" w:rsidR="00CE3BAD" w:rsidRPr="00782BF9" w:rsidRDefault="00CE3BAD">
            <w:pPr>
              <w:spacing w:before="120" w:after="12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179ADA34" w14:textId="11EB8555"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AB1A979" w14:textId="1366CC4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2024</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69B83ED9" w14:textId="77777777"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 xml:space="preserve">Подписване и влизане в сила на споразумения за отпускане на безвъзмездни средства, сключени с всички избрани крайни получатели в рамките на поканата за представяне на предложения, посочена в ключов етап [369] по-горе.  </w:t>
            </w:r>
          </w:p>
          <w:p w14:paraId="7CBF63B7" w14:textId="77777777" w:rsidR="00CE3BAD" w:rsidRPr="00782BF9" w:rsidRDefault="00CE3BAD">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noProof/>
                <w:sz w:val="18"/>
                <w:lang w:val="bg-BG"/>
              </w:rPr>
            </w:pPr>
          </w:p>
        </w:tc>
      </w:tr>
      <w:tr w:rsidR="00DC4301" w:rsidRPr="00782BF9" w14:paraId="48CEAA6C" w14:textId="77777777" w:rsidTr="00CE3BAD">
        <w:trPr>
          <w:trHeight w:val="3002"/>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7F0C2567" w14:textId="5C4FF05C" w:rsidR="00CE3BAD" w:rsidRPr="00782BF9" w:rsidRDefault="006B5475">
            <w:pPr>
              <w:pStyle w:val="P68B1DB1-Normal10"/>
              <w:jc w:val="center"/>
              <w:rPr>
                <w:noProof/>
                <w:lang w:val="bg-BG"/>
              </w:rPr>
            </w:pPr>
            <w:r w:rsidRPr="00782BF9">
              <w:rPr>
                <w:noProof/>
                <w:lang w:val="bg-BG"/>
              </w:rPr>
              <w:t>371</w:t>
            </w:r>
          </w:p>
        </w:tc>
        <w:tc>
          <w:tcPr>
            <w:tcW w:w="1418" w:type="dxa"/>
            <w:tcBorders>
              <w:top w:val="single" w:sz="4" w:space="0" w:color="auto"/>
              <w:left w:val="single" w:sz="4" w:space="0" w:color="auto"/>
              <w:bottom w:val="single" w:sz="4" w:space="0" w:color="auto"/>
              <w:right w:val="single" w:sz="4" w:space="0" w:color="auto"/>
            </w:tcBorders>
            <w:shd w:val="clear" w:color="auto" w:fill="C6EFCE"/>
            <w:vAlign w:val="center"/>
          </w:tcPr>
          <w:p w14:paraId="01C4D7FC" w14:textId="77777777" w:rsidR="00CE3BAD" w:rsidRPr="00782BF9" w:rsidRDefault="006B5475">
            <w:pPr>
              <w:pStyle w:val="P68B1DB1-Normal10"/>
              <w:spacing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C6.I6. Инвестиции в енергийна ефективност в обществени сгради</w:t>
            </w:r>
          </w:p>
          <w:p w14:paraId="1003D323" w14:textId="77777777" w:rsidR="00CE3BAD" w:rsidRPr="00782BF9" w:rsidRDefault="00CE3BAD">
            <w:pPr>
              <w:spacing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C6EFCE"/>
            <w:vAlign w:val="center"/>
          </w:tcPr>
          <w:p w14:paraId="7DC79CC9" w14:textId="779E9ADC"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Целеви</w:t>
            </w:r>
          </w:p>
        </w:tc>
        <w:tc>
          <w:tcPr>
            <w:tcW w:w="1532" w:type="dxa"/>
            <w:tcBorders>
              <w:top w:val="single" w:sz="4" w:space="0" w:color="auto"/>
              <w:left w:val="single" w:sz="4" w:space="0" w:color="auto"/>
              <w:bottom w:val="single" w:sz="4" w:space="0" w:color="auto"/>
              <w:right w:val="single" w:sz="4" w:space="0" w:color="auto"/>
            </w:tcBorders>
            <w:shd w:val="clear" w:color="auto" w:fill="C6EFCE"/>
            <w:vAlign w:val="center"/>
          </w:tcPr>
          <w:p w14:paraId="6DD6B843" w14:textId="1AA7F29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Разгъната застроена площ на обществени сгради, които са се възползвали от подобряване на енергийната ефективност</w:t>
            </w:r>
          </w:p>
        </w:tc>
        <w:tc>
          <w:tcPr>
            <w:tcW w:w="1310" w:type="dxa"/>
            <w:tcBorders>
              <w:top w:val="single" w:sz="4" w:space="0" w:color="auto"/>
              <w:left w:val="single" w:sz="4" w:space="0" w:color="auto"/>
              <w:bottom w:val="single" w:sz="4" w:space="0" w:color="auto"/>
              <w:right w:val="single" w:sz="4" w:space="0" w:color="auto"/>
            </w:tcBorders>
            <w:shd w:val="clear" w:color="auto" w:fill="C6EFCE"/>
            <w:vAlign w:val="center"/>
          </w:tcPr>
          <w:p w14:paraId="6167DC3F" w14:textId="77777777" w:rsidR="00CE3BAD" w:rsidRPr="00782BF9" w:rsidRDefault="00CE3BA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sz w:val="18"/>
                <w:lang w:val="bg-BG"/>
              </w:rPr>
            </w:pPr>
          </w:p>
        </w:tc>
        <w:tc>
          <w:tcPr>
            <w:tcW w:w="912" w:type="dxa"/>
            <w:tcBorders>
              <w:top w:val="single" w:sz="4" w:space="0" w:color="auto"/>
              <w:left w:val="single" w:sz="4" w:space="0" w:color="auto"/>
              <w:bottom w:val="single" w:sz="4" w:space="0" w:color="auto"/>
              <w:right w:val="single" w:sz="4" w:space="0" w:color="auto"/>
            </w:tcBorders>
            <w:shd w:val="clear" w:color="auto" w:fill="C6EFCE"/>
            <w:vAlign w:val="center"/>
          </w:tcPr>
          <w:p w14:paraId="68794B1B" w14:textId="381287C3"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Квадратни метри</w:t>
            </w:r>
          </w:p>
        </w:tc>
        <w:tc>
          <w:tcPr>
            <w:tcW w:w="1065" w:type="dxa"/>
            <w:tcBorders>
              <w:top w:val="single" w:sz="4" w:space="0" w:color="auto"/>
              <w:left w:val="single" w:sz="4" w:space="0" w:color="auto"/>
              <w:bottom w:val="single" w:sz="4" w:space="0" w:color="auto"/>
              <w:right w:val="single" w:sz="4" w:space="0" w:color="auto"/>
            </w:tcBorders>
            <w:shd w:val="clear" w:color="auto" w:fill="C6EFCE"/>
            <w:vAlign w:val="center"/>
          </w:tcPr>
          <w:p w14:paraId="10432C12" w14:textId="39EF15D0"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24249B77" w14:textId="77777777" w:rsidR="00CE3BAD" w:rsidRPr="00782BF9" w:rsidRDefault="006B5475">
            <w:pPr>
              <w:pStyle w:val="P68B1DB1-Normal10"/>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noProof/>
                <w:lang w:val="bg-BG"/>
              </w:rPr>
            </w:pPr>
            <w:r w:rsidRPr="00782BF9">
              <w:rPr>
                <w:noProof/>
                <w:lang w:val="bg-BG"/>
              </w:rPr>
              <w:t>388</w:t>
            </w:r>
            <w:r w:rsidRPr="00782BF9">
              <w:rPr>
                <w:noProof/>
                <w:color w:val="006100"/>
                <w:lang w:val="bg-BG"/>
              </w:rPr>
              <w:t xml:space="preserve"> </w:t>
            </w:r>
            <w:r w:rsidRPr="00782BF9">
              <w:rPr>
                <w:noProof/>
                <w:lang w:val="bg-BG"/>
              </w:rPr>
              <w:t>000</w:t>
            </w:r>
          </w:p>
          <w:p w14:paraId="7BFE592C" w14:textId="77777777" w:rsidR="00CE3BAD" w:rsidRPr="00782BF9" w:rsidRDefault="00CE3BAD">
            <w:pPr>
              <w:spacing w:before="120" w:after="120" w:line="240" w:lineRule="auto"/>
              <w:cnfStyle w:val="000000000000" w:firstRow="0" w:lastRow="0" w:firstColumn="0" w:lastColumn="0" w:oddVBand="0" w:evenVBand="0" w:oddHBand="0" w:evenHBand="0" w:firstRowFirstColumn="0" w:firstRowLastColumn="0" w:lastRowFirstColumn="0" w:lastRowLastColumn="0"/>
              <w:rPr>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7AFD462" w14:textId="2B6CE1F9"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Т2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5F73A6EA" w14:textId="0B25DAB6" w:rsidR="00CE3BAD" w:rsidRPr="00782BF9" w:rsidRDefault="006B5475">
            <w:pPr>
              <w:pStyle w:val="P68B1DB1-Normal10"/>
              <w:spacing w:after="0" w:line="240" w:lineRule="auto"/>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2026</w:t>
            </w:r>
          </w:p>
        </w:tc>
        <w:tc>
          <w:tcPr>
            <w:tcW w:w="5159" w:type="dxa"/>
            <w:tcBorders>
              <w:top w:val="single" w:sz="4" w:space="0" w:color="auto"/>
              <w:left w:val="single" w:sz="4" w:space="0" w:color="auto"/>
              <w:bottom w:val="single" w:sz="4" w:space="0" w:color="auto"/>
              <w:right w:val="single" w:sz="4" w:space="0" w:color="auto"/>
            </w:tcBorders>
            <w:shd w:val="clear" w:color="auto" w:fill="C6EFCE"/>
          </w:tcPr>
          <w:p w14:paraId="72D74DC0" w14:textId="46443602" w:rsidR="00CE3BAD" w:rsidRPr="00782BF9" w:rsidRDefault="006B5475">
            <w:pPr>
              <w:pStyle w:val="P68B1DB1-Normal10"/>
              <w:spacing w:before="120" w:after="120" w:line="240" w:lineRule="auto"/>
              <w:jc w:val="both"/>
              <w:cnfStyle w:val="000000000000" w:firstRow="0" w:lastRow="0" w:firstColumn="0" w:lastColumn="0" w:oddVBand="0" w:evenVBand="0" w:oddHBand="0" w:evenHBand="0" w:firstRowFirstColumn="0" w:firstRowLastColumn="0" w:lastRowFirstColumn="0" w:lastRowLastColumn="0"/>
              <w:rPr>
                <w:noProof/>
                <w:lang w:val="bg-BG"/>
              </w:rPr>
            </w:pPr>
            <w:r w:rsidRPr="00782BF9">
              <w:rPr>
                <w:noProof/>
                <w:lang w:val="bg-BG"/>
              </w:rPr>
              <w:t>Най-малко 388</w:t>
            </w:r>
            <w:r w:rsidRPr="00782BF9">
              <w:rPr>
                <w:noProof/>
                <w:color w:val="006100"/>
                <w:lang w:val="bg-BG"/>
              </w:rPr>
              <w:t xml:space="preserve"> </w:t>
            </w:r>
            <w:r w:rsidRPr="00782BF9">
              <w:rPr>
                <w:noProof/>
                <w:lang w:val="bg-BG"/>
              </w:rPr>
              <w:t>000 квадратни метра се възползват от подобрения на енергийната ефективност. Потреблението на първична енергия на съответните обществени сгради се намалява с 30</w:t>
            </w:r>
            <w:r w:rsidRPr="00782BF9">
              <w:rPr>
                <w:noProof/>
                <w:color w:val="006100"/>
                <w:lang w:val="bg-BG"/>
              </w:rPr>
              <w:t xml:space="preserve"> </w:t>
            </w:r>
            <w:r w:rsidRPr="00782BF9">
              <w:rPr>
                <w:noProof/>
                <w:lang w:val="bg-BG"/>
              </w:rPr>
              <w:t>% на сграда.  Оценката на икономиите на първична енергия за всяка сграда се извършва от регистрирани независими енергийни одитори, експерти или регистрирани доставчици на услуги за енергийно сертифициране. Тези органи издават сертификат за енергийни характеристики, в който се оценяват постигнатите икономии на енергия.</w:t>
            </w:r>
          </w:p>
        </w:tc>
      </w:tr>
    </w:tbl>
    <w:p w14:paraId="219EEA9B" w14:textId="77777777" w:rsidR="00CE3BAD" w:rsidRPr="00782BF9" w:rsidRDefault="00CE3BAD">
      <w:pPr>
        <w:spacing w:after="160" w:line="259" w:lineRule="auto"/>
        <w:rPr>
          <w:noProof/>
          <w:lang w:val="bg-BG"/>
        </w:rPr>
        <w:sectPr w:rsidR="00CE3BAD" w:rsidRPr="00782BF9" w:rsidSect="00AD58A5">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1418" w:right="1418" w:bottom="1418" w:left="1418" w:header="709" w:footer="709" w:gutter="0"/>
          <w:cols w:space="708"/>
          <w:docGrid w:linePitch="360"/>
        </w:sectPr>
      </w:pPr>
    </w:p>
    <w:p w14:paraId="33E2BDEB" w14:textId="09EAC12D" w:rsidR="00CE3BAD" w:rsidRPr="00782BF9" w:rsidRDefault="006B5475">
      <w:pPr>
        <w:pStyle w:val="P68B1DB1-Heading217"/>
        <w:ind w:left="0" w:firstLine="0"/>
        <w:rPr>
          <w:noProof/>
          <w:lang w:val="bg-BG"/>
        </w:rPr>
      </w:pPr>
      <w:r w:rsidRPr="00782BF9">
        <w:rPr>
          <w:noProof/>
          <w:lang w:val="bg-BG"/>
        </w:rPr>
        <w:t>Ж. КОМПОНЕНТ 7: Преход към кръгова икономика</w:t>
      </w:r>
    </w:p>
    <w:p w14:paraId="77428209" w14:textId="77777777" w:rsidR="00CE3BAD" w:rsidRPr="00782BF9" w:rsidRDefault="00CE3BAD">
      <w:pPr>
        <w:spacing w:after="120" w:line="240" w:lineRule="auto"/>
        <w:jc w:val="both"/>
        <w:rPr>
          <w:rFonts w:ascii="Times New Roman" w:hAnsi="Times New Roman" w:cs="Times New Roman"/>
          <w:noProof/>
          <w:sz w:val="24"/>
          <w:lang w:val="bg-BG"/>
        </w:rPr>
      </w:pPr>
    </w:p>
    <w:p w14:paraId="39DFD93D" w14:textId="5487C2A1"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този компонент на унгарския план за възстановяване и устойчивост е да се улесни преходът към кръгова икономика и да се допринесе за постигането на целите за управление на отпадъците за 2025 г. и 2030 г., определени в законодателството на ЕС. Това изисква установяване на основните законодателни и процедурни изисквания за подготовката на унгарската икономика за прехода към кръгова икономика, включително добре функциониращ сектор на управление на отпадъците. Един от стълбовете на този процес е обновяването на системата за управление на битовите отпадъци. Процентът на кръгово използване на материалите в Унгария е 8,7 %, което е под средното за ЕС (12,8 %). Процентът на рециклиране (битови отпадъци) — 33 % — е значително по-нисък от целта за 2025 г.</w:t>
      </w:r>
    </w:p>
    <w:p w14:paraId="5B9DCCDB" w14:textId="35EE3D5E" w:rsidR="00CE3BAD" w:rsidRPr="00782BF9" w:rsidRDefault="006B5475">
      <w:pPr>
        <w:pStyle w:val="P68B1DB1-Normal4"/>
        <w:spacing w:after="120" w:line="240" w:lineRule="auto"/>
        <w:jc w:val="both"/>
        <w:rPr>
          <w:rFonts w:cs="Times New Roman"/>
          <w:noProof/>
          <w:lang w:val="bg-BG"/>
        </w:rPr>
      </w:pPr>
      <w:r w:rsidRPr="00782BF9">
        <w:rPr>
          <w:noProof/>
          <w:lang w:val="bg-BG"/>
        </w:rPr>
        <w:t>Мерките по този компонент допринасят за екологичния преход и целите за неутралност по отношение на климата, както и за по-развита система за управление на отпадъците в Унгария. Те подкрепят осъществяването на инвестиции в химическо рециклиране на пластмасови отпадъци, които не са подходящи за механично рециклиране. Те също така подкрепят устойчивия растеж чрез възприемането на иновативни решения, като например химическо рециклиране. Целите на този компонент са в съответствие с целите на рамката на ЕС за управление на отпадъците.</w:t>
      </w:r>
    </w:p>
    <w:p w14:paraId="4FC8C347" w14:textId="087DCBA0"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Компонентът допринася за изпълнението на специфичните за всяка държава препоръки относно необходимостта от съсредоточаване на свързаната с инвестициите икономическа политика върху устойчивото управление на отпадъците (специфична за държавата препоръка 3 от 2019 г. и препоръка 3 през 2020 г.) и насърчаване на реформите и инвестициите в устойчивото управление на отпадъците и кръговостта на икономиката (специфична за държавата препоръка 5 през 2022 г.), в която кръговата икономика се определя като област за подобрение, по-специално в управлението на битовите отпадъци и в системата за събиране и третиране на отпадъците. </w:t>
      </w:r>
    </w:p>
    <w:p w14:paraId="63F84CD6"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Очаква се, че нито една мярка в този компонент не нанася значителни вреди на екологичните цели по смисъла на член 17 от Регламент (ЕС) 2020/852, като се вземе предвид описанието на мерките и стъпките за смекчаване, определени в плана за възстановяване и устойчивост в съответствие с Техническите насоки съгласно принципа за ненанасяне на значителни вреди (2021/C58/01).</w:t>
      </w:r>
    </w:p>
    <w:p w14:paraId="47A8A9F9" w14:textId="77777777" w:rsidR="00CE3BAD" w:rsidRPr="00782BF9" w:rsidRDefault="00CE3BAD">
      <w:pPr>
        <w:spacing w:after="120" w:line="240" w:lineRule="auto"/>
        <w:jc w:val="both"/>
        <w:rPr>
          <w:rFonts w:ascii="Times New Roman" w:hAnsi="Times New Roman" w:cs="Times New Roman"/>
          <w:noProof/>
          <w:sz w:val="24"/>
          <w:lang w:val="bg-BG"/>
        </w:rPr>
      </w:pPr>
    </w:p>
    <w:p w14:paraId="2C8D9571" w14:textId="77777777" w:rsidR="00CE3BAD" w:rsidRPr="00782BF9" w:rsidRDefault="006B5475">
      <w:pPr>
        <w:pStyle w:val="Heading2"/>
        <w:spacing w:before="0" w:after="120" w:line="240" w:lineRule="auto"/>
        <w:ind w:left="0" w:firstLine="0"/>
        <w:rPr>
          <w:noProof/>
          <w:lang w:val="bg-BG"/>
        </w:rPr>
      </w:pPr>
      <w:r w:rsidRPr="00782BF9">
        <w:rPr>
          <w:noProof/>
          <w:lang w:val="bg-BG"/>
        </w:rPr>
        <w:t xml:space="preserve">Ж.1. </w:t>
      </w:r>
      <w:r w:rsidRPr="00782BF9">
        <w:rPr>
          <w:noProof/>
          <w:lang w:val="bg-BG"/>
        </w:rPr>
        <w:tab/>
        <w:t>Описание на реформите и инвестициите за безвъзмездна финансова подкрепа</w:t>
      </w:r>
    </w:p>
    <w:p w14:paraId="4EAADDAD" w14:textId="6B3F3F15" w:rsidR="00CE3BAD" w:rsidRPr="00782BF9" w:rsidRDefault="006B5475">
      <w:pPr>
        <w:pStyle w:val="P68B1DB1-Normal2"/>
        <w:spacing w:after="120" w:line="240" w:lineRule="auto"/>
        <w:jc w:val="both"/>
        <w:rPr>
          <w:rFonts w:cs="Times New Roman"/>
          <w:noProof/>
          <w:lang w:val="bg-BG"/>
        </w:rPr>
      </w:pPr>
      <w:r w:rsidRPr="00782BF9">
        <w:rPr>
          <w:noProof/>
          <w:lang w:val="bg-BG"/>
        </w:rPr>
        <w:t>C7.R1: Вътрешно регулиране на прехода към кръгова икономика</w:t>
      </w:r>
    </w:p>
    <w:p w14:paraId="0C071695" w14:textId="50EE0AB4"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реформата е да се създаде стабилна стратегическа и правна рамка за прехода към кръгова икономика. </w:t>
      </w:r>
    </w:p>
    <w:p w14:paraId="06FA18B7"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За да се определи стратегическата рамка за инвестициите, се приема Националният план за управление на отпадъците за периода 2021—2027 г., както се изисква от Директива 2008/98/ЕО относно отпадъците, и се финализират националната стратегия и план за действие за кръговата икономика, в съответствие с препоръките на ОИСР от текущия проект за инструмент за техническа подкрепа. Заедно тези документи представляват рамката за прехода към кръгова икономика в Унгария. </w:t>
      </w:r>
    </w:p>
    <w:p w14:paraId="4392DC01" w14:textId="121737B4"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Друга цел на реформата е да се създаде стабилна правна среда за ефективно регулиране на прехода към кръгова икономика и да се установят подробни правила за нов модел за управление на отпадъците. Промените в законодателната рамка допринасят за създаването на благоприятна среда за управление на отпадъците в Унгария, по-специално чрез премахване на пречките в сектора на управлението на отпадъците, включително пречките, свързани с конкуренцията, за създаване на компетентен орган за управление на отпадъците, за регулиране на системата за депозиране на бутилки за напитки и за укрепване на законодателството за разширена отговорност на производителя. Измененията включват и регламент за намаляване на въздействието на пластмасовите продукти върху околната среда, който надхвърля изискванията на Директива (ЕС) 2019/904 относно пластмасите за еднократна употреба. </w:t>
      </w:r>
    </w:p>
    <w:p w14:paraId="740EDCB0" w14:textId="015D6226"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трябва да приключи до 30 септември 2023 г.</w:t>
      </w:r>
    </w:p>
    <w:p w14:paraId="768AF935" w14:textId="77777777" w:rsidR="00CE3BAD" w:rsidRPr="00782BF9" w:rsidRDefault="00CE3BAD">
      <w:pPr>
        <w:spacing w:after="120" w:line="240" w:lineRule="auto"/>
        <w:jc w:val="both"/>
        <w:rPr>
          <w:rFonts w:ascii="Times New Roman" w:hAnsi="Times New Roman" w:cs="Times New Roman"/>
          <w:noProof/>
          <w:sz w:val="24"/>
          <w:lang w:val="bg-BG"/>
        </w:rPr>
      </w:pPr>
    </w:p>
    <w:p w14:paraId="7918F280" w14:textId="77777777" w:rsidR="00CE3BAD" w:rsidRPr="00782BF9" w:rsidRDefault="006B5475">
      <w:pPr>
        <w:pStyle w:val="P68B1DB1-Normal2"/>
        <w:spacing w:after="120" w:line="240" w:lineRule="auto"/>
        <w:jc w:val="both"/>
        <w:rPr>
          <w:rFonts w:cs="Times New Roman"/>
          <w:noProof/>
          <w:lang w:val="bg-BG"/>
        </w:rPr>
      </w:pPr>
      <w:r w:rsidRPr="00782BF9">
        <w:rPr>
          <w:noProof/>
          <w:lang w:val="bg-BG"/>
        </w:rPr>
        <w:t>C7.R2: Повишаване на осведомеността</w:t>
      </w:r>
    </w:p>
    <w:p w14:paraId="4D1C1747" w14:textId="146713A4"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реформата е да се осигури съгласувана национална рамкова комуникационна стратегия за мерки за повишаване на осведомеността на местно равнище.</w:t>
      </w:r>
    </w:p>
    <w:p w14:paraId="49B5E585" w14:textId="37288B28" w:rsidR="00CE3BAD" w:rsidRPr="00782BF9" w:rsidRDefault="006B5475">
      <w:pPr>
        <w:pStyle w:val="P68B1DB1-Normal4"/>
        <w:spacing w:after="120" w:line="240" w:lineRule="auto"/>
        <w:jc w:val="both"/>
        <w:rPr>
          <w:rFonts w:cs="Times New Roman"/>
          <w:noProof/>
          <w:lang w:val="bg-BG"/>
        </w:rPr>
      </w:pPr>
      <w:r w:rsidRPr="00782BF9">
        <w:rPr>
          <w:noProof/>
          <w:lang w:val="bg-BG"/>
        </w:rPr>
        <w:t>Реформата се състои в приемането на национален план за действие в областта на комуникацията и на комуникационна стратегия. Националната комуникационна стратегия предоставя комуникационна рамка, която допълва и предоставя насоки за мерки за повишаване на осведомеността на местно равнище с цел информиране на широката общественост относно по-високите нива на йерархията на отпадъците (1) предотвратяване, 2) повторна употреба, 3) рециклиране). Националната комуникационна стратегия също така поставя специален акцент върху биологичните отпадъци, домашното компостиране и разделянето на отпадъците.</w:t>
      </w:r>
    </w:p>
    <w:p w14:paraId="6232FA47" w14:textId="7B6FAA6F" w:rsidR="00CE3BAD" w:rsidRPr="00782BF9" w:rsidRDefault="006B5475">
      <w:pPr>
        <w:pStyle w:val="P68B1DB1-Normal4"/>
        <w:spacing w:after="120" w:line="240" w:lineRule="auto"/>
        <w:jc w:val="both"/>
        <w:rPr>
          <w:rFonts w:cs="Times New Roman"/>
          <w:noProof/>
          <w:lang w:val="bg-BG"/>
        </w:rPr>
      </w:pPr>
      <w:r w:rsidRPr="00782BF9">
        <w:rPr>
          <w:noProof/>
          <w:lang w:val="bg-BG"/>
        </w:rPr>
        <w:t>Реформата трябва да приключи до 30 юни 2026 г.</w:t>
      </w:r>
    </w:p>
    <w:p w14:paraId="79355354" w14:textId="77777777" w:rsidR="00CE3BAD" w:rsidRPr="00782BF9" w:rsidRDefault="00CE3BAD">
      <w:pPr>
        <w:spacing w:after="120" w:line="240" w:lineRule="auto"/>
        <w:jc w:val="both"/>
        <w:rPr>
          <w:rFonts w:ascii="Times New Roman" w:hAnsi="Times New Roman" w:cs="Times New Roman"/>
          <w:b/>
          <w:noProof/>
          <w:sz w:val="24"/>
          <w:lang w:val="bg-BG"/>
        </w:rPr>
      </w:pPr>
    </w:p>
    <w:p w14:paraId="0DCAC66A" w14:textId="094A371F" w:rsidR="00CE3BAD" w:rsidRPr="00782BF9" w:rsidRDefault="0092669E">
      <w:pPr>
        <w:spacing w:after="120" w:line="240" w:lineRule="auto"/>
        <w:jc w:val="both"/>
        <w:rPr>
          <w:rFonts w:ascii="Times New Roman" w:hAnsi="Times New Roman" w:cs="Times New Roman"/>
          <w:b/>
          <w:noProof/>
          <w:sz w:val="24"/>
          <w:lang w:val="bg-BG"/>
        </w:rPr>
      </w:pPr>
      <w:r w:rsidRPr="00782BF9">
        <w:rPr>
          <w:rFonts w:ascii="Times New Roman" w:hAnsi="Times New Roman"/>
          <w:b/>
          <w:noProof/>
          <w:sz w:val="24"/>
          <w:lang w:val="bg-BG"/>
        </w:rPr>
        <w:t>C</w:t>
      </w:r>
      <w:r w:rsidR="006B5475" w:rsidRPr="00782BF9">
        <w:rPr>
          <w:rFonts w:ascii="Times New Roman" w:hAnsi="Times New Roman"/>
          <w:b/>
          <w:noProof/>
          <w:sz w:val="24"/>
          <w:lang w:val="bg-BG"/>
        </w:rPr>
        <w:t>7.</w:t>
      </w:r>
      <w:r w:rsidRPr="00782BF9">
        <w:rPr>
          <w:rFonts w:ascii="Times New Roman" w:hAnsi="Times New Roman"/>
          <w:b/>
          <w:noProof/>
          <w:sz w:val="24"/>
          <w:lang w:val="bg-BG"/>
        </w:rPr>
        <w:t>I</w:t>
      </w:r>
      <w:r w:rsidR="006B5475" w:rsidRPr="00782BF9">
        <w:rPr>
          <w:rFonts w:ascii="Times New Roman" w:hAnsi="Times New Roman"/>
          <w:b/>
          <w:noProof/>
          <w:sz w:val="24"/>
          <w:lang w:val="bg-BG"/>
        </w:rPr>
        <w:t>2:</w:t>
      </w:r>
      <w:r w:rsidR="006B5475" w:rsidRPr="00782BF9">
        <w:rPr>
          <w:noProof/>
          <w:lang w:val="bg-BG"/>
        </w:rPr>
        <w:t xml:space="preserve"> </w:t>
      </w:r>
      <w:r w:rsidR="006B5475" w:rsidRPr="00782BF9">
        <w:rPr>
          <w:rFonts w:ascii="Times New Roman" w:hAnsi="Times New Roman"/>
          <w:b/>
          <w:noProof/>
          <w:sz w:val="24"/>
          <w:lang w:val="bg-BG"/>
        </w:rPr>
        <w:t>Изграждане на интелигентна инфраструктура за събиране на отпадъци за разделно събиране и свързани превозни средства за събиране на нулеви емисии</w:t>
      </w:r>
      <w:r w:rsidR="006B5475" w:rsidRPr="00782BF9">
        <w:rPr>
          <w:rStyle w:val="FootnoteReference"/>
          <w:rFonts w:ascii="Times New Roman" w:hAnsi="Times New Roman"/>
          <w:b/>
          <w:noProof/>
          <w:sz w:val="24"/>
          <w:lang w:val="bg-BG"/>
        </w:rPr>
        <w:footnoteReference w:id="7"/>
      </w:r>
    </w:p>
    <w:p w14:paraId="23201BDA"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инвестицията е да се осигури на общините инфраструктура за разделно събиране на отпадъците, генерирани на обществени места.</w:t>
      </w:r>
    </w:p>
    <w:p w14:paraId="21D93B76"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В рамките на инвестицията на общините се предоставят подземни контейнери за отпадъци, интелигентни контейнери и превозни средства с нулеви емисии за разделно събиране на отпадъци въз основа на техните инвестиционни нужди. На общините се предоставя бюджет за мерки за повишаване на осведомеността.</w:t>
      </w:r>
    </w:p>
    <w:p w14:paraId="25CAD95D" w14:textId="3E3443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30 юни 2026 г.</w:t>
      </w:r>
    </w:p>
    <w:p w14:paraId="51BC2776" w14:textId="77777777" w:rsidR="00CE3BAD" w:rsidRPr="00782BF9" w:rsidRDefault="00CE3BAD">
      <w:pPr>
        <w:keepNext/>
        <w:tabs>
          <w:tab w:val="left" w:pos="850"/>
        </w:tabs>
        <w:spacing w:before="360" w:after="120" w:line="240" w:lineRule="auto"/>
        <w:jc w:val="both"/>
        <w:outlineLvl w:val="0"/>
        <w:rPr>
          <w:rFonts w:ascii="Times New Roman" w:hAnsi="Times New Roman" w:cs="Times New Roman"/>
          <w:noProof/>
          <w:sz w:val="24"/>
          <w:lang w:val="bg-BG"/>
        </w:rPr>
      </w:pPr>
    </w:p>
    <w:p w14:paraId="4FDF5AD4" w14:textId="77777777" w:rsidR="00CE3BAD" w:rsidRPr="00782BF9" w:rsidRDefault="00CE3BAD">
      <w:pPr>
        <w:keepNext/>
        <w:tabs>
          <w:tab w:val="left" w:pos="850"/>
        </w:tabs>
        <w:spacing w:before="360" w:after="120" w:line="240" w:lineRule="auto"/>
        <w:jc w:val="both"/>
        <w:outlineLvl w:val="0"/>
        <w:rPr>
          <w:rFonts w:ascii="Times New Roman" w:hAnsi="Times New Roman" w:cs="Times New Roman"/>
          <w:noProof/>
          <w:sz w:val="24"/>
          <w:lang w:val="bg-BG"/>
        </w:rPr>
        <w:sectPr w:rsidR="00CE3BAD" w:rsidRPr="00782BF9" w:rsidSect="005105E0">
          <w:headerReference w:type="even" r:id="rId105"/>
          <w:headerReference w:type="default" r:id="rId106"/>
          <w:footerReference w:type="even" r:id="rId107"/>
          <w:footerReference w:type="default" r:id="rId108"/>
          <w:headerReference w:type="first" r:id="rId109"/>
          <w:footerReference w:type="first" r:id="rId110"/>
          <w:pgSz w:w="11907" w:h="16839"/>
          <w:pgMar w:top="1134" w:right="1417" w:bottom="1134" w:left="1417" w:header="709" w:footer="709" w:gutter="0"/>
          <w:cols w:space="720"/>
          <w:docGrid w:linePitch="360"/>
        </w:sectPr>
      </w:pPr>
    </w:p>
    <w:p w14:paraId="46AC4A43" w14:textId="77777777" w:rsidR="00CE3BAD" w:rsidRPr="00782BF9" w:rsidRDefault="006B5475">
      <w:pPr>
        <w:pStyle w:val="Heading2"/>
        <w:spacing w:after="120"/>
        <w:ind w:left="0" w:firstLine="0"/>
        <w:rPr>
          <w:noProof/>
          <w:lang w:val="bg-BG"/>
        </w:rPr>
      </w:pPr>
      <w:r w:rsidRPr="00782BF9">
        <w:rPr>
          <w:noProof/>
          <w:lang w:val="bg-BG"/>
        </w:rPr>
        <w:t xml:space="preserve">Ж.2. </w:t>
      </w:r>
      <w:r w:rsidRPr="00782BF9">
        <w:rPr>
          <w:noProof/>
          <w:lang w:val="bg-BG"/>
        </w:rPr>
        <w:tab/>
        <w:t>Ключови етапи, цели, показатели и график за мониторинг и изпълнение на безвъзмездната финансова подкрепа</w:t>
      </w:r>
    </w:p>
    <w:tbl>
      <w:tblPr>
        <w:tblW w:w="15921" w:type="dxa"/>
        <w:jc w:val="center"/>
        <w:tblLayout w:type="fixed"/>
        <w:tblLook w:val="04A0" w:firstRow="1" w:lastRow="0" w:firstColumn="1" w:lastColumn="0" w:noHBand="0" w:noVBand="1"/>
      </w:tblPr>
      <w:tblGrid>
        <w:gridCol w:w="1134"/>
        <w:gridCol w:w="1843"/>
        <w:gridCol w:w="1179"/>
        <w:gridCol w:w="1701"/>
        <w:gridCol w:w="1418"/>
        <w:gridCol w:w="914"/>
        <w:gridCol w:w="949"/>
        <w:gridCol w:w="992"/>
        <w:gridCol w:w="850"/>
        <w:gridCol w:w="709"/>
        <w:gridCol w:w="4232"/>
      </w:tblGrid>
      <w:tr w:rsidR="00CE3BAD" w:rsidRPr="00782BF9" w14:paraId="1769A67B" w14:textId="77777777">
        <w:trPr>
          <w:trHeight w:val="313"/>
          <w:tblHeader/>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A9BE9C" w14:textId="41CEBDDE" w:rsidR="00CE3BAD" w:rsidRPr="00782BF9" w:rsidRDefault="006B5475">
            <w:pPr>
              <w:pStyle w:val="P68B1DB1-Normal10"/>
              <w:spacing w:after="0" w:line="240" w:lineRule="auto"/>
              <w:jc w:val="center"/>
              <w:rPr>
                <w:rFonts w:eastAsia="Times New Roman"/>
                <w:b/>
                <w:noProof/>
                <w:lang w:val="bg-BG"/>
              </w:rPr>
            </w:pPr>
            <w:r w:rsidRPr="00782BF9">
              <w:rPr>
                <w:noProof/>
                <w:lang w:val="bg-BG"/>
              </w:rPr>
              <w:br w:type="page"/>
            </w:r>
            <w:r w:rsidRPr="00782BF9">
              <w:rPr>
                <w:b/>
                <w:noProof/>
                <w:lang w:val="bg-BG"/>
              </w:rPr>
              <w:t>Следващи Брой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025172"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Свързана мярка (реформа или инвестиции)</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FB5609" w14:textId="127D0AAB" w:rsidR="00CE3BAD" w:rsidRPr="00782BF9" w:rsidRDefault="006B5475">
            <w:pPr>
              <w:pStyle w:val="P68B1DB1-Normal9"/>
              <w:spacing w:after="0" w:line="240" w:lineRule="auto"/>
              <w:jc w:val="center"/>
              <w:rPr>
                <w:rFonts w:eastAsia="Times New Roman"/>
                <w:noProof/>
                <w:lang w:val="bg-BG"/>
              </w:rPr>
            </w:pPr>
            <w:r w:rsidRPr="00782BF9">
              <w:rPr>
                <w:noProof/>
                <w:lang w:val="bg-BG"/>
              </w:rPr>
              <w:t>Ключов етап</w:t>
            </w:r>
            <w:r w:rsidRPr="00782BF9">
              <w:rPr>
                <w:noProof/>
                <w:lang w:val="bg-BG"/>
              </w:rPr>
              <w:br/>
              <w:t>/Цел</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206604"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Име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F6A3FD" w14:textId="77777777" w:rsidR="00CE3BAD" w:rsidRPr="00782BF9" w:rsidRDefault="006B5475">
            <w:pPr>
              <w:pStyle w:val="P68B1DB1-Normal10"/>
              <w:spacing w:after="0" w:line="240" w:lineRule="auto"/>
              <w:jc w:val="center"/>
              <w:rPr>
                <w:rFonts w:eastAsia="Times New Roman"/>
                <w:b/>
                <w:noProof/>
                <w:lang w:val="bg-BG"/>
              </w:rPr>
            </w:pPr>
            <w:r w:rsidRPr="00782BF9">
              <w:rPr>
                <w:b/>
                <w:noProof/>
                <w:lang w:val="bg-BG"/>
              </w:rPr>
              <w:t>Качествени индикатори</w:t>
            </w:r>
            <w:r w:rsidRPr="00782BF9">
              <w:rPr>
                <w:noProof/>
                <w:lang w:val="bg-BG"/>
              </w:rPr>
              <w:t xml:space="preserve"> </w:t>
            </w:r>
            <w:r w:rsidRPr="00782BF9">
              <w:rPr>
                <w:noProof/>
                <w:lang w:val="bg-BG"/>
              </w:rPr>
              <w:br/>
            </w:r>
            <w:r w:rsidRPr="00782BF9">
              <w:rPr>
                <w:b/>
                <w:noProof/>
                <w:lang w:val="bg-BG"/>
              </w:rPr>
              <w:t>(за ключовите етапи)</w:t>
            </w:r>
          </w:p>
        </w:tc>
        <w:tc>
          <w:tcPr>
            <w:tcW w:w="285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AFDD031" w14:textId="77777777" w:rsidR="00CE3BAD" w:rsidRPr="00782BF9" w:rsidRDefault="006B5475">
            <w:pPr>
              <w:pStyle w:val="P68B1DB1-Normal10"/>
              <w:spacing w:after="0" w:line="240" w:lineRule="auto"/>
              <w:jc w:val="center"/>
              <w:rPr>
                <w:rFonts w:eastAsia="Times New Roman"/>
                <w:b/>
                <w:noProof/>
                <w:lang w:val="bg-BG"/>
              </w:rPr>
            </w:pPr>
            <w:r w:rsidRPr="00782BF9">
              <w:rPr>
                <w:b/>
                <w:noProof/>
                <w:lang w:val="bg-BG"/>
              </w:rPr>
              <w:t>Количествени индикатори</w:t>
            </w:r>
            <w:r w:rsidRPr="00782BF9">
              <w:rPr>
                <w:noProof/>
                <w:lang w:val="bg-BG"/>
              </w:rPr>
              <w:t xml:space="preserve"> </w:t>
            </w:r>
            <w:r w:rsidRPr="00782BF9">
              <w:rPr>
                <w:noProof/>
                <w:lang w:val="bg-BG"/>
              </w:rPr>
              <w:br/>
            </w:r>
            <w:r w:rsidRPr="00782BF9">
              <w:rPr>
                <w:b/>
                <w:noProof/>
                <w:lang w:val="bg-BG"/>
              </w:rPr>
              <w:t>(за целите)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0628B2E3" w14:textId="73BD1009" w:rsidR="00CE3BAD" w:rsidRPr="00782BF9" w:rsidRDefault="006B5475">
            <w:pPr>
              <w:pStyle w:val="P68B1DB1-Normal10"/>
              <w:spacing w:after="0" w:line="240" w:lineRule="auto"/>
              <w:jc w:val="center"/>
              <w:rPr>
                <w:rFonts w:eastAsia="Times New Roman"/>
                <w:b/>
                <w:noProof/>
                <w:lang w:val="bg-BG"/>
              </w:rPr>
            </w:pPr>
            <w:r w:rsidRPr="00782BF9">
              <w:rPr>
                <w:b/>
                <w:noProof/>
                <w:lang w:val="bg-BG"/>
              </w:rPr>
              <w:t>Примерен график за приключване</w:t>
            </w:r>
            <w:r w:rsidRPr="00782BF9">
              <w:rPr>
                <w:noProof/>
                <w:lang w:val="bg-BG"/>
              </w:rPr>
              <w:t xml:space="preserve"> </w:t>
            </w:r>
            <w:r w:rsidRPr="00782BF9">
              <w:rPr>
                <w:noProof/>
                <w:lang w:val="bg-BG"/>
              </w:rPr>
              <w:br/>
            </w:r>
          </w:p>
        </w:tc>
        <w:tc>
          <w:tcPr>
            <w:tcW w:w="42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6352BA" w14:textId="202AFD06" w:rsidR="00CE3BAD" w:rsidRPr="00782BF9" w:rsidRDefault="006B5475">
            <w:pPr>
              <w:pStyle w:val="P68B1DB1-Normal9"/>
              <w:spacing w:after="0" w:line="240" w:lineRule="auto"/>
              <w:jc w:val="center"/>
              <w:rPr>
                <w:rFonts w:eastAsia="Times New Roman"/>
                <w:noProof/>
                <w:lang w:val="bg-BG"/>
              </w:rPr>
            </w:pPr>
            <w:r w:rsidRPr="00782BF9">
              <w:rPr>
                <w:noProof/>
                <w:lang w:val="bg-BG"/>
              </w:rPr>
              <w:t>Описание на всеки ключов етап и цел</w:t>
            </w:r>
          </w:p>
        </w:tc>
      </w:tr>
      <w:tr w:rsidR="00CE3BAD" w:rsidRPr="00782BF9" w14:paraId="6EFA8509" w14:textId="77777777">
        <w:trPr>
          <w:trHeight w:val="988"/>
          <w:tblHeade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24684B" w14:textId="77777777" w:rsidR="00CE3BAD" w:rsidRPr="00782BF9" w:rsidRDefault="00CE3BAD">
            <w:pPr>
              <w:spacing w:after="0" w:line="240" w:lineRule="auto"/>
              <w:jc w:val="center"/>
              <w:rPr>
                <w:rFonts w:eastAsia="Times New Roman" w:cstheme="minorHAnsi"/>
                <w:b/>
                <w:noProof/>
                <w:sz w:val="18"/>
                <w:lang w:val="bg-BG"/>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C1D425" w14:textId="77777777" w:rsidR="00CE3BAD" w:rsidRPr="00782BF9" w:rsidRDefault="00CE3BAD">
            <w:pPr>
              <w:spacing w:after="0" w:line="240" w:lineRule="auto"/>
              <w:jc w:val="center"/>
              <w:rPr>
                <w:rFonts w:eastAsia="Times New Roman" w:cstheme="minorHAnsi"/>
                <w:b/>
                <w:noProof/>
                <w:sz w:val="18"/>
                <w:lang w:val="bg-BG"/>
              </w:rPr>
            </w:pPr>
          </w:p>
        </w:tc>
        <w:tc>
          <w:tcPr>
            <w:tcW w:w="1179" w:type="dxa"/>
            <w:vMerge/>
            <w:tcBorders>
              <w:left w:val="single" w:sz="4" w:space="0" w:color="auto"/>
              <w:right w:val="single" w:sz="4" w:space="0" w:color="auto"/>
            </w:tcBorders>
            <w:vAlign w:val="center"/>
            <w:hideMark/>
          </w:tcPr>
          <w:p w14:paraId="7CF4738B" w14:textId="77777777" w:rsidR="00CE3BAD" w:rsidRPr="00782BF9" w:rsidRDefault="00CE3BAD">
            <w:pPr>
              <w:spacing w:after="0" w:line="240" w:lineRule="auto"/>
              <w:jc w:val="center"/>
              <w:rPr>
                <w:rFonts w:eastAsia="Times New Roman" w:cstheme="minorHAnsi"/>
                <w:b/>
                <w:noProof/>
                <w:sz w:val="18"/>
                <w:lang w:val="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018F1C" w14:textId="77777777" w:rsidR="00CE3BAD" w:rsidRPr="00782BF9" w:rsidRDefault="00CE3BAD">
            <w:pPr>
              <w:spacing w:after="0" w:line="240" w:lineRule="auto"/>
              <w:jc w:val="center"/>
              <w:rPr>
                <w:rFonts w:eastAsia="Times New Roman" w:cstheme="minorHAnsi"/>
                <w:b/>
                <w:noProof/>
                <w:sz w:val="18"/>
                <w:lang w:val="bg-BG"/>
              </w:rPr>
            </w:pPr>
          </w:p>
        </w:tc>
        <w:tc>
          <w:tcPr>
            <w:tcW w:w="1418" w:type="dxa"/>
            <w:vMerge/>
            <w:tcBorders>
              <w:left w:val="single" w:sz="4" w:space="0" w:color="auto"/>
            </w:tcBorders>
            <w:vAlign w:val="center"/>
            <w:hideMark/>
          </w:tcPr>
          <w:p w14:paraId="5BDC0980" w14:textId="77777777" w:rsidR="00CE3BAD" w:rsidRPr="00782BF9" w:rsidRDefault="00CE3BAD">
            <w:pPr>
              <w:spacing w:after="0" w:line="240" w:lineRule="auto"/>
              <w:jc w:val="center"/>
              <w:rPr>
                <w:rFonts w:eastAsia="Times New Roman" w:cstheme="minorHAnsi"/>
                <w:b/>
                <w:noProof/>
                <w:sz w:val="18"/>
                <w:lang w:val="bg-BG"/>
              </w:rPr>
            </w:pPr>
          </w:p>
        </w:tc>
        <w:tc>
          <w:tcPr>
            <w:tcW w:w="91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36555A8"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Единица мярка</w:t>
            </w:r>
          </w:p>
        </w:tc>
        <w:tc>
          <w:tcPr>
            <w:tcW w:w="94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193E5ED" w14:textId="48D3FB17" w:rsidR="00CE3BAD" w:rsidRPr="00782BF9" w:rsidRDefault="006B5475">
            <w:pPr>
              <w:pStyle w:val="P68B1DB1-Normal9"/>
              <w:spacing w:after="0" w:line="240" w:lineRule="auto"/>
              <w:jc w:val="center"/>
              <w:rPr>
                <w:rFonts w:eastAsia="Times New Roman"/>
                <w:noProof/>
                <w:lang w:val="bg-BG"/>
              </w:rPr>
            </w:pPr>
            <w:r w:rsidRPr="00782BF9">
              <w:rPr>
                <w:noProof/>
                <w:lang w:val="bg-BG"/>
              </w:rPr>
              <w:t>Базова линия</w:t>
            </w: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1E86B0C"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Цел</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C5F7CCE"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Тримесечие</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643E130" w14:textId="77777777" w:rsidR="00CE3BAD" w:rsidRPr="00782BF9" w:rsidRDefault="006B5475">
            <w:pPr>
              <w:pStyle w:val="P68B1DB1-Normal9"/>
              <w:spacing w:after="0" w:line="240" w:lineRule="auto"/>
              <w:jc w:val="center"/>
              <w:rPr>
                <w:rFonts w:eastAsia="Times New Roman"/>
                <w:noProof/>
                <w:lang w:val="bg-BG"/>
              </w:rPr>
            </w:pPr>
            <w:r w:rsidRPr="00782BF9">
              <w:rPr>
                <w:noProof/>
                <w:lang w:val="bg-BG"/>
              </w:rPr>
              <w:t>Година</w:t>
            </w:r>
          </w:p>
        </w:tc>
        <w:tc>
          <w:tcPr>
            <w:tcW w:w="4232" w:type="dxa"/>
            <w:vMerge/>
            <w:tcBorders>
              <w:top w:val="single" w:sz="4" w:space="0" w:color="auto"/>
              <w:bottom w:val="single" w:sz="4" w:space="0" w:color="auto"/>
              <w:right w:val="single" w:sz="4" w:space="0" w:color="auto"/>
            </w:tcBorders>
            <w:vAlign w:val="center"/>
            <w:hideMark/>
          </w:tcPr>
          <w:p w14:paraId="1522B15A" w14:textId="77777777" w:rsidR="00CE3BAD" w:rsidRPr="00782BF9" w:rsidRDefault="00CE3BAD">
            <w:pPr>
              <w:spacing w:after="0" w:line="240" w:lineRule="auto"/>
              <w:rPr>
                <w:rFonts w:eastAsia="Times New Roman" w:cstheme="minorHAnsi"/>
                <w:b/>
                <w:noProof/>
                <w:sz w:val="18"/>
                <w:lang w:val="bg-BG"/>
              </w:rPr>
            </w:pPr>
          </w:p>
        </w:tc>
      </w:tr>
      <w:tr w:rsidR="00CE3BAD" w:rsidRPr="00782BF9" w14:paraId="1A402EAB" w14:textId="77777777">
        <w:trPr>
          <w:trHeight w:val="1741"/>
          <w:jc w:val="center"/>
        </w:trPr>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BCEA514" w14:textId="38974294" w:rsidR="00CE3BAD" w:rsidRPr="00782BF9" w:rsidRDefault="006B5475">
            <w:pPr>
              <w:pStyle w:val="P68B1DB1-Normal10"/>
              <w:spacing w:after="0" w:line="240" w:lineRule="auto"/>
              <w:rPr>
                <w:rFonts w:eastAsia="Times New Roman"/>
                <w:noProof/>
                <w:lang w:val="bg-BG"/>
              </w:rPr>
            </w:pPr>
            <w:r w:rsidRPr="00782BF9">
              <w:rPr>
                <w:noProof/>
                <w:lang w:val="bg-BG"/>
              </w:rPr>
              <w:t>135</w:t>
            </w:r>
          </w:p>
        </w:tc>
        <w:tc>
          <w:tcPr>
            <w:tcW w:w="1843" w:type="dxa"/>
            <w:tcBorders>
              <w:top w:val="single" w:sz="4" w:space="0" w:color="auto"/>
              <w:left w:val="nil"/>
              <w:bottom w:val="single" w:sz="4" w:space="0" w:color="auto"/>
              <w:right w:val="single" w:sz="4" w:space="0" w:color="auto"/>
            </w:tcBorders>
            <w:shd w:val="clear" w:color="auto" w:fill="C6EFCE"/>
            <w:vAlign w:val="center"/>
            <w:hideMark/>
          </w:tcPr>
          <w:p w14:paraId="619FBF03" w14:textId="11F6E08C" w:rsidR="00CE3BAD" w:rsidRPr="00782BF9" w:rsidRDefault="006B5475">
            <w:pPr>
              <w:pStyle w:val="P68B1DB1-Normal10"/>
              <w:spacing w:after="0" w:line="240" w:lineRule="auto"/>
              <w:rPr>
                <w:rFonts w:eastAsia="Times New Roman"/>
                <w:noProof/>
                <w:lang w:val="bg-BG"/>
              </w:rPr>
            </w:pPr>
            <w:r w:rsidRPr="00782BF9">
              <w:rPr>
                <w:noProof/>
                <w:lang w:val="bg-BG"/>
              </w:rPr>
              <w:t>C7.R1 Вътрешно регулиране на прехода към кръгова икономика</w:t>
            </w:r>
          </w:p>
        </w:tc>
        <w:tc>
          <w:tcPr>
            <w:tcW w:w="1179" w:type="dxa"/>
            <w:tcBorders>
              <w:top w:val="single" w:sz="4" w:space="0" w:color="auto"/>
              <w:left w:val="nil"/>
              <w:bottom w:val="single" w:sz="4" w:space="0" w:color="auto"/>
              <w:right w:val="single" w:sz="4" w:space="0" w:color="auto"/>
            </w:tcBorders>
            <w:shd w:val="clear" w:color="auto" w:fill="C6EFCE"/>
            <w:vAlign w:val="center"/>
            <w:hideMark/>
          </w:tcPr>
          <w:p w14:paraId="486FD29F"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701" w:type="dxa"/>
            <w:tcBorders>
              <w:top w:val="single" w:sz="4" w:space="0" w:color="auto"/>
              <w:left w:val="nil"/>
              <w:bottom w:val="single" w:sz="4" w:space="0" w:color="auto"/>
              <w:right w:val="single" w:sz="4" w:space="0" w:color="auto"/>
            </w:tcBorders>
            <w:shd w:val="clear" w:color="auto" w:fill="C6EFCE"/>
            <w:vAlign w:val="center"/>
            <w:hideMark/>
          </w:tcPr>
          <w:p w14:paraId="04EFF342" w14:textId="77777777" w:rsidR="00CE3BAD" w:rsidRPr="00782BF9" w:rsidRDefault="006B5475">
            <w:pPr>
              <w:pStyle w:val="P68B1DB1-Normal10"/>
              <w:spacing w:after="0" w:line="240" w:lineRule="auto"/>
              <w:rPr>
                <w:rFonts w:eastAsia="Times New Roman"/>
                <w:noProof/>
                <w:lang w:val="bg-BG"/>
              </w:rPr>
            </w:pPr>
            <w:r w:rsidRPr="00782BF9">
              <w:rPr>
                <w:noProof/>
                <w:lang w:val="bg-BG"/>
              </w:rPr>
              <w:t>Приемане на националната стратегия за кръговата икономика и плана за действие, както и на националния план за управление на отпадъците</w:t>
            </w:r>
          </w:p>
        </w:tc>
        <w:tc>
          <w:tcPr>
            <w:tcW w:w="1418" w:type="dxa"/>
            <w:tcBorders>
              <w:top w:val="single" w:sz="4" w:space="0" w:color="auto"/>
              <w:left w:val="nil"/>
              <w:bottom w:val="single" w:sz="4" w:space="0" w:color="auto"/>
              <w:right w:val="single" w:sz="4" w:space="0" w:color="auto"/>
            </w:tcBorders>
            <w:shd w:val="clear" w:color="auto" w:fill="C6EFCE"/>
            <w:vAlign w:val="center"/>
            <w:hideMark/>
          </w:tcPr>
          <w:p w14:paraId="0453E81F" w14:textId="56223755" w:rsidR="00CE3BAD" w:rsidRPr="00782BF9" w:rsidRDefault="006B5475">
            <w:pPr>
              <w:pStyle w:val="P68B1DB1-Normal10"/>
              <w:spacing w:after="0" w:line="240" w:lineRule="auto"/>
              <w:rPr>
                <w:rFonts w:eastAsia="Times New Roman"/>
                <w:noProof/>
                <w:lang w:val="bg-BG"/>
              </w:rPr>
            </w:pPr>
            <w:r w:rsidRPr="00782BF9">
              <w:rPr>
                <w:noProof/>
                <w:lang w:val="bg-BG"/>
              </w:rPr>
              <w:t xml:space="preserve">Приемане на националната стратегия за кръговата икономика и плана за действие и на националния план за управление на отпадъците за периода 2021—27 г. </w:t>
            </w:r>
          </w:p>
        </w:tc>
        <w:tc>
          <w:tcPr>
            <w:tcW w:w="914" w:type="dxa"/>
            <w:tcBorders>
              <w:top w:val="single" w:sz="4" w:space="0" w:color="auto"/>
              <w:left w:val="nil"/>
              <w:bottom w:val="single" w:sz="4" w:space="0" w:color="auto"/>
              <w:right w:val="single" w:sz="4" w:space="0" w:color="auto"/>
            </w:tcBorders>
            <w:shd w:val="clear" w:color="auto" w:fill="C6EFCE"/>
            <w:vAlign w:val="center"/>
            <w:hideMark/>
          </w:tcPr>
          <w:p w14:paraId="21FCA922"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949" w:type="dxa"/>
            <w:tcBorders>
              <w:top w:val="single" w:sz="4" w:space="0" w:color="auto"/>
              <w:left w:val="nil"/>
              <w:bottom w:val="single" w:sz="4" w:space="0" w:color="auto"/>
              <w:right w:val="single" w:sz="4" w:space="0" w:color="auto"/>
            </w:tcBorders>
            <w:shd w:val="clear" w:color="auto" w:fill="C6EFCE"/>
            <w:vAlign w:val="center"/>
            <w:hideMark/>
          </w:tcPr>
          <w:p w14:paraId="74F135D8"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992" w:type="dxa"/>
            <w:tcBorders>
              <w:top w:val="single" w:sz="4" w:space="0" w:color="auto"/>
              <w:left w:val="nil"/>
              <w:bottom w:val="single" w:sz="4" w:space="0" w:color="auto"/>
              <w:right w:val="single" w:sz="4" w:space="0" w:color="auto"/>
            </w:tcBorders>
            <w:shd w:val="clear" w:color="auto" w:fill="C6EFCE"/>
            <w:vAlign w:val="center"/>
            <w:hideMark/>
          </w:tcPr>
          <w:p w14:paraId="64AB9E05"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850" w:type="dxa"/>
            <w:tcBorders>
              <w:top w:val="single" w:sz="4" w:space="0" w:color="auto"/>
              <w:left w:val="nil"/>
              <w:bottom w:val="single" w:sz="4" w:space="0" w:color="auto"/>
              <w:right w:val="single" w:sz="4" w:space="0" w:color="auto"/>
            </w:tcBorders>
            <w:shd w:val="clear" w:color="auto" w:fill="C6EFCE"/>
            <w:vAlign w:val="center"/>
            <w:hideMark/>
          </w:tcPr>
          <w:p w14:paraId="26DA1E14" w14:textId="77777777" w:rsidR="00CE3BAD" w:rsidRPr="00782BF9" w:rsidRDefault="006B5475">
            <w:pPr>
              <w:pStyle w:val="P68B1DB1-Normal10"/>
              <w:spacing w:after="0" w:line="240" w:lineRule="auto"/>
              <w:rPr>
                <w:rFonts w:eastAsia="Times New Roman"/>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vAlign w:val="center"/>
            <w:hideMark/>
          </w:tcPr>
          <w:p w14:paraId="18C0AD33"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232" w:type="dxa"/>
            <w:tcBorders>
              <w:top w:val="single" w:sz="4" w:space="0" w:color="auto"/>
              <w:left w:val="nil"/>
              <w:bottom w:val="single" w:sz="4" w:space="0" w:color="auto"/>
              <w:right w:val="single" w:sz="4" w:space="0" w:color="auto"/>
            </w:tcBorders>
            <w:shd w:val="clear" w:color="auto" w:fill="C6EFCE"/>
            <w:vAlign w:val="center"/>
            <w:hideMark/>
          </w:tcPr>
          <w:p w14:paraId="32C13F64" w14:textId="77777777" w:rsidR="00CE3BAD" w:rsidRPr="00782BF9" w:rsidRDefault="006B5475">
            <w:pPr>
              <w:pStyle w:val="P68B1DB1-Normal10"/>
              <w:spacing w:after="0" w:line="240" w:lineRule="auto"/>
              <w:rPr>
                <w:rFonts w:eastAsia="Times New Roman"/>
                <w:noProof/>
                <w:lang w:val="bg-BG"/>
              </w:rPr>
            </w:pPr>
            <w:r w:rsidRPr="00782BF9">
              <w:rPr>
                <w:noProof/>
                <w:lang w:val="bg-BG"/>
              </w:rPr>
              <w:t>Националната стратегия и план за действие за кръговата икономика (въз основа на окончателните препоръки на проекта по Инструмента за техническа подкрепа, изпълняван от ОИСР) представляват рамката за прехода към кръгова икономика и допринасят за постигането на целите на ЕС, особено по отношение на рециклирането на отпадъци.</w:t>
            </w:r>
          </w:p>
          <w:p w14:paraId="3AA9AC35" w14:textId="77777777" w:rsidR="00CE3BAD" w:rsidRPr="00782BF9" w:rsidRDefault="006B5475">
            <w:pPr>
              <w:pStyle w:val="P68B1DB1-Normal10"/>
              <w:spacing w:after="0" w:line="240" w:lineRule="auto"/>
              <w:rPr>
                <w:rFonts w:eastAsia="Times New Roman"/>
                <w:noProof/>
                <w:highlight w:val="yellow"/>
                <w:lang w:val="bg-BG"/>
              </w:rPr>
            </w:pPr>
            <w:r w:rsidRPr="00782BF9">
              <w:rPr>
                <w:noProof/>
                <w:lang w:val="bg-BG"/>
              </w:rPr>
              <w:t xml:space="preserve">Националният план за управление на отпадъците планира необходимите действия за постигане на целите по отношение на отпадъците, посочени в Директива 2008/98/ЕО относно отпадъците. Разработването на система за разделно събиране и увеличаването на процентите на третиране се отразяват в Националния план за управление на отпадъците, който регулира рамката за насърчаване на предотвратяването на образуването на отпадъци и стимулиране на връщането към по-широкия икономически цикъл, намаляване на количеството на депонираните отпадъци и намаляване на търсенето на първични суровини. </w:t>
            </w:r>
          </w:p>
        </w:tc>
      </w:tr>
      <w:tr w:rsidR="00CE3BAD" w:rsidRPr="00782BF9" w14:paraId="5349EB33" w14:textId="77777777">
        <w:trPr>
          <w:trHeight w:val="1690"/>
          <w:jc w:val="center"/>
        </w:trPr>
        <w:tc>
          <w:tcPr>
            <w:tcW w:w="1134" w:type="dxa"/>
            <w:tcBorders>
              <w:top w:val="nil"/>
              <w:left w:val="single" w:sz="4" w:space="0" w:color="auto"/>
              <w:bottom w:val="single" w:sz="4" w:space="0" w:color="auto"/>
              <w:right w:val="single" w:sz="4" w:space="0" w:color="auto"/>
            </w:tcBorders>
            <w:shd w:val="clear" w:color="auto" w:fill="C6EFCE"/>
            <w:vAlign w:val="center"/>
            <w:hideMark/>
          </w:tcPr>
          <w:p w14:paraId="2B4B1F8D" w14:textId="1140735A" w:rsidR="00CE3BAD" w:rsidRPr="00782BF9" w:rsidRDefault="006B5475">
            <w:pPr>
              <w:pStyle w:val="P68B1DB1-Normal10"/>
              <w:spacing w:after="0" w:line="240" w:lineRule="auto"/>
              <w:rPr>
                <w:rFonts w:eastAsia="Times New Roman"/>
                <w:noProof/>
                <w:lang w:val="bg-BG"/>
              </w:rPr>
            </w:pPr>
            <w:r w:rsidRPr="00782BF9">
              <w:rPr>
                <w:noProof/>
                <w:lang w:val="bg-BG"/>
              </w:rPr>
              <w:t>136</w:t>
            </w:r>
          </w:p>
        </w:tc>
        <w:tc>
          <w:tcPr>
            <w:tcW w:w="1843" w:type="dxa"/>
            <w:tcBorders>
              <w:top w:val="nil"/>
              <w:left w:val="nil"/>
              <w:bottom w:val="single" w:sz="4" w:space="0" w:color="auto"/>
              <w:right w:val="single" w:sz="4" w:space="0" w:color="auto"/>
            </w:tcBorders>
            <w:shd w:val="clear" w:color="auto" w:fill="C6EFCE"/>
            <w:vAlign w:val="center"/>
            <w:hideMark/>
          </w:tcPr>
          <w:p w14:paraId="7C063E5C" w14:textId="776AC7DD" w:rsidR="00CE3BAD" w:rsidRPr="00782BF9" w:rsidRDefault="006B5475">
            <w:pPr>
              <w:pStyle w:val="P68B1DB1-Normal10"/>
              <w:spacing w:after="0" w:line="240" w:lineRule="auto"/>
              <w:rPr>
                <w:rFonts w:eastAsia="Times New Roman"/>
                <w:noProof/>
                <w:lang w:val="bg-BG"/>
              </w:rPr>
            </w:pPr>
            <w:r w:rsidRPr="00782BF9">
              <w:rPr>
                <w:noProof/>
                <w:lang w:val="bg-BG"/>
              </w:rPr>
              <w:t>C7.R1 Вътрешно регулиране на прехода към кръгова икономика</w:t>
            </w:r>
          </w:p>
        </w:tc>
        <w:tc>
          <w:tcPr>
            <w:tcW w:w="1179" w:type="dxa"/>
            <w:tcBorders>
              <w:top w:val="nil"/>
              <w:left w:val="nil"/>
              <w:bottom w:val="single" w:sz="4" w:space="0" w:color="auto"/>
              <w:right w:val="single" w:sz="4" w:space="0" w:color="auto"/>
            </w:tcBorders>
            <w:shd w:val="clear" w:color="auto" w:fill="C6EFCE"/>
            <w:vAlign w:val="center"/>
            <w:hideMark/>
          </w:tcPr>
          <w:p w14:paraId="16933CF8" w14:textId="77777777" w:rsidR="00CE3BAD" w:rsidRPr="00782BF9" w:rsidRDefault="006B5475">
            <w:pPr>
              <w:pStyle w:val="P68B1DB1-Normal10"/>
              <w:spacing w:after="0" w:line="240" w:lineRule="auto"/>
              <w:rPr>
                <w:rFonts w:eastAsia="Times New Roman"/>
                <w:noProof/>
                <w:lang w:val="bg-BG"/>
              </w:rPr>
            </w:pPr>
            <w:r w:rsidRPr="00782BF9">
              <w:rPr>
                <w:noProof/>
                <w:lang w:val="bg-BG"/>
              </w:rPr>
              <w:t>Ключов етап</w:t>
            </w:r>
          </w:p>
        </w:tc>
        <w:tc>
          <w:tcPr>
            <w:tcW w:w="1701" w:type="dxa"/>
            <w:tcBorders>
              <w:top w:val="nil"/>
              <w:left w:val="nil"/>
              <w:bottom w:val="single" w:sz="4" w:space="0" w:color="auto"/>
              <w:right w:val="single" w:sz="4" w:space="0" w:color="auto"/>
            </w:tcBorders>
            <w:shd w:val="clear" w:color="auto" w:fill="C6EFCE"/>
            <w:vAlign w:val="center"/>
            <w:hideMark/>
          </w:tcPr>
          <w:p w14:paraId="2996BF27"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Влизане в сила на законодателните актове, необходими за привеждане в действие на практиката за управление на отпадъците </w:t>
            </w:r>
          </w:p>
        </w:tc>
        <w:tc>
          <w:tcPr>
            <w:tcW w:w="1418" w:type="dxa"/>
            <w:tcBorders>
              <w:top w:val="nil"/>
              <w:left w:val="nil"/>
              <w:bottom w:val="single" w:sz="4" w:space="0" w:color="auto"/>
              <w:right w:val="single" w:sz="4" w:space="0" w:color="auto"/>
            </w:tcBorders>
            <w:shd w:val="clear" w:color="auto" w:fill="C6EFCE"/>
            <w:vAlign w:val="center"/>
            <w:hideMark/>
          </w:tcPr>
          <w:p w14:paraId="172FF278" w14:textId="670AAA80" w:rsidR="00CE3BAD" w:rsidRPr="00782BF9" w:rsidRDefault="006B5475">
            <w:pPr>
              <w:pStyle w:val="P68B1DB1-Normal10"/>
              <w:spacing w:after="0" w:line="240" w:lineRule="auto"/>
              <w:rPr>
                <w:rFonts w:eastAsia="Times New Roman"/>
                <w:noProof/>
                <w:lang w:val="bg-BG"/>
              </w:rPr>
            </w:pPr>
            <w:r w:rsidRPr="00782BF9">
              <w:rPr>
                <w:rFonts w:ascii="Calibri" w:hAnsi="Calibri"/>
                <w:noProof/>
                <w:lang w:val="bg-BG"/>
              </w:rPr>
              <w:t xml:space="preserve">Разпоредба в законодателните актове, указваща съответното влизане </w:t>
            </w:r>
            <w:r w:rsidRPr="00782BF9">
              <w:rPr>
                <w:noProof/>
                <w:lang w:val="bg-BG"/>
              </w:rPr>
              <w:t>в сила</w:t>
            </w:r>
          </w:p>
        </w:tc>
        <w:tc>
          <w:tcPr>
            <w:tcW w:w="914" w:type="dxa"/>
            <w:tcBorders>
              <w:top w:val="nil"/>
              <w:left w:val="nil"/>
              <w:bottom w:val="single" w:sz="4" w:space="0" w:color="auto"/>
              <w:right w:val="single" w:sz="4" w:space="0" w:color="auto"/>
            </w:tcBorders>
            <w:shd w:val="clear" w:color="auto" w:fill="C6EFCE"/>
            <w:vAlign w:val="center"/>
            <w:hideMark/>
          </w:tcPr>
          <w:p w14:paraId="25759B05" w14:textId="77777777" w:rsidR="00CE3BAD" w:rsidRPr="00782BF9" w:rsidRDefault="00CE3BAD">
            <w:pPr>
              <w:spacing w:after="0" w:line="240" w:lineRule="auto"/>
              <w:rPr>
                <w:rFonts w:eastAsia="Times New Roman" w:cstheme="minorHAnsi"/>
                <w:noProof/>
                <w:sz w:val="18"/>
                <w:lang w:val="bg-BG"/>
              </w:rPr>
            </w:pPr>
          </w:p>
        </w:tc>
        <w:tc>
          <w:tcPr>
            <w:tcW w:w="949" w:type="dxa"/>
            <w:tcBorders>
              <w:top w:val="nil"/>
              <w:left w:val="nil"/>
              <w:bottom w:val="single" w:sz="4" w:space="0" w:color="auto"/>
              <w:right w:val="single" w:sz="4" w:space="0" w:color="auto"/>
            </w:tcBorders>
            <w:shd w:val="clear" w:color="auto" w:fill="C6EFCE"/>
            <w:vAlign w:val="center"/>
            <w:hideMark/>
          </w:tcPr>
          <w:p w14:paraId="2BC8D5DA" w14:textId="77777777" w:rsidR="00CE3BAD" w:rsidRPr="00782BF9" w:rsidRDefault="00CE3BAD">
            <w:pPr>
              <w:spacing w:after="0" w:line="240" w:lineRule="auto"/>
              <w:rPr>
                <w:rFonts w:cstheme="minorHAnsi"/>
                <w:noProof/>
                <w:sz w:val="18"/>
                <w:lang w:val="bg-BG"/>
              </w:rPr>
            </w:pPr>
          </w:p>
        </w:tc>
        <w:tc>
          <w:tcPr>
            <w:tcW w:w="992" w:type="dxa"/>
            <w:tcBorders>
              <w:top w:val="nil"/>
              <w:left w:val="nil"/>
              <w:bottom w:val="single" w:sz="4" w:space="0" w:color="auto"/>
              <w:right w:val="single" w:sz="4" w:space="0" w:color="auto"/>
            </w:tcBorders>
            <w:shd w:val="clear" w:color="auto" w:fill="C6EFCE"/>
            <w:vAlign w:val="center"/>
            <w:hideMark/>
          </w:tcPr>
          <w:p w14:paraId="52C0C72A" w14:textId="77777777" w:rsidR="00CE3BAD" w:rsidRPr="00782BF9" w:rsidRDefault="00CE3BAD">
            <w:pPr>
              <w:spacing w:after="0" w:line="240" w:lineRule="auto"/>
              <w:rPr>
                <w:rFonts w:cstheme="minorHAnsi"/>
                <w:noProof/>
                <w:sz w:val="18"/>
                <w:lang w:val="bg-BG"/>
              </w:rPr>
            </w:pPr>
          </w:p>
        </w:tc>
        <w:tc>
          <w:tcPr>
            <w:tcW w:w="850" w:type="dxa"/>
            <w:tcBorders>
              <w:top w:val="nil"/>
              <w:left w:val="nil"/>
              <w:bottom w:val="single" w:sz="4" w:space="0" w:color="auto"/>
              <w:right w:val="single" w:sz="4" w:space="0" w:color="auto"/>
            </w:tcBorders>
            <w:shd w:val="clear" w:color="auto" w:fill="C6EFCE"/>
            <w:vAlign w:val="center"/>
            <w:hideMark/>
          </w:tcPr>
          <w:p w14:paraId="48A56E39" w14:textId="77777777" w:rsidR="00CE3BAD" w:rsidRPr="00782BF9" w:rsidRDefault="006B5475">
            <w:pPr>
              <w:pStyle w:val="P68B1DB1-Normal10"/>
              <w:spacing w:after="0" w:line="240" w:lineRule="auto"/>
              <w:rPr>
                <w:rFonts w:eastAsia="Times New Roman"/>
                <w:noProof/>
                <w:lang w:val="bg-BG"/>
              </w:rPr>
            </w:pPr>
            <w:r w:rsidRPr="00782BF9">
              <w:rPr>
                <w:noProof/>
                <w:lang w:val="bg-BG"/>
              </w:rPr>
              <w:t>Т3 Г.</w:t>
            </w:r>
          </w:p>
        </w:tc>
        <w:tc>
          <w:tcPr>
            <w:tcW w:w="709" w:type="dxa"/>
            <w:tcBorders>
              <w:top w:val="nil"/>
              <w:left w:val="nil"/>
              <w:bottom w:val="single" w:sz="4" w:space="0" w:color="auto"/>
              <w:right w:val="single" w:sz="4" w:space="0" w:color="auto"/>
            </w:tcBorders>
            <w:shd w:val="clear" w:color="auto" w:fill="C6EFCE"/>
            <w:vAlign w:val="center"/>
            <w:hideMark/>
          </w:tcPr>
          <w:p w14:paraId="0D8263FE" w14:textId="77777777" w:rsidR="00CE3BAD" w:rsidRPr="00782BF9" w:rsidRDefault="006B5475">
            <w:pPr>
              <w:pStyle w:val="P68B1DB1-Normal10"/>
              <w:spacing w:after="0" w:line="240" w:lineRule="auto"/>
              <w:rPr>
                <w:rFonts w:eastAsia="Times New Roman"/>
                <w:noProof/>
                <w:lang w:val="bg-BG"/>
              </w:rPr>
            </w:pPr>
            <w:r w:rsidRPr="00782BF9">
              <w:rPr>
                <w:noProof/>
                <w:lang w:val="bg-BG"/>
              </w:rPr>
              <w:t>2023</w:t>
            </w:r>
          </w:p>
        </w:tc>
        <w:tc>
          <w:tcPr>
            <w:tcW w:w="4232" w:type="dxa"/>
            <w:tcBorders>
              <w:top w:val="nil"/>
              <w:left w:val="nil"/>
              <w:bottom w:val="single" w:sz="4" w:space="0" w:color="auto"/>
              <w:right w:val="single" w:sz="4" w:space="0" w:color="auto"/>
            </w:tcBorders>
            <w:shd w:val="clear" w:color="auto" w:fill="C6EFCE"/>
            <w:vAlign w:val="center"/>
            <w:hideMark/>
          </w:tcPr>
          <w:p w14:paraId="6EC0CA74" w14:textId="502BB12E" w:rsidR="00CE3BAD" w:rsidRPr="00782BF9" w:rsidRDefault="006B5475">
            <w:pPr>
              <w:pStyle w:val="P68B1DB1-Normal10"/>
              <w:spacing w:after="0" w:line="240" w:lineRule="auto"/>
              <w:rPr>
                <w:rFonts w:eastAsia="Times New Roman"/>
                <w:noProof/>
                <w:lang w:val="bg-BG"/>
              </w:rPr>
            </w:pPr>
            <w:r w:rsidRPr="00782BF9">
              <w:rPr>
                <w:noProof/>
                <w:lang w:val="bg-BG"/>
              </w:rPr>
              <w:t xml:space="preserve">Законодателството влиза в сила за: </w:t>
            </w:r>
          </w:p>
          <w:p w14:paraId="34E5DB0A" w14:textId="502BB12E" w:rsidR="00CE3BAD" w:rsidRPr="00782BF9" w:rsidRDefault="006B5475">
            <w:pPr>
              <w:pStyle w:val="P68B1DB1-ListParagraph11"/>
              <w:numPr>
                <w:ilvl w:val="0"/>
                <w:numId w:val="10"/>
              </w:numPr>
              <w:spacing w:after="0" w:line="240" w:lineRule="auto"/>
              <w:rPr>
                <w:rFonts w:eastAsia="Times New Roman"/>
                <w:noProof/>
                <w:lang w:val="bg-BG"/>
              </w:rPr>
            </w:pPr>
            <w:r w:rsidRPr="00782BF9">
              <w:rPr>
                <w:noProof/>
                <w:lang w:val="bg-BG"/>
              </w:rPr>
              <w:t>Създаването и подробните правила на депозитната система за бутилки за напитки;</w:t>
            </w:r>
          </w:p>
          <w:p w14:paraId="59DB70B3" w14:textId="502BB12E" w:rsidR="00CE3BAD" w:rsidRPr="00782BF9" w:rsidRDefault="006B5475">
            <w:pPr>
              <w:pStyle w:val="P68B1DB1-ListParagraph11"/>
              <w:numPr>
                <w:ilvl w:val="0"/>
                <w:numId w:val="10"/>
              </w:numPr>
              <w:spacing w:after="0" w:line="240" w:lineRule="auto"/>
              <w:rPr>
                <w:rFonts w:eastAsia="Times New Roman"/>
                <w:noProof/>
                <w:lang w:val="bg-BG"/>
              </w:rPr>
            </w:pPr>
            <w:r w:rsidRPr="00782BF9">
              <w:rPr>
                <w:noProof/>
                <w:lang w:val="bg-BG"/>
              </w:rPr>
              <w:t>Създаване на орган за управление на отпадъците с цел рационализиране на сектора на управление на отпадъците;</w:t>
            </w:r>
          </w:p>
          <w:p w14:paraId="62B5879D" w14:textId="502BB12E" w:rsidR="00CE3BAD" w:rsidRPr="00782BF9" w:rsidRDefault="006B5475">
            <w:pPr>
              <w:pStyle w:val="P68B1DB1-ListParagraph11"/>
              <w:numPr>
                <w:ilvl w:val="0"/>
                <w:numId w:val="10"/>
              </w:numPr>
              <w:spacing w:after="0" w:line="240" w:lineRule="auto"/>
              <w:rPr>
                <w:rFonts w:eastAsia="Times New Roman"/>
                <w:noProof/>
                <w:lang w:val="bg-BG"/>
              </w:rPr>
            </w:pPr>
            <w:r w:rsidRPr="00782BF9">
              <w:rPr>
                <w:noProof/>
                <w:lang w:val="bg-BG"/>
              </w:rPr>
              <w:t>Намаляване на въздействието върху околната среда на определени пластмасови продукти (регулиране на определени пластмасови продукти за еднократна употреба);</w:t>
            </w:r>
          </w:p>
          <w:p w14:paraId="3633E732" w14:textId="31E270C5" w:rsidR="00CE3BAD" w:rsidRPr="00782BF9" w:rsidRDefault="006B5475">
            <w:pPr>
              <w:pStyle w:val="P68B1DB1-ListParagraph11"/>
              <w:numPr>
                <w:ilvl w:val="0"/>
                <w:numId w:val="10"/>
              </w:numPr>
              <w:spacing w:after="0" w:line="240" w:lineRule="auto"/>
              <w:rPr>
                <w:rFonts w:eastAsia="Times New Roman"/>
                <w:noProof/>
                <w:lang w:val="bg-BG"/>
              </w:rPr>
            </w:pPr>
            <w:r w:rsidRPr="00782BF9">
              <w:rPr>
                <w:noProof/>
                <w:lang w:val="bg-BG"/>
              </w:rPr>
              <w:t>Правилата за разширената отговорност на производителя;</w:t>
            </w:r>
          </w:p>
          <w:p w14:paraId="16123362" w14:textId="301C0E90" w:rsidR="00CE3BAD" w:rsidRPr="00782BF9" w:rsidRDefault="006B5475">
            <w:pPr>
              <w:pStyle w:val="P68B1DB1-ListParagraph11"/>
              <w:numPr>
                <w:ilvl w:val="0"/>
                <w:numId w:val="10"/>
              </w:numPr>
              <w:spacing w:after="0" w:line="240" w:lineRule="auto"/>
              <w:rPr>
                <w:rFonts w:eastAsia="Times New Roman" w:cstheme="minorHAnsi"/>
                <w:noProof/>
                <w:lang w:val="bg-BG"/>
              </w:rPr>
            </w:pPr>
            <w:r w:rsidRPr="00782BF9">
              <w:rPr>
                <w:noProof/>
                <w:lang w:val="bg-BG"/>
              </w:rPr>
              <w:t xml:space="preserve">Законодателство, предоставящо доказателство за отстраняването на изоставени отпадъци от недвижимо имущество и за транспортирането им до подходящо място за третиране на отпадъците. </w:t>
            </w:r>
          </w:p>
        </w:tc>
      </w:tr>
      <w:tr w:rsidR="00CE3BAD" w:rsidRPr="00782BF9" w14:paraId="5B8DDD10" w14:textId="77777777">
        <w:trPr>
          <w:trHeight w:val="3341"/>
          <w:jc w:val="center"/>
        </w:trPr>
        <w:tc>
          <w:tcPr>
            <w:tcW w:w="1134" w:type="dxa"/>
            <w:tcBorders>
              <w:top w:val="nil"/>
              <w:left w:val="single" w:sz="4" w:space="0" w:color="auto"/>
              <w:bottom w:val="single" w:sz="4" w:space="0" w:color="auto"/>
              <w:right w:val="single" w:sz="4" w:space="0" w:color="auto"/>
            </w:tcBorders>
            <w:shd w:val="clear" w:color="auto" w:fill="C6EFCE"/>
            <w:vAlign w:val="center"/>
          </w:tcPr>
          <w:p w14:paraId="780178C3" w14:textId="240E00CE" w:rsidR="00CE3BAD" w:rsidRPr="00782BF9" w:rsidRDefault="006B5475">
            <w:pPr>
              <w:pStyle w:val="P68B1DB1-Normal10"/>
              <w:spacing w:line="240" w:lineRule="auto"/>
              <w:rPr>
                <w:rFonts w:eastAsia="Times New Roman"/>
                <w:noProof/>
                <w:lang w:val="bg-BG"/>
              </w:rPr>
            </w:pPr>
            <w:r w:rsidRPr="00782BF9">
              <w:rPr>
                <w:noProof/>
                <w:lang w:val="bg-BG"/>
              </w:rPr>
              <w:t>372</w:t>
            </w:r>
          </w:p>
        </w:tc>
        <w:tc>
          <w:tcPr>
            <w:tcW w:w="1843" w:type="dxa"/>
            <w:tcBorders>
              <w:top w:val="nil"/>
              <w:left w:val="nil"/>
              <w:bottom w:val="single" w:sz="4" w:space="0" w:color="auto"/>
              <w:right w:val="single" w:sz="4" w:space="0" w:color="auto"/>
            </w:tcBorders>
            <w:shd w:val="clear" w:color="auto" w:fill="C6EFCE"/>
            <w:vAlign w:val="center"/>
          </w:tcPr>
          <w:p w14:paraId="6B82CEDE" w14:textId="1011CBAA" w:rsidR="00CE3BAD" w:rsidRPr="00782BF9" w:rsidRDefault="006B5475">
            <w:pPr>
              <w:pStyle w:val="P68B1DB1-Normal10"/>
              <w:spacing w:line="240" w:lineRule="auto"/>
              <w:rPr>
                <w:rFonts w:eastAsia="Times New Roman"/>
                <w:noProof/>
                <w:lang w:val="bg-BG"/>
              </w:rPr>
            </w:pPr>
            <w:r w:rsidRPr="00782BF9">
              <w:rPr>
                <w:noProof/>
                <w:lang w:val="bg-BG"/>
              </w:rPr>
              <w:t>C7.R2: Повишаване на осведомеността</w:t>
            </w:r>
          </w:p>
        </w:tc>
        <w:tc>
          <w:tcPr>
            <w:tcW w:w="1179" w:type="dxa"/>
            <w:tcBorders>
              <w:top w:val="single" w:sz="4" w:space="0" w:color="auto"/>
              <w:left w:val="nil"/>
              <w:bottom w:val="single" w:sz="4" w:space="0" w:color="auto"/>
              <w:right w:val="single" w:sz="4" w:space="0" w:color="auto"/>
            </w:tcBorders>
            <w:shd w:val="clear" w:color="auto" w:fill="C6EFCE"/>
            <w:vAlign w:val="center"/>
          </w:tcPr>
          <w:p w14:paraId="14470892" w14:textId="58D86733" w:rsidR="00CE3BAD" w:rsidRPr="00782BF9" w:rsidRDefault="006B5475">
            <w:pPr>
              <w:pStyle w:val="P68B1DB1-Normal10"/>
              <w:spacing w:line="240" w:lineRule="auto"/>
              <w:rPr>
                <w:rFonts w:eastAsia="Times New Roman"/>
                <w:noProof/>
                <w:lang w:val="bg-BG"/>
              </w:rPr>
            </w:pPr>
            <w:r w:rsidRPr="00782BF9">
              <w:rPr>
                <w:noProof/>
                <w:lang w:val="bg-BG"/>
              </w:rPr>
              <w:t>Ключов етап</w:t>
            </w:r>
          </w:p>
        </w:tc>
        <w:tc>
          <w:tcPr>
            <w:tcW w:w="1701" w:type="dxa"/>
            <w:tcBorders>
              <w:top w:val="nil"/>
              <w:left w:val="nil"/>
              <w:bottom w:val="single" w:sz="4" w:space="0" w:color="auto"/>
              <w:right w:val="single" w:sz="4" w:space="0" w:color="auto"/>
            </w:tcBorders>
            <w:shd w:val="clear" w:color="auto" w:fill="C6EFCE"/>
            <w:vAlign w:val="center"/>
          </w:tcPr>
          <w:p w14:paraId="04208E80" w14:textId="00FBFA61" w:rsidR="00CE3BAD" w:rsidRPr="00782BF9" w:rsidRDefault="006B5475">
            <w:pPr>
              <w:pStyle w:val="P68B1DB1-Normal10"/>
              <w:spacing w:line="240" w:lineRule="auto"/>
              <w:rPr>
                <w:rFonts w:eastAsia="Times New Roman"/>
                <w:noProof/>
                <w:lang w:val="bg-BG"/>
              </w:rPr>
            </w:pPr>
            <w:r w:rsidRPr="00782BF9">
              <w:rPr>
                <w:noProof/>
                <w:lang w:val="bg-BG"/>
              </w:rPr>
              <w:t>Приемане на план за действие за разработване на комуникационна стратегия</w:t>
            </w:r>
          </w:p>
        </w:tc>
        <w:tc>
          <w:tcPr>
            <w:tcW w:w="1418" w:type="dxa"/>
            <w:tcBorders>
              <w:top w:val="single" w:sz="4" w:space="0" w:color="auto"/>
              <w:left w:val="nil"/>
              <w:bottom w:val="single" w:sz="4" w:space="0" w:color="auto"/>
              <w:right w:val="single" w:sz="4" w:space="0" w:color="auto"/>
            </w:tcBorders>
            <w:shd w:val="clear" w:color="auto" w:fill="C6EFCE"/>
            <w:vAlign w:val="center"/>
          </w:tcPr>
          <w:p w14:paraId="70078696" w14:textId="5DC10F76" w:rsidR="00CE3BAD" w:rsidRPr="00782BF9" w:rsidRDefault="006B5475">
            <w:pPr>
              <w:pStyle w:val="P68B1DB1-Normal10"/>
              <w:rPr>
                <w:rFonts w:eastAsia="Times New Roman"/>
                <w:noProof/>
                <w:lang w:val="bg-BG"/>
              </w:rPr>
            </w:pPr>
            <w:r w:rsidRPr="00782BF9">
              <w:rPr>
                <w:noProof/>
                <w:lang w:val="bg-BG"/>
              </w:rPr>
              <w:t>Приемане на план за действие за разработване на комуникационна стратегия</w:t>
            </w:r>
          </w:p>
        </w:tc>
        <w:tc>
          <w:tcPr>
            <w:tcW w:w="914" w:type="dxa"/>
            <w:tcBorders>
              <w:top w:val="nil"/>
              <w:left w:val="nil"/>
              <w:bottom w:val="single" w:sz="4" w:space="0" w:color="auto"/>
              <w:right w:val="single" w:sz="4" w:space="0" w:color="auto"/>
            </w:tcBorders>
            <w:shd w:val="clear" w:color="auto" w:fill="C6EFCE"/>
            <w:vAlign w:val="center"/>
          </w:tcPr>
          <w:p w14:paraId="6BC30A45" w14:textId="77777777" w:rsidR="00CE3BAD" w:rsidRPr="00782BF9" w:rsidRDefault="00CE3BAD">
            <w:pPr>
              <w:spacing w:line="240" w:lineRule="auto"/>
              <w:rPr>
                <w:rFonts w:eastAsia="Times New Roman"/>
                <w:noProof/>
                <w:sz w:val="18"/>
                <w:lang w:val="bg-BG"/>
              </w:rPr>
            </w:pPr>
          </w:p>
        </w:tc>
        <w:tc>
          <w:tcPr>
            <w:tcW w:w="949" w:type="dxa"/>
            <w:tcBorders>
              <w:top w:val="nil"/>
              <w:left w:val="nil"/>
              <w:bottom w:val="single" w:sz="4" w:space="0" w:color="auto"/>
              <w:right w:val="single" w:sz="4" w:space="0" w:color="auto"/>
            </w:tcBorders>
            <w:shd w:val="clear" w:color="auto" w:fill="C6EFCE"/>
            <w:vAlign w:val="center"/>
          </w:tcPr>
          <w:p w14:paraId="346DFAEB" w14:textId="77777777" w:rsidR="00CE3BAD" w:rsidRPr="00782BF9" w:rsidRDefault="00CE3BAD">
            <w:pPr>
              <w:spacing w:line="240" w:lineRule="auto"/>
              <w:rPr>
                <w:rFonts w:eastAsia="Times New Roman"/>
                <w:noProof/>
                <w:sz w:val="18"/>
                <w:lang w:val="bg-BG"/>
              </w:rPr>
            </w:pPr>
          </w:p>
        </w:tc>
        <w:tc>
          <w:tcPr>
            <w:tcW w:w="992" w:type="dxa"/>
            <w:tcBorders>
              <w:top w:val="nil"/>
              <w:left w:val="nil"/>
              <w:bottom w:val="single" w:sz="4" w:space="0" w:color="auto"/>
              <w:right w:val="single" w:sz="4" w:space="0" w:color="auto"/>
            </w:tcBorders>
            <w:shd w:val="clear" w:color="auto" w:fill="C6EFCE"/>
            <w:vAlign w:val="center"/>
          </w:tcPr>
          <w:p w14:paraId="7A3FDAF7" w14:textId="77777777" w:rsidR="00CE3BAD" w:rsidRPr="00782BF9" w:rsidRDefault="00CE3BAD">
            <w:pPr>
              <w:spacing w:line="240" w:lineRule="auto"/>
              <w:rPr>
                <w:rFonts w:eastAsia="Times New Roman"/>
                <w:noProof/>
                <w:sz w:val="18"/>
                <w:lang w:val="bg-BG"/>
              </w:rPr>
            </w:pPr>
          </w:p>
        </w:tc>
        <w:tc>
          <w:tcPr>
            <w:tcW w:w="850" w:type="dxa"/>
            <w:tcBorders>
              <w:top w:val="nil"/>
              <w:left w:val="nil"/>
              <w:bottom w:val="single" w:sz="4" w:space="0" w:color="auto"/>
              <w:right w:val="single" w:sz="4" w:space="0" w:color="auto"/>
            </w:tcBorders>
            <w:shd w:val="clear" w:color="auto" w:fill="C6EFCE"/>
            <w:vAlign w:val="center"/>
          </w:tcPr>
          <w:p w14:paraId="7EC02E83" w14:textId="527B12DC" w:rsidR="00CE3BAD" w:rsidRPr="00782BF9" w:rsidRDefault="006B5475">
            <w:pPr>
              <w:pStyle w:val="P68B1DB1-Normal10"/>
              <w:spacing w:line="240" w:lineRule="auto"/>
              <w:rPr>
                <w:rFonts w:eastAsia="Times New Roman"/>
                <w:noProof/>
                <w:lang w:val="bg-BG"/>
              </w:rPr>
            </w:pPr>
            <w:r w:rsidRPr="00782BF9">
              <w:rPr>
                <w:noProof/>
                <w:lang w:val="bg-BG"/>
              </w:rPr>
              <w:t>Т4 Г.</w:t>
            </w:r>
          </w:p>
        </w:tc>
        <w:tc>
          <w:tcPr>
            <w:tcW w:w="709" w:type="dxa"/>
            <w:tcBorders>
              <w:top w:val="nil"/>
              <w:left w:val="nil"/>
              <w:bottom w:val="single" w:sz="4" w:space="0" w:color="auto"/>
              <w:right w:val="single" w:sz="4" w:space="0" w:color="auto"/>
            </w:tcBorders>
            <w:shd w:val="clear" w:color="auto" w:fill="C6EFCE"/>
            <w:vAlign w:val="center"/>
          </w:tcPr>
          <w:p w14:paraId="2DC5504D" w14:textId="568F63ED" w:rsidR="00CE3BAD" w:rsidRPr="00782BF9" w:rsidRDefault="006B5475">
            <w:pPr>
              <w:pStyle w:val="P68B1DB1-Normal10"/>
              <w:spacing w:line="240" w:lineRule="auto"/>
              <w:rPr>
                <w:rFonts w:eastAsia="Times New Roman"/>
                <w:noProof/>
                <w:lang w:val="bg-BG"/>
              </w:rPr>
            </w:pPr>
            <w:r w:rsidRPr="00782BF9">
              <w:rPr>
                <w:noProof/>
                <w:lang w:val="bg-BG"/>
              </w:rPr>
              <w:t>2024</w:t>
            </w:r>
          </w:p>
        </w:tc>
        <w:tc>
          <w:tcPr>
            <w:tcW w:w="4232" w:type="dxa"/>
            <w:tcBorders>
              <w:top w:val="nil"/>
              <w:left w:val="nil"/>
              <w:bottom w:val="single" w:sz="4" w:space="0" w:color="auto"/>
              <w:right w:val="single" w:sz="4" w:space="0" w:color="auto"/>
            </w:tcBorders>
            <w:shd w:val="clear" w:color="auto" w:fill="C6EFCE"/>
            <w:vAlign w:val="center"/>
          </w:tcPr>
          <w:p w14:paraId="05A6656E" w14:textId="5937F2AF" w:rsidR="00CE3BAD" w:rsidRPr="00782BF9" w:rsidRDefault="006B5475">
            <w:pPr>
              <w:pStyle w:val="P68B1DB1-Normal10"/>
              <w:jc w:val="both"/>
              <w:rPr>
                <w:rFonts w:eastAsia="Times New Roman"/>
                <w:noProof/>
                <w:lang w:val="bg-BG"/>
              </w:rPr>
            </w:pPr>
            <w:r w:rsidRPr="00782BF9">
              <w:rPr>
                <w:noProof/>
                <w:lang w:val="bg-BG"/>
              </w:rPr>
              <w:t>Приема се национален план за действие в областта на комуникацията, в който се планират необходимите стъпки и срокове за разработване на комуникационна стратегия за подкрепа на изпълнението на местните мерки за повишаване на осведомеността. Националната комуникационна стратегия предоставя комуникационна рамка, която допълва и предоставя насоки за местните мерки за повишаване на осведомеността с цел информиране на широката общественост относно по-високите нива на йерархията на отпадъците (1) предотвратяване, 2) повторна употреба, 3) рециклиране. Националната комуникационна стратегия също така поставя специален акцент върху биологичните отпадъци, домашното компостиране и разделянето на отпадъците.</w:t>
            </w:r>
          </w:p>
        </w:tc>
      </w:tr>
      <w:tr w:rsidR="00CE3BAD" w:rsidRPr="00782BF9" w14:paraId="5A35D077" w14:textId="77777777">
        <w:trPr>
          <w:trHeight w:val="1852"/>
          <w:jc w:val="center"/>
        </w:trPr>
        <w:tc>
          <w:tcPr>
            <w:tcW w:w="1134" w:type="dxa"/>
            <w:tcBorders>
              <w:top w:val="nil"/>
              <w:left w:val="single" w:sz="4" w:space="0" w:color="auto"/>
              <w:bottom w:val="single" w:sz="4" w:space="0" w:color="auto"/>
              <w:right w:val="single" w:sz="4" w:space="0" w:color="auto"/>
            </w:tcBorders>
            <w:shd w:val="clear" w:color="auto" w:fill="C6EFCE"/>
            <w:vAlign w:val="center"/>
          </w:tcPr>
          <w:p w14:paraId="10E5DF76" w14:textId="18404599" w:rsidR="00CE3BAD" w:rsidRPr="00782BF9" w:rsidRDefault="006B5475">
            <w:pPr>
              <w:pStyle w:val="P68B1DB1-Normal10"/>
              <w:spacing w:line="240" w:lineRule="auto"/>
              <w:rPr>
                <w:rFonts w:eastAsia="Times New Roman"/>
                <w:noProof/>
                <w:lang w:val="bg-BG"/>
              </w:rPr>
            </w:pPr>
            <w:r w:rsidRPr="00782BF9">
              <w:rPr>
                <w:noProof/>
                <w:lang w:val="bg-BG"/>
              </w:rPr>
              <w:t>373</w:t>
            </w:r>
          </w:p>
        </w:tc>
        <w:tc>
          <w:tcPr>
            <w:tcW w:w="1843" w:type="dxa"/>
            <w:tcBorders>
              <w:top w:val="nil"/>
              <w:left w:val="nil"/>
              <w:bottom w:val="single" w:sz="4" w:space="0" w:color="auto"/>
              <w:right w:val="single" w:sz="4" w:space="0" w:color="auto"/>
            </w:tcBorders>
            <w:shd w:val="clear" w:color="auto" w:fill="C6EFCE"/>
            <w:vAlign w:val="center"/>
          </w:tcPr>
          <w:p w14:paraId="5DBA6D6F" w14:textId="2461C823" w:rsidR="00CE3BAD" w:rsidRPr="00782BF9" w:rsidRDefault="006B5475">
            <w:pPr>
              <w:pStyle w:val="P68B1DB1-Normal10"/>
              <w:spacing w:line="240" w:lineRule="auto"/>
              <w:rPr>
                <w:rFonts w:eastAsia="Times New Roman"/>
                <w:noProof/>
                <w:lang w:val="bg-BG"/>
              </w:rPr>
            </w:pPr>
            <w:r w:rsidRPr="00782BF9">
              <w:rPr>
                <w:noProof/>
                <w:lang w:val="bg-BG"/>
              </w:rPr>
              <w:t>C7.R2: Повишаване на осведомеността</w:t>
            </w:r>
          </w:p>
        </w:tc>
        <w:tc>
          <w:tcPr>
            <w:tcW w:w="1179" w:type="dxa"/>
            <w:tcBorders>
              <w:top w:val="nil"/>
              <w:left w:val="nil"/>
              <w:bottom w:val="single" w:sz="4" w:space="0" w:color="auto"/>
              <w:right w:val="single" w:sz="4" w:space="0" w:color="auto"/>
            </w:tcBorders>
            <w:shd w:val="clear" w:color="auto" w:fill="C6EFCE"/>
            <w:vAlign w:val="center"/>
          </w:tcPr>
          <w:p w14:paraId="540524AC" w14:textId="5647A56E" w:rsidR="00CE3BAD" w:rsidRPr="00782BF9" w:rsidRDefault="006B5475">
            <w:pPr>
              <w:pStyle w:val="P68B1DB1-Normal10"/>
              <w:spacing w:line="240" w:lineRule="auto"/>
              <w:rPr>
                <w:rFonts w:eastAsia="Times New Roman"/>
                <w:noProof/>
                <w:lang w:val="bg-BG"/>
              </w:rPr>
            </w:pPr>
            <w:r w:rsidRPr="00782BF9">
              <w:rPr>
                <w:noProof/>
                <w:lang w:val="bg-BG"/>
              </w:rPr>
              <w:t>Ключов етап</w:t>
            </w:r>
          </w:p>
        </w:tc>
        <w:tc>
          <w:tcPr>
            <w:tcW w:w="1701" w:type="dxa"/>
            <w:tcBorders>
              <w:top w:val="nil"/>
              <w:left w:val="nil"/>
              <w:bottom w:val="single" w:sz="4" w:space="0" w:color="auto"/>
              <w:right w:val="single" w:sz="4" w:space="0" w:color="auto"/>
            </w:tcBorders>
            <w:shd w:val="clear" w:color="auto" w:fill="C6EFCE"/>
            <w:vAlign w:val="center"/>
          </w:tcPr>
          <w:p w14:paraId="645CC328" w14:textId="15A24814" w:rsidR="00CE3BAD" w:rsidRPr="00782BF9" w:rsidRDefault="006B5475">
            <w:pPr>
              <w:pStyle w:val="P68B1DB1-Normal10"/>
              <w:spacing w:line="240" w:lineRule="auto"/>
              <w:rPr>
                <w:rFonts w:eastAsia="Times New Roman"/>
                <w:noProof/>
                <w:lang w:val="bg-BG"/>
              </w:rPr>
            </w:pPr>
            <w:r w:rsidRPr="00782BF9">
              <w:rPr>
                <w:noProof/>
                <w:lang w:val="bg-BG"/>
              </w:rPr>
              <w:t>Комуникационната стратегия е приета</w:t>
            </w:r>
          </w:p>
        </w:tc>
        <w:tc>
          <w:tcPr>
            <w:tcW w:w="1418" w:type="dxa"/>
            <w:tcBorders>
              <w:top w:val="single" w:sz="4" w:space="0" w:color="auto"/>
              <w:left w:val="nil"/>
              <w:bottom w:val="single" w:sz="4" w:space="0" w:color="auto"/>
              <w:right w:val="single" w:sz="4" w:space="0" w:color="auto"/>
            </w:tcBorders>
            <w:shd w:val="clear" w:color="auto" w:fill="C6EFCE"/>
            <w:vAlign w:val="center"/>
          </w:tcPr>
          <w:p w14:paraId="55B7CC37" w14:textId="0DB3D5F3" w:rsidR="00CE3BAD" w:rsidRPr="00782BF9" w:rsidRDefault="006B5475">
            <w:pPr>
              <w:pStyle w:val="P68B1DB1-Normal10"/>
              <w:rPr>
                <w:rFonts w:eastAsia="Times New Roman"/>
                <w:noProof/>
                <w:lang w:val="bg-BG"/>
              </w:rPr>
            </w:pPr>
            <w:r w:rsidRPr="00782BF9">
              <w:rPr>
                <w:noProof/>
                <w:lang w:val="bg-BG"/>
              </w:rPr>
              <w:t>Комуникационната стратегия е приета</w:t>
            </w:r>
          </w:p>
        </w:tc>
        <w:tc>
          <w:tcPr>
            <w:tcW w:w="914" w:type="dxa"/>
            <w:tcBorders>
              <w:top w:val="nil"/>
              <w:left w:val="nil"/>
              <w:bottom w:val="single" w:sz="4" w:space="0" w:color="auto"/>
              <w:right w:val="single" w:sz="4" w:space="0" w:color="auto"/>
            </w:tcBorders>
            <w:shd w:val="clear" w:color="auto" w:fill="C6EFCE"/>
            <w:vAlign w:val="center"/>
          </w:tcPr>
          <w:p w14:paraId="07224F66" w14:textId="77777777" w:rsidR="00CE3BAD" w:rsidRPr="00782BF9" w:rsidRDefault="00CE3BAD">
            <w:pPr>
              <w:spacing w:line="240" w:lineRule="auto"/>
              <w:rPr>
                <w:rFonts w:eastAsia="Times New Roman"/>
                <w:noProof/>
                <w:sz w:val="18"/>
                <w:lang w:val="bg-BG"/>
              </w:rPr>
            </w:pPr>
          </w:p>
        </w:tc>
        <w:tc>
          <w:tcPr>
            <w:tcW w:w="949" w:type="dxa"/>
            <w:tcBorders>
              <w:top w:val="nil"/>
              <w:left w:val="nil"/>
              <w:bottom w:val="single" w:sz="4" w:space="0" w:color="auto"/>
              <w:right w:val="single" w:sz="4" w:space="0" w:color="auto"/>
            </w:tcBorders>
            <w:shd w:val="clear" w:color="auto" w:fill="C6EFCE"/>
            <w:vAlign w:val="center"/>
          </w:tcPr>
          <w:p w14:paraId="4A4CA15E" w14:textId="77777777" w:rsidR="00CE3BAD" w:rsidRPr="00782BF9" w:rsidRDefault="00CE3BAD">
            <w:pPr>
              <w:spacing w:line="240" w:lineRule="auto"/>
              <w:rPr>
                <w:rFonts w:eastAsia="Times New Roman"/>
                <w:noProof/>
                <w:sz w:val="18"/>
                <w:lang w:val="bg-BG"/>
              </w:rPr>
            </w:pPr>
          </w:p>
        </w:tc>
        <w:tc>
          <w:tcPr>
            <w:tcW w:w="992" w:type="dxa"/>
            <w:tcBorders>
              <w:top w:val="nil"/>
              <w:left w:val="nil"/>
              <w:bottom w:val="single" w:sz="4" w:space="0" w:color="auto"/>
              <w:right w:val="single" w:sz="4" w:space="0" w:color="auto"/>
            </w:tcBorders>
            <w:shd w:val="clear" w:color="auto" w:fill="C6EFCE"/>
            <w:vAlign w:val="center"/>
          </w:tcPr>
          <w:p w14:paraId="78D77E84" w14:textId="77777777" w:rsidR="00CE3BAD" w:rsidRPr="00782BF9" w:rsidRDefault="00CE3BAD">
            <w:pPr>
              <w:spacing w:line="240" w:lineRule="auto"/>
              <w:rPr>
                <w:rFonts w:eastAsia="Times New Roman"/>
                <w:noProof/>
                <w:sz w:val="18"/>
                <w:lang w:val="bg-BG"/>
              </w:rPr>
            </w:pPr>
          </w:p>
        </w:tc>
        <w:tc>
          <w:tcPr>
            <w:tcW w:w="850" w:type="dxa"/>
            <w:tcBorders>
              <w:top w:val="nil"/>
              <w:left w:val="nil"/>
              <w:bottom w:val="single" w:sz="4" w:space="0" w:color="auto"/>
              <w:right w:val="single" w:sz="4" w:space="0" w:color="auto"/>
            </w:tcBorders>
            <w:shd w:val="clear" w:color="auto" w:fill="C6EFCE"/>
            <w:vAlign w:val="center"/>
          </w:tcPr>
          <w:p w14:paraId="7E1D9951" w14:textId="472384F9" w:rsidR="00CE3BAD" w:rsidRPr="00782BF9" w:rsidRDefault="006B5475">
            <w:pPr>
              <w:pStyle w:val="P68B1DB1-Normal10"/>
              <w:spacing w:line="240" w:lineRule="auto"/>
              <w:rPr>
                <w:rFonts w:eastAsia="Times New Roman"/>
                <w:noProof/>
                <w:lang w:val="bg-BG"/>
              </w:rPr>
            </w:pPr>
            <w:r w:rsidRPr="00782BF9">
              <w:rPr>
                <w:noProof/>
                <w:lang w:val="bg-BG"/>
              </w:rPr>
              <w:t>Т2 Г.</w:t>
            </w:r>
          </w:p>
        </w:tc>
        <w:tc>
          <w:tcPr>
            <w:tcW w:w="709" w:type="dxa"/>
            <w:tcBorders>
              <w:top w:val="nil"/>
              <w:left w:val="nil"/>
              <w:bottom w:val="single" w:sz="4" w:space="0" w:color="auto"/>
              <w:right w:val="single" w:sz="4" w:space="0" w:color="auto"/>
            </w:tcBorders>
            <w:shd w:val="clear" w:color="auto" w:fill="C6EFCE"/>
            <w:vAlign w:val="center"/>
          </w:tcPr>
          <w:p w14:paraId="508FB2EF" w14:textId="38B1190D" w:rsidR="00CE3BAD" w:rsidRPr="00782BF9" w:rsidRDefault="006B5475">
            <w:pPr>
              <w:pStyle w:val="P68B1DB1-Normal10"/>
              <w:spacing w:line="240" w:lineRule="auto"/>
              <w:rPr>
                <w:rFonts w:eastAsia="Times New Roman"/>
                <w:noProof/>
                <w:lang w:val="bg-BG"/>
              </w:rPr>
            </w:pPr>
            <w:r w:rsidRPr="00782BF9">
              <w:rPr>
                <w:noProof/>
                <w:lang w:val="bg-BG"/>
              </w:rPr>
              <w:t>2026</w:t>
            </w:r>
          </w:p>
        </w:tc>
        <w:tc>
          <w:tcPr>
            <w:tcW w:w="4232" w:type="dxa"/>
            <w:tcBorders>
              <w:top w:val="nil"/>
              <w:left w:val="nil"/>
              <w:bottom w:val="single" w:sz="4" w:space="0" w:color="auto"/>
              <w:right w:val="single" w:sz="4" w:space="0" w:color="auto"/>
            </w:tcBorders>
            <w:shd w:val="clear" w:color="auto" w:fill="C6EFCE"/>
            <w:vAlign w:val="center"/>
          </w:tcPr>
          <w:p w14:paraId="33D05411" w14:textId="17067122" w:rsidR="00CE3BAD" w:rsidRPr="00782BF9" w:rsidRDefault="006B5475">
            <w:pPr>
              <w:pStyle w:val="P68B1DB1-Normal10"/>
              <w:rPr>
                <w:rFonts w:eastAsia="Times New Roman"/>
                <w:noProof/>
                <w:lang w:val="bg-BG"/>
              </w:rPr>
            </w:pPr>
            <w:r w:rsidRPr="00782BF9">
              <w:rPr>
                <w:noProof/>
                <w:lang w:val="bg-BG"/>
              </w:rPr>
              <w:t>Комуникационната стратегия се приема в съответствие с изискванията на М372.</w:t>
            </w:r>
          </w:p>
        </w:tc>
      </w:tr>
      <w:tr w:rsidR="00CE3BAD" w:rsidRPr="00782BF9" w14:paraId="4A738B12" w14:textId="77777777">
        <w:trPr>
          <w:trHeight w:val="1499"/>
          <w:jc w:val="center"/>
        </w:trPr>
        <w:tc>
          <w:tcPr>
            <w:tcW w:w="1134" w:type="dxa"/>
            <w:tcBorders>
              <w:top w:val="nil"/>
              <w:left w:val="single" w:sz="4" w:space="0" w:color="auto"/>
              <w:bottom w:val="single" w:sz="4" w:space="0" w:color="auto"/>
              <w:right w:val="single" w:sz="4" w:space="0" w:color="auto"/>
            </w:tcBorders>
            <w:shd w:val="clear" w:color="auto" w:fill="C6EFCE"/>
            <w:vAlign w:val="center"/>
            <w:hideMark/>
          </w:tcPr>
          <w:p w14:paraId="1F30613A" w14:textId="46B7749F" w:rsidR="00CE3BAD" w:rsidRPr="00782BF9" w:rsidRDefault="006B5475">
            <w:pPr>
              <w:pStyle w:val="P68B1DB1-Normal10"/>
              <w:spacing w:line="240" w:lineRule="auto"/>
              <w:rPr>
                <w:rFonts w:eastAsia="Times New Roman"/>
                <w:noProof/>
                <w:lang w:val="bg-BG"/>
              </w:rPr>
            </w:pPr>
            <w:r w:rsidRPr="00782BF9">
              <w:rPr>
                <w:noProof/>
                <w:lang w:val="bg-BG"/>
              </w:rPr>
              <w:t>374</w:t>
            </w:r>
          </w:p>
        </w:tc>
        <w:tc>
          <w:tcPr>
            <w:tcW w:w="1843" w:type="dxa"/>
            <w:tcBorders>
              <w:top w:val="nil"/>
              <w:left w:val="nil"/>
              <w:bottom w:val="single" w:sz="4" w:space="0" w:color="auto"/>
              <w:right w:val="single" w:sz="4" w:space="0" w:color="auto"/>
            </w:tcBorders>
            <w:shd w:val="clear" w:color="auto" w:fill="C6EFCE"/>
            <w:vAlign w:val="center"/>
            <w:hideMark/>
          </w:tcPr>
          <w:p w14:paraId="72AFDD37" w14:textId="6805E3CE" w:rsidR="00CE3BAD" w:rsidRPr="00782BF9" w:rsidRDefault="006B5475">
            <w:pPr>
              <w:pStyle w:val="P68B1DB1-Normal10"/>
              <w:spacing w:line="240" w:lineRule="auto"/>
              <w:rPr>
                <w:rFonts w:eastAsia="Times New Roman"/>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79" w:type="dxa"/>
            <w:tcBorders>
              <w:top w:val="single" w:sz="4" w:space="0" w:color="auto"/>
              <w:left w:val="nil"/>
              <w:bottom w:val="single" w:sz="4" w:space="0" w:color="auto"/>
              <w:right w:val="single" w:sz="4" w:space="0" w:color="auto"/>
            </w:tcBorders>
            <w:shd w:val="clear" w:color="auto" w:fill="C6EFCE"/>
            <w:vAlign w:val="center"/>
            <w:hideMark/>
          </w:tcPr>
          <w:p w14:paraId="0F7A4C08" w14:textId="5FA609AB" w:rsidR="00CE3BAD" w:rsidRPr="00782BF9" w:rsidRDefault="006B5475">
            <w:pPr>
              <w:pStyle w:val="P68B1DB1-Normal10"/>
              <w:spacing w:line="240" w:lineRule="auto"/>
              <w:rPr>
                <w:rFonts w:eastAsia="Times New Roman"/>
                <w:noProof/>
                <w:lang w:val="bg-BG"/>
              </w:rPr>
            </w:pPr>
            <w:r w:rsidRPr="00782BF9">
              <w:rPr>
                <w:noProof/>
                <w:lang w:val="bg-BG"/>
              </w:rPr>
              <w:t>Ключов етап</w:t>
            </w:r>
          </w:p>
        </w:tc>
        <w:tc>
          <w:tcPr>
            <w:tcW w:w="1701" w:type="dxa"/>
            <w:tcBorders>
              <w:top w:val="nil"/>
              <w:left w:val="nil"/>
              <w:bottom w:val="single" w:sz="4" w:space="0" w:color="auto"/>
              <w:right w:val="single" w:sz="4" w:space="0" w:color="auto"/>
            </w:tcBorders>
            <w:shd w:val="clear" w:color="auto" w:fill="C6EFCE"/>
            <w:vAlign w:val="center"/>
            <w:hideMark/>
          </w:tcPr>
          <w:p w14:paraId="5C42EE1B" w14:textId="2C4B7B0B" w:rsidR="00CE3BAD" w:rsidRPr="00782BF9" w:rsidRDefault="006B5475">
            <w:pPr>
              <w:pStyle w:val="P68B1DB1-Normal10"/>
              <w:spacing w:line="240" w:lineRule="auto"/>
              <w:rPr>
                <w:rFonts w:eastAsia="Times New Roman"/>
                <w:noProof/>
                <w:lang w:val="bg-BG"/>
              </w:rPr>
            </w:pPr>
            <w:r w:rsidRPr="00782BF9">
              <w:rPr>
                <w:noProof/>
                <w:lang w:val="bg-BG"/>
              </w:rPr>
              <w:t xml:space="preserve">Публикуване на поканата за представяне на предложения въз основа на нуждите от инвестиции на общините </w:t>
            </w:r>
          </w:p>
        </w:tc>
        <w:tc>
          <w:tcPr>
            <w:tcW w:w="1418" w:type="dxa"/>
            <w:tcBorders>
              <w:top w:val="single" w:sz="4" w:space="0" w:color="auto"/>
              <w:left w:val="nil"/>
              <w:bottom w:val="single" w:sz="4" w:space="0" w:color="auto"/>
              <w:right w:val="single" w:sz="4" w:space="0" w:color="auto"/>
            </w:tcBorders>
            <w:shd w:val="clear" w:color="auto" w:fill="C6EFCE"/>
            <w:vAlign w:val="center"/>
            <w:hideMark/>
          </w:tcPr>
          <w:p w14:paraId="152E74A7" w14:textId="3790CF7D" w:rsidR="00CE3BAD" w:rsidRPr="00782BF9" w:rsidRDefault="006B5475">
            <w:pPr>
              <w:pStyle w:val="P68B1DB1-Normal10"/>
              <w:rPr>
                <w:rFonts w:eastAsia="Times New Roman"/>
                <w:noProof/>
                <w:lang w:val="bg-BG"/>
              </w:rPr>
            </w:pPr>
            <w:r w:rsidRPr="00782BF9">
              <w:rPr>
                <w:noProof/>
                <w:lang w:val="bg-BG"/>
              </w:rPr>
              <w:t>Публикуване на поканата за представяне на предложения въз основа на нуждите на общините от инвестиции в инфраструктура на официалния уебсайт на правителството за покани за представяне на предложения</w:t>
            </w:r>
          </w:p>
        </w:tc>
        <w:tc>
          <w:tcPr>
            <w:tcW w:w="914" w:type="dxa"/>
            <w:tcBorders>
              <w:top w:val="nil"/>
              <w:left w:val="nil"/>
              <w:bottom w:val="single" w:sz="4" w:space="0" w:color="auto"/>
              <w:right w:val="single" w:sz="4" w:space="0" w:color="auto"/>
            </w:tcBorders>
            <w:shd w:val="clear" w:color="auto" w:fill="C6EFCE"/>
            <w:vAlign w:val="center"/>
            <w:hideMark/>
          </w:tcPr>
          <w:p w14:paraId="76F81FB1" w14:textId="24B8F64B" w:rsidR="00CE3BAD" w:rsidRPr="00782BF9" w:rsidRDefault="00CE3BAD">
            <w:pPr>
              <w:spacing w:line="240" w:lineRule="auto"/>
              <w:rPr>
                <w:rFonts w:eastAsia="Times New Roman"/>
                <w:noProof/>
                <w:sz w:val="18"/>
                <w:lang w:val="bg-BG"/>
              </w:rPr>
            </w:pPr>
          </w:p>
        </w:tc>
        <w:tc>
          <w:tcPr>
            <w:tcW w:w="949" w:type="dxa"/>
            <w:tcBorders>
              <w:top w:val="nil"/>
              <w:left w:val="nil"/>
              <w:bottom w:val="single" w:sz="4" w:space="0" w:color="auto"/>
              <w:right w:val="single" w:sz="4" w:space="0" w:color="auto"/>
            </w:tcBorders>
            <w:shd w:val="clear" w:color="auto" w:fill="C6EFCE"/>
            <w:vAlign w:val="center"/>
            <w:hideMark/>
          </w:tcPr>
          <w:p w14:paraId="5B938FE4" w14:textId="7C410555" w:rsidR="00CE3BAD" w:rsidRPr="00782BF9" w:rsidRDefault="00CE3BAD">
            <w:pPr>
              <w:spacing w:line="240" w:lineRule="auto"/>
              <w:rPr>
                <w:rFonts w:eastAsia="Times New Roman"/>
                <w:noProof/>
                <w:sz w:val="18"/>
                <w:lang w:val="bg-BG"/>
              </w:rPr>
            </w:pPr>
          </w:p>
        </w:tc>
        <w:tc>
          <w:tcPr>
            <w:tcW w:w="992" w:type="dxa"/>
            <w:tcBorders>
              <w:top w:val="nil"/>
              <w:left w:val="nil"/>
              <w:bottom w:val="single" w:sz="4" w:space="0" w:color="auto"/>
              <w:right w:val="single" w:sz="4" w:space="0" w:color="auto"/>
            </w:tcBorders>
            <w:shd w:val="clear" w:color="auto" w:fill="C6EFCE"/>
            <w:vAlign w:val="center"/>
            <w:hideMark/>
          </w:tcPr>
          <w:p w14:paraId="414060AC" w14:textId="33952F34" w:rsidR="00CE3BAD" w:rsidRPr="00782BF9" w:rsidRDefault="00CE3BAD">
            <w:pPr>
              <w:spacing w:line="240" w:lineRule="auto"/>
              <w:rPr>
                <w:rFonts w:eastAsia="Times New Roman"/>
                <w:noProof/>
                <w:sz w:val="18"/>
                <w:lang w:val="bg-BG"/>
              </w:rPr>
            </w:pPr>
          </w:p>
        </w:tc>
        <w:tc>
          <w:tcPr>
            <w:tcW w:w="850" w:type="dxa"/>
            <w:tcBorders>
              <w:top w:val="nil"/>
              <w:left w:val="nil"/>
              <w:bottom w:val="single" w:sz="4" w:space="0" w:color="auto"/>
              <w:right w:val="single" w:sz="4" w:space="0" w:color="auto"/>
            </w:tcBorders>
            <w:shd w:val="clear" w:color="auto" w:fill="C6EFCE"/>
            <w:vAlign w:val="center"/>
            <w:hideMark/>
          </w:tcPr>
          <w:p w14:paraId="4EA4E392" w14:textId="797EAB1B" w:rsidR="00CE3BAD" w:rsidRPr="00782BF9" w:rsidRDefault="006B5475">
            <w:pPr>
              <w:pStyle w:val="P68B1DB1-Normal10"/>
              <w:spacing w:line="240" w:lineRule="auto"/>
              <w:rPr>
                <w:rFonts w:eastAsia="Times New Roman"/>
                <w:noProof/>
                <w:lang w:val="bg-BG"/>
              </w:rPr>
            </w:pPr>
            <w:r w:rsidRPr="00782BF9">
              <w:rPr>
                <w:noProof/>
                <w:lang w:val="bg-BG"/>
              </w:rPr>
              <w:t>Т1 Г.</w:t>
            </w:r>
          </w:p>
        </w:tc>
        <w:tc>
          <w:tcPr>
            <w:tcW w:w="709" w:type="dxa"/>
            <w:tcBorders>
              <w:top w:val="nil"/>
              <w:left w:val="nil"/>
              <w:bottom w:val="single" w:sz="4" w:space="0" w:color="auto"/>
              <w:right w:val="single" w:sz="4" w:space="0" w:color="auto"/>
            </w:tcBorders>
            <w:shd w:val="clear" w:color="auto" w:fill="C6EFCE"/>
            <w:vAlign w:val="center"/>
            <w:hideMark/>
          </w:tcPr>
          <w:p w14:paraId="3085E43E" w14:textId="69EE4B7E" w:rsidR="00CE3BAD" w:rsidRPr="00782BF9" w:rsidRDefault="006B5475">
            <w:pPr>
              <w:pStyle w:val="P68B1DB1-Normal10"/>
              <w:spacing w:line="240" w:lineRule="auto"/>
              <w:rPr>
                <w:rFonts w:eastAsia="Times New Roman"/>
                <w:noProof/>
                <w:lang w:val="bg-BG"/>
              </w:rPr>
            </w:pPr>
            <w:r w:rsidRPr="00782BF9">
              <w:rPr>
                <w:noProof/>
                <w:lang w:val="bg-BG"/>
              </w:rPr>
              <w:t>2024</w:t>
            </w:r>
          </w:p>
        </w:tc>
        <w:tc>
          <w:tcPr>
            <w:tcW w:w="4232" w:type="dxa"/>
            <w:tcBorders>
              <w:top w:val="nil"/>
              <w:left w:val="nil"/>
              <w:bottom w:val="single" w:sz="4" w:space="0" w:color="auto"/>
              <w:right w:val="single" w:sz="4" w:space="0" w:color="auto"/>
            </w:tcBorders>
            <w:shd w:val="clear" w:color="auto" w:fill="C6EFCE"/>
            <w:vAlign w:val="center"/>
            <w:hideMark/>
          </w:tcPr>
          <w:p w14:paraId="6E3281F9" w14:textId="0701D739" w:rsidR="00CE3BAD" w:rsidRPr="00782BF9" w:rsidRDefault="006B5475">
            <w:pPr>
              <w:pStyle w:val="P68B1DB1-Normal10"/>
              <w:rPr>
                <w:rFonts w:eastAsia="Times New Roman"/>
                <w:noProof/>
                <w:lang w:val="bg-BG"/>
              </w:rPr>
            </w:pPr>
            <w:r w:rsidRPr="00782BF9">
              <w:rPr>
                <w:noProof/>
                <w:lang w:val="bg-BG"/>
              </w:rPr>
              <w:t>Ще бъде публикувана покана за представяне на предложения за възлагане на инфраструктура за събиране на отпадъци, отворена за всички унгарски общини. Условията за поканата:</w:t>
            </w:r>
          </w:p>
          <w:p w14:paraId="22B111CA" w14:textId="77777777" w:rsidR="00CE3BAD" w:rsidRPr="00782BF9" w:rsidRDefault="006B5475">
            <w:pPr>
              <w:pStyle w:val="P68B1DB1-ListParagraph11"/>
              <w:numPr>
                <w:ilvl w:val="0"/>
                <w:numId w:val="28"/>
              </w:numPr>
              <w:spacing w:after="0"/>
              <w:rPr>
                <w:rFonts w:eastAsia="Times New Roman"/>
                <w:noProof/>
                <w:lang w:val="bg-BG"/>
              </w:rPr>
            </w:pPr>
            <w:r w:rsidRPr="00782BF9">
              <w:rPr>
                <w:noProof/>
                <w:lang w:val="bg-BG"/>
              </w:rPr>
              <w:t>Отразяват нуждите на общините от инвестиции в инфраструктура, определени въз основа на следните критерии:</w:t>
            </w:r>
          </w:p>
          <w:p w14:paraId="7E042E3F" w14:textId="77777777" w:rsidR="00CE3BAD" w:rsidRPr="00782BF9" w:rsidRDefault="006B5475">
            <w:pPr>
              <w:pStyle w:val="P68B1DB1-ListParagraph11"/>
              <w:spacing w:after="0"/>
              <w:rPr>
                <w:rFonts w:eastAsia="Times New Roman"/>
                <w:noProof/>
                <w:lang w:val="bg-BG"/>
              </w:rPr>
            </w:pPr>
            <w:r w:rsidRPr="00782BF9">
              <w:rPr>
                <w:noProof/>
                <w:lang w:val="bg-BG"/>
              </w:rPr>
              <w:t>Съществуваща инфраструктура и нейната възраст;</w:t>
            </w:r>
          </w:p>
          <w:p w14:paraId="016F2C1D" w14:textId="77777777" w:rsidR="00CE3BAD" w:rsidRPr="00782BF9" w:rsidRDefault="006B5475">
            <w:pPr>
              <w:pStyle w:val="P68B1DB1-ListParagraph11"/>
              <w:spacing w:after="0"/>
              <w:rPr>
                <w:rFonts w:eastAsia="Times New Roman"/>
                <w:noProof/>
                <w:lang w:val="bg-BG"/>
              </w:rPr>
            </w:pPr>
            <w:r w:rsidRPr="00782BF9">
              <w:rPr>
                <w:noProof/>
                <w:lang w:val="bg-BG"/>
              </w:rPr>
              <w:t>количеството отпадъци, генерирани на обществени места, определено, наред с другото, въз основа на населението на общините, размера на обществените пространства, управлявани и почиствани от общините, и интензивността на използване на тези обществени пространства;</w:t>
            </w:r>
          </w:p>
          <w:p w14:paraId="20FC0684" w14:textId="6EBD75D1" w:rsidR="00CE3BAD" w:rsidRPr="00782BF9" w:rsidRDefault="006B5475">
            <w:pPr>
              <w:pStyle w:val="P68B1DB1-ListParagraph11"/>
              <w:spacing w:after="0"/>
              <w:rPr>
                <w:rFonts w:eastAsia="Times New Roman"/>
                <w:noProof/>
                <w:lang w:val="bg-BG"/>
              </w:rPr>
            </w:pPr>
            <w:r w:rsidRPr="00782BF9">
              <w:rPr>
                <w:noProof/>
                <w:lang w:val="bg-BG"/>
              </w:rPr>
              <w:t xml:space="preserve">капацитета на общините за третиране на събраните допълнителни отпадъци. </w:t>
            </w:r>
          </w:p>
          <w:p w14:paraId="7F92AF59" w14:textId="77777777" w:rsidR="00CE3BAD" w:rsidRPr="00782BF9" w:rsidRDefault="006B5475">
            <w:pPr>
              <w:pStyle w:val="P68B1DB1-ListParagraph11"/>
              <w:spacing w:after="0"/>
              <w:rPr>
                <w:rFonts w:eastAsia="Times New Roman"/>
                <w:noProof/>
                <w:lang w:val="bg-BG"/>
              </w:rPr>
            </w:pPr>
            <w:r w:rsidRPr="00782BF9">
              <w:rPr>
                <w:noProof/>
                <w:lang w:val="bg-BG"/>
              </w:rPr>
              <w:t>За тази цел поканата гарантира, че общините с най-големи нужди от инвестиции получават по-високи оценки в рамките на процедурата за покана за представяне на предложения;</w:t>
            </w:r>
          </w:p>
          <w:p w14:paraId="395DD3EB" w14:textId="5CEF7844" w:rsidR="00CE3BAD" w:rsidRPr="00782BF9" w:rsidRDefault="006B5475">
            <w:pPr>
              <w:pStyle w:val="P68B1DB1-ListParagraph11"/>
              <w:numPr>
                <w:ilvl w:val="0"/>
                <w:numId w:val="28"/>
              </w:numPr>
              <w:spacing w:after="0"/>
              <w:rPr>
                <w:rFonts w:eastAsia="Times New Roman"/>
                <w:noProof/>
                <w:lang w:val="bg-BG"/>
              </w:rPr>
            </w:pPr>
            <w:r w:rsidRPr="00782BF9">
              <w:rPr>
                <w:noProof/>
                <w:lang w:val="bg-BG"/>
              </w:rPr>
              <w:t>Изискване на всеки избран обект да бъдат инсталирани четири подземни контейнера за отпадъци, което да позволява разделното събиране на хартия, опаковки, биологични отпадъци и остатъчни отпадъци;</w:t>
            </w:r>
          </w:p>
          <w:p w14:paraId="5F97B3DD" w14:textId="77777777" w:rsidR="00CE3BAD" w:rsidRPr="00782BF9" w:rsidRDefault="006B5475">
            <w:pPr>
              <w:pStyle w:val="P68B1DB1-ListParagraph11"/>
              <w:numPr>
                <w:ilvl w:val="0"/>
                <w:numId w:val="28"/>
              </w:numPr>
              <w:spacing w:after="0"/>
              <w:rPr>
                <w:rFonts w:eastAsia="Times New Roman"/>
                <w:noProof/>
                <w:lang w:val="bg-BG"/>
              </w:rPr>
            </w:pPr>
            <w:r w:rsidRPr="00782BF9">
              <w:rPr>
                <w:noProof/>
                <w:lang w:val="bg-BG"/>
              </w:rPr>
              <w:t>Изискване интелигентните контейнери да позволяват разделно събиране на биологични отпадъци и остатъчни отпадъци в избраните обекти;</w:t>
            </w:r>
          </w:p>
          <w:p w14:paraId="59DC08CA" w14:textId="77777777" w:rsidR="00CE3BAD" w:rsidRPr="00782BF9" w:rsidRDefault="006B5475">
            <w:pPr>
              <w:pStyle w:val="P68B1DB1-ListParagraph11"/>
              <w:numPr>
                <w:ilvl w:val="0"/>
                <w:numId w:val="28"/>
              </w:numPr>
              <w:spacing w:after="0"/>
              <w:rPr>
                <w:rFonts w:eastAsia="Times New Roman"/>
                <w:noProof/>
                <w:lang w:val="bg-BG"/>
              </w:rPr>
            </w:pPr>
            <w:r w:rsidRPr="00782BF9">
              <w:rPr>
                <w:noProof/>
                <w:lang w:val="bg-BG"/>
              </w:rPr>
              <w:t>Изискване превозните средства, на които е възложено събирането на отпадъци за подземни контейнери за отпадъци и интелигентни контейнери, да бъдат превозни средства с нулеви емисии;</w:t>
            </w:r>
          </w:p>
          <w:p w14:paraId="3E5FE7BF" w14:textId="5265F77E" w:rsidR="00CE3BAD" w:rsidRPr="00782BF9" w:rsidRDefault="006B5475">
            <w:pPr>
              <w:pStyle w:val="P68B1DB1-ListParagraph11"/>
              <w:numPr>
                <w:ilvl w:val="0"/>
                <w:numId w:val="28"/>
              </w:numPr>
              <w:spacing w:line="257" w:lineRule="auto"/>
              <w:rPr>
                <w:rFonts w:eastAsia="Times New Roman"/>
                <w:noProof/>
                <w:lang w:val="bg-BG"/>
              </w:rPr>
            </w:pPr>
            <w:r w:rsidRPr="00782BF9">
              <w:rPr>
                <w:noProof/>
                <w:lang w:val="bg-BG"/>
              </w:rPr>
              <w:t>Включва задължение за общините да стартират кампания за повишаване на осведомеността, която i) предоставя информация относно новата инфраструктура и правилното ѝ използване и ii) повишава осведомеността относно по-високите нива на йерархия на отпадъците (1) предотвратяване, 2) повторна употреба, 3) рециклиране). За тази цел на избраните общини се отпуска специален бюджет за изпълнение на горепосочените мерки за повишаване на осведомеността.</w:t>
            </w:r>
          </w:p>
        </w:tc>
      </w:tr>
      <w:tr w:rsidR="00CE3BAD" w:rsidRPr="00782BF9" w14:paraId="3A3CCB7B" w14:textId="77777777">
        <w:trPr>
          <w:trHeight w:val="2145"/>
          <w:jc w:val="center"/>
        </w:trPr>
        <w:tc>
          <w:tcPr>
            <w:tcW w:w="1134" w:type="dxa"/>
            <w:tcBorders>
              <w:top w:val="nil"/>
              <w:left w:val="single" w:sz="4" w:space="0" w:color="auto"/>
              <w:bottom w:val="single" w:sz="4" w:space="0" w:color="auto"/>
              <w:right w:val="single" w:sz="4" w:space="0" w:color="auto"/>
            </w:tcBorders>
            <w:shd w:val="clear" w:color="auto" w:fill="C6EFCE"/>
            <w:vAlign w:val="center"/>
          </w:tcPr>
          <w:p w14:paraId="7D123B55" w14:textId="6CAA68EA" w:rsidR="00CE3BAD" w:rsidRPr="00782BF9" w:rsidRDefault="006B5475">
            <w:pPr>
              <w:pStyle w:val="P68B1DB1-Normal10"/>
              <w:spacing w:line="240" w:lineRule="auto"/>
              <w:rPr>
                <w:rFonts w:eastAsia="Times New Roman"/>
                <w:noProof/>
                <w:lang w:val="bg-BG"/>
              </w:rPr>
            </w:pPr>
            <w:r w:rsidRPr="00782BF9">
              <w:rPr>
                <w:noProof/>
                <w:lang w:val="bg-BG"/>
              </w:rPr>
              <w:t>375</w:t>
            </w:r>
          </w:p>
        </w:tc>
        <w:tc>
          <w:tcPr>
            <w:tcW w:w="1843" w:type="dxa"/>
            <w:tcBorders>
              <w:top w:val="nil"/>
              <w:left w:val="nil"/>
              <w:bottom w:val="single" w:sz="4" w:space="0" w:color="auto"/>
              <w:right w:val="single" w:sz="4" w:space="0" w:color="auto"/>
            </w:tcBorders>
            <w:shd w:val="clear" w:color="auto" w:fill="C6EFCE"/>
            <w:vAlign w:val="center"/>
          </w:tcPr>
          <w:p w14:paraId="3F7B22B7" w14:textId="4501493A" w:rsidR="00CE3BAD" w:rsidRPr="00782BF9" w:rsidRDefault="006B5475">
            <w:pPr>
              <w:pStyle w:val="P68B1DB1-Normal10"/>
              <w:spacing w:line="240" w:lineRule="auto"/>
              <w:rPr>
                <w:rFonts w:eastAsia="Times New Roman"/>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79" w:type="dxa"/>
            <w:tcBorders>
              <w:top w:val="nil"/>
              <w:left w:val="nil"/>
              <w:bottom w:val="single" w:sz="4" w:space="0" w:color="auto"/>
              <w:right w:val="single" w:sz="4" w:space="0" w:color="auto"/>
            </w:tcBorders>
            <w:shd w:val="clear" w:color="auto" w:fill="C6EFCE"/>
            <w:vAlign w:val="center"/>
          </w:tcPr>
          <w:p w14:paraId="71EFA39D" w14:textId="70798A11" w:rsidR="00CE3BAD" w:rsidRPr="00782BF9" w:rsidRDefault="006B5475">
            <w:pPr>
              <w:pStyle w:val="P68B1DB1-Normal10"/>
              <w:spacing w:line="240" w:lineRule="auto"/>
              <w:rPr>
                <w:rFonts w:eastAsia="Times New Roman"/>
                <w:noProof/>
                <w:lang w:val="bg-BG"/>
              </w:rPr>
            </w:pPr>
            <w:r w:rsidRPr="00782BF9">
              <w:rPr>
                <w:noProof/>
                <w:lang w:val="bg-BG"/>
              </w:rPr>
              <w:t>Ключов етап</w:t>
            </w:r>
          </w:p>
        </w:tc>
        <w:tc>
          <w:tcPr>
            <w:tcW w:w="1701" w:type="dxa"/>
            <w:tcBorders>
              <w:top w:val="nil"/>
              <w:left w:val="nil"/>
              <w:bottom w:val="single" w:sz="4" w:space="0" w:color="auto"/>
              <w:right w:val="single" w:sz="4" w:space="0" w:color="auto"/>
            </w:tcBorders>
            <w:shd w:val="clear" w:color="auto" w:fill="C6EFCE"/>
            <w:vAlign w:val="center"/>
          </w:tcPr>
          <w:p w14:paraId="1164B5C6" w14:textId="01B2AB63" w:rsidR="00CE3BAD" w:rsidRPr="00782BF9" w:rsidRDefault="006B5475">
            <w:pPr>
              <w:pStyle w:val="P68B1DB1-Normal10"/>
              <w:spacing w:line="240" w:lineRule="auto"/>
              <w:rPr>
                <w:rFonts w:eastAsia="Times New Roman"/>
                <w:noProof/>
                <w:lang w:val="bg-BG"/>
              </w:rPr>
            </w:pPr>
            <w:r w:rsidRPr="00782BF9">
              <w:rPr>
                <w:noProof/>
                <w:lang w:val="bg-BG"/>
              </w:rPr>
              <w:t>Публикуване на ръководство за комуникация</w:t>
            </w:r>
          </w:p>
        </w:tc>
        <w:tc>
          <w:tcPr>
            <w:tcW w:w="1418" w:type="dxa"/>
            <w:tcBorders>
              <w:top w:val="single" w:sz="4" w:space="0" w:color="auto"/>
              <w:left w:val="nil"/>
              <w:bottom w:val="single" w:sz="4" w:space="0" w:color="auto"/>
              <w:right w:val="single" w:sz="4" w:space="0" w:color="auto"/>
            </w:tcBorders>
            <w:shd w:val="clear" w:color="auto" w:fill="C6EFCE"/>
            <w:vAlign w:val="center"/>
          </w:tcPr>
          <w:p w14:paraId="5F9E2A98" w14:textId="3E659629" w:rsidR="00CE3BAD" w:rsidRPr="00782BF9" w:rsidRDefault="006B5475">
            <w:pPr>
              <w:pStyle w:val="P68B1DB1-Normal10"/>
              <w:rPr>
                <w:rFonts w:eastAsia="Times New Roman"/>
                <w:noProof/>
                <w:lang w:val="bg-BG"/>
              </w:rPr>
            </w:pPr>
            <w:r w:rsidRPr="00782BF9">
              <w:rPr>
                <w:noProof/>
                <w:lang w:val="bg-BG"/>
              </w:rPr>
              <w:t>Публикуване на ръководство за комуникация</w:t>
            </w:r>
          </w:p>
        </w:tc>
        <w:tc>
          <w:tcPr>
            <w:tcW w:w="914" w:type="dxa"/>
            <w:tcBorders>
              <w:top w:val="nil"/>
              <w:left w:val="nil"/>
              <w:bottom w:val="single" w:sz="4" w:space="0" w:color="auto"/>
              <w:right w:val="single" w:sz="4" w:space="0" w:color="auto"/>
            </w:tcBorders>
            <w:shd w:val="clear" w:color="auto" w:fill="C6EFCE"/>
            <w:vAlign w:val="center"/>
          </w:tcPr>
          <w:p w14:paraId="51D4F5DD" w14:textId="77777777" w:rsidR="00CE3BAD" w:rsidRPr="00782BF9" w:rsidRDefault="00CE3BAD">
            <w:pPr>
              <w:spacing w:line="240" w:lineRule="auto"/>
              <w:rPr>
                <w:rFonts w:eastAsia="Times New Roman"/>
                <w:noProof/>
                <w:sz w:val="18"/>
                <w:lang w:val="bg-BG"/>
              </w:rPr>
            </w:pPr>
          </w:p>
        </w:tc>
        <w:tc>
          <w:tcPr>
            <w:tcW w:w="949" w:type="dxa"/>
            <w:tcBorders>
              <w:top w:val="nil"/>
              <w:left w:val="nil"/>
              <w:bottom w:val="single" w:sz="4" w:space="0" w:color="auto"/>
              <w:right w:val="single" w:sz="4" w:space="0" w:color="auto"/>
            </w:tcBorders>
            <w:shd w:val="clear" w:color="auto" w:fill="C6EFCE"/>
            <w:vAlign w:val="center"/>
          </w:tcPr>
          <w:p w14:paraId="71E907A8" w14:textId="77777777" w:rsidR="00CE3BAD" w:rsidRPr="00782BF9" w:rsidRDefault="00CE3BAD">
            <w:pPr>
              <w:spacing w:line="240" w:lineRule="auto"/>
              <w:rPr>
                <w:rFonts w:eastAsia="Times New Roman"/>
                <w:noProof/>
                <w:sz w:val="18"/>
                <w:lang w:val="bg-BG"/>
              </w:rPr>
            </w:pPr>
          </w:p>
        </w:tc>
        <w:tc>
          <w:tcPr>
            <w:tcW w:w="992" w:type="dxa"/>
            <w:tcBorders>
              <w:top w:val="nil"/>
              <w:left w:val="nil"/>
              <w:bottom w:val="single" w:sz="4" w:space="0" w:color="auto"/>
              <w:right w:val="single" w:sz="4" w:space="0" w:color="auto"/>
            </w:tcBorders>
            <w:shd w:val="clear" w:color="auto" w:fill="C6EFCE"/>
            <w:vAlign w:val="center"/>
          </w:tcPr>
          <w:p w14:paraId="13D7B936" w14:textId="77777777" w:rsidR="00CE3BAD" w:rsidRPr="00782BF9" w:rsidRDefault="00CE3BAD">
            <w:pPr>
              <w:spacing w:line="240" w:lineRule="auto"/>
              <w:rPr>
                <w:rFonts w:eastAsia="Times New Roman"/>
                <w:noProof/>
                <w:sz w:val="18"/>
                <w:lang w:val="bg-BG"/>
              </w:rPr>
            </w:pPr>
          </w:p>
        </w:tc>
        <w:tc>
          <w:tcPr>
            <w:tcW w:w="850" w:type="dxa"/>
            <w:tcBorders>
              <w:top w:val="nil"/>
              <w:left w:val="nil"/>
              <w:bottom w:val="single" w:sz="4" w:space="0" w:color="auto"/>
              <w:right w:val="single" w:sz="4" w:space="0" w:color="auto"/>
            </w:tcBorders>
            <w:shd w:val="clear" w:color="auto" w:fill="C6EFCE"/>
            <w:vAlign w:val="center"/>
          </w:tcPr>
          <w:p w14:paraId="55E905C9" w14:textId="5A3E6847" w:rsidR="00CE3BAD" w:rsidRPr="00782BF9" w:rsidRDefault="006B5475">
            <w:pPr>
              <w:pStyle w:val="P68B1DB1-Normal10"/>
              <w:spacing w:line="240" w:lineRule="auto"/>
              <w:rPr>
                <w:rFonts w:eastAsia="Times New Roman"/>
                <w:noProof/>
                <w:lang w:val="bg-BG"/>
              </w:rPr>
            </w:pPr>
            <w:r w:rsidRPr="00782BF9">
              <w:rPr>
                <w:noProof/>
                <w:lang w:val="bg-BG"/>
              </w:rPr>
              <w:t>Т4 Г.</w:t>
            </w:r>
          </w:p>
        </w:tc>
        <w:tc>
          <w:tcPr>
            <w:tcW w:w="709" w:type="dxa"/>
            <w:tcBorders>
              <w:top w:val="nil"/>
              <w:left w:val="nil"/>
              <w:bottom w:val="single" w:sz="4" w:space="0" w:color="auto"/>
              <w:right w:val="single" w:sz="4" w:space="0" w:color="auto"/>
            </w:tcBorders>
            <w:shd w:val="clear" w:color="auto" w:fill="C6EFCE"/>
            <w:vAlign w:val="center"/>
          </w:tcPr>
          <w:p w14:paraId="678FE08F" w14:textId="799AD4A0" w:rsidR="00CE3BAD" w:rsidRPr="00782BF9" w:rsidRDefault="006B5475">
            <w:pPr>
              <w:pStyle w:val="P68B1DB1-Normal10"/>
              <w:spacing w:line="240" w:lineRule="auto"/>
              <w:rPr>
                <w:rFonts w:eastAsia="Times New Roman"/>
                <w:noProof/>
                <w:lang w:val="bg-BG"/>
              </w:rPr>
            </w:pPr>
            <w:r w:rsidRPr="00782BF9">
              <w:rPr>
                <w:noProof/>
                <w:lang w:val="bg-BG"/>
              </w:rPr>
              <w:t>2025</w:t>
            </w:r>
          </w:p>
        </w:tc>
        <w:tc>
          <w:tcPr>
            <w:tcW w:w="4232" w:type="dxa"/>
            <w:tcBorders>
              <w:top w:val="nil"/>
              <w:left w:val="nil"/>
              <w:bottom w:val="single" w:sz="4" w:space="0" w:color="auto"/>
              <w:right w:val="single" w:sz="4" w:space="0" w:color="auto"/>
            </w:tcBorders>
            <w:shd w:val="clear" w:color="auto" w:fill="C6EFCE"/>
            <w:vAlign w:val="center"/>
          </w:tcPr>
          <w:p w14:paraId="15A6C769" w14:textId="2D143DCE" w:rsidR="00CE3BAD" w:rsidRPr="00782BF9" w:rsidRDefault="006B5475">
            <w:pPr>
              <w:pStyle w:val="P68B1DB1-Normal10"/>
              <w:spacing w:line="257" w:lineRule="auto"/>
              <w:rPr>
                <w:rFonts w:eastAsia="Times New Roman"/>
                <w:noProof/>
                <w:lang w:val="bg-BG"/>
              </w:rPr>
            </w:pPr>
            <w:r w:rsidRPr="00782BF9">
              <w:rPr>
                <w:noProof/>
                <w:lang w:val="bg-BG"/>
              </w:rPr>
              <w:t xml:space="preserve">Публикуване на ръководство за комуникация в подкрепа на местните власти в техните собствени комуникационни дейности в съответствие с изискванията на поканата по мярка 374. </w:t>
            </w:r>
          </w:p>
        </w:tc>
      </w:tr>
      <w:tr w:rsidR="00CE3BAD" w:rsidRPr="00782BF9" w14:paraId="13124587" w14:textId="77777777">
        <w:trPr>
          <w:trHeight w:val="1852"/>
          <w:jc w:val="center"/>
        </w:trPr>
        <w:tc>
          <w:tcPr>
            <w:tcW w:w="1134" w:type="dxa"/>
            <w:tcBorders>
              <w:top w:val="nil"/>
              <w:left w:val="single" w:sz="4" w:space="0" w:color="auto"/>
              <w:bottom w:val="single" w:sz="4" w:space="0" w:color="auto"/>
              <w:right w:val="single" w:sz="4" w:space="0" w:color="auto"/>
            </w:tcBorders>
            <w:shd w:val="clear" w:color="auto" w:fill="C6EFCE"/>
            <w:vAlign w:val="center"/>
          </w:tcPr>
          <w:p w14:paraId="294A4BEB" w14:textId="6087D696" w:rsidR="00CE3BAD" w:rsidRPr="00782BF9" w:rsidRDefault="006B5475">
            <w:pPr>
              <w:pStyle w:val="P68B1DB1-Normal10"/>
              <w:spacing w:line="240" w:lineRule="auto"/>
              <w:rPr>
                <w:rFonts w:eastAsia="Times New Roman"/>
                <w:noProof/>
                <w:lang w:val="bg-BG"/>
              </w:rPr>
            </w:pPr>
            <w:r w:rsidRPr="00782BF9">
              <w:rPr>
                <w:noProof/>
                <w:lang w:val="bg-BG"/>
              </w:rPr>
              <w:t>376</w:t>
            </w:r>
          </w:p>
        </w:tc>
        <w:tc>
          <w:tcPr>
            <w:tcW w:w="1843" w:type="dxa"/>
            <w:tcBorders>
              <w:top w:val="nil"/>
              <w:left w:val="nil"/>
              <w:bottom w:val="single" w:sz="4" w:space="0" w:color="auto"/>
              <w:right w:val="single" w:sz="4" w:space="0" w:color="auto"/>
            </w:tcBorders>
            <w:shd w:val="clear" w:color="auto" w:fill="C6EFCE"/>
            <w:vAlign w:val="center"/>
          </w:tcPr>
          <w:p w14:paraId="224F463F" w14:textId="5D63056B" w:rsidR="00CE3BAD" w:rsidRPr="00782BF9" w:rsidRDefault="006B5475">
            <w:pPr>
              <w:pStyle w:val="P68B1DB1-Normal10"/>
              <w:spacing w:line="240" w:lineRule="auto"/>
              <w:rPr>
                <w:rFonts w:eastAsia="Times New Roman"/>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79" w:type="dxa"/>
            <w:tcBorders>
              <w:top w:val="nil"/>
              <w:left w:val="nil"/>
              <w:bottom w:val="single" w:sz="4" w:space="0" w:color="auto"/>
              <w:right w:val="single" w:sz="4" w:space="0" w:color="auto"/>
            </w:tcBorders>
            <w:shd w:val="clear" w:color="auto" w:fill="C6EFCE"/>
            <w:vAlign w:val="center"/>
          </w:tcPr>
          <w:p w14:paraId="5646AA7D" w14:textId="744043CE" w:rsidR="00CE3BAD" w:rsidRPr="00782BF9" w:rsidRDefault="006B5475">
            <w:pPr>
              <w:pStyle w:val="P68B1DB1-Normal10"/>
              <w:spacing w:line="240" w:lineRule="auto"/>
              <w:rPr>
                <w:rFonts w:eastAsia="Times New Roman"/>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tcPr>
          <w:p w14:paraId="700761D0" w14:textId="60762361" w:rsidR="00CE3BAD" w:rsidRPr="00782BF9" w:rsidRDefault="006B5475">
            <w:pPr>
              <w:pStyle w:val="P68B1DB1-Normal10"/>
              <w:spacing w:line="240" w:lineRule="auto"/>
              <w:rPr>
                <w:rFonts w:eastAsia="Times New Roman"/>
                <w:noProof/>
                <w:lang w:val="bg-BG"/>
              </w:rPr>
            </w:pPr>
            <w:r w:rsidRPr="00782BF9">
              <w:rPr>
                <w:noProof/>
                <w:lang w:val="bg-BG"/>
              </w:rPr>
              <w:t>Инсталиране и пускане в експлоатация на интелигентни контейнери</w:t>
            </w:r>
          </w:p>
        </w:tc>
        <w:tc>
          <w:tcPr>
            <w:tcW w:w="1418" w:type="dxa"/>
            <w:tcBorders>
              <w:top w:val="single" w:sz="4" w:space="0" w:color="auto"/>
              <w:left w:val="nil"/>
              <w:bottom w:val="single" w:sz="4" w:space="0" w:color="auto"/>
              <w:right w:val="single" w:sz="4" w:space="0" w:color="auto"/>
            </w:tcBorders>
            <w:shd w:val="clear" w:color="auto" w:fill="C6EFCE"/>
            <w:vAlign w:val="center"/>
          </w:tcPr>
          <w:p w14:paraId="664051AF" w14:textId="77777777" w:rsidR="00CE3BAD" w:rsidRPr="00782BF9" w:rsidRDefault="00CE3BAD">
            <w:pPr>
              <w:spacing w:line="240" w:lineRule="auto"/>
              <w:rPr>
                <w:rFonts w:eastAsia="Times New Roman"/>
                <w:noProof/>
                <w:sz w:val="18"/>
                <w:lang w:val="bg-BG"/>
              </w:rPr>
            </w:pPr>
          </w:p>
        </w:tc>
        <w:tc>
          <w:tcPr>
            <w:tcW w:w="914" w:type="dxa"/>
            <w:tcBorders>
              <w:top w:val="nil"/>
              <w:left w:val="nil"/>
              <w:bottom w:val="single" w:sz="4" w:space="0" w:color="auto"/>
              <w:right w:val="single" w:sz="4" w:space="0" w:color="auto"/>
            </w:tcBorders>
            <w:shd w:val="clear" w:color="auto" w:fill="C6EFCE"/>
            <w:vAlign w:val="center"/>
          </w:tcPr>
          <w:p w14:paraId="4C8AA0C8" w14:textId="2F382FA8" w:rsidR="00CE3BAD" w:rsidRPr="00782BF9" w:rsidRDefault="006B5475">
            <w:pPr>
              <w:pStyle w:val="P68B1DB1-Normal10"/>
              <w:spacing w:line="240" w:lineRule="auto"/>
              <w:rPr>
                <w:rFonts w:eastAsia="Times New Roman"/>
                <w:noProof/>
                <w:lang w:val="bg-BG"/>
              </w:rPr>
            </w:pPr>
            <w:r w:rsidRPr="00782BF9">
              <w:rPr>
                <w:noProof/>
                <w:lang w:val="bg-BG"/>
              </w:rPr>
              <w:t xml:space="preserve">Брой </w:t>
            </w:r>
          </w:p>
        </w:tc>
        <w:tc>
          <w:tcPr>
            <w:tcW w:w="949" w:type="dxa"/>
            <w:tcBorders>
              <w:top w:val="nil"/>
              <w:left w:val="nil"/>
              <w:bottom w:val="single" w:sz="4" w:space="0" w:color="auto"/>
              <w:right w:val="single" w:sz="4" w:space="0" w:color="auto"/>
            </w:tcBorders>
            <w:shd w:val="clear" w:color="auto" w:fill="C6EFCE"/>
            <w:vAlign w:val="center"/>
          </w:tcPr>
          <w:p w14:paraId="7D46FC4F" w14:textId="19891DB2" w:rsidR="00CE3BAD" w:rsidRPr="00782BF9" w:rsidRDefault="006B5475">
            <w:pPr>
              <w:pStyle w:val="P68B1DB1-Normal10"/>
              <w:spacing w:line="240" w:lineRule="auto"/>
              <w:rPr>
                <w:rFonts w:eastAsia="Times New Roman"/>
                <w:noProof/>
                <w:lang w:val="bg-BG"/>
              </w:rPr>
            </w:pPr>
            <w:r w:rsidRPr="00782BF9">
              <w:rPr>
                <w:noProof/>
                <w:lang w:val="bg-BG"/>
              </w:rPr>
              <w:t>0</w:t>
            </w:r>
          </w:p>
        </w:tc>
        <w:tc>
          <w:tcPr>
            <w:tcW w:w="992" w:type="dxa"/>
            <w:tcBorders>
              <w:top w:val="nil"/>
              <w:left w:val="nil"/>
              <w:bottom w:val="single" w:sz="4" w:space="0" w:color="auto"/>
              <w:right w:val="single" w:sz="4" w:space="0" w:color="auto"/>
            </w:tcBorders>
            <w:shd w:val="clear" w:color="auto" w:fill="C6EFCE"/>
            <w:vAlign w:val="center"/>
          </w:tcPr>
          <w:p w14:paraId="274A52DE" w14:textId="3C44EB17" w:rsidR="00CE3BAD" w:rsidRPr="00782BF9" w:rsidRDefault="006B5475">
            <w:pPr>
              <w:pStyle w:val="P68B1DB1-Normal10"/>
              <w:spacing w:line="240" w:lineRule="auto"/>
              <w:rPr>
                <w:rFonts w:eastAsia="Times New Roman"/>
                <w:noProof/>
                <w:lang w:val="bg-BG"/>
              </w:rPr>
            </w:pPr>
            <w:r w:rsidRPr="00782BF9">
              <w:rPr>
                <w:noProof/>
                <w:lang w:val="bg-BG"/>
              </w:rPr>
              <w:t>930</w:t>
            </w:r>
          </w:p>
        </w:tc>
        <w:tc>
          <w:tcPr>
            <w:tcW w:w="850" w:type="dxa"/>
            <w:tcBorders>
              <w:top w:val="nil"/>
              <w:left w:val="nil"/>
              <w:bottom w:val="single" w:sz="4" w:space="0" w:color="auto"/>
              <w:right w:val="single" w:sz="4" w:space="0" w:color="auto"/>
            </w:tcBorders>
            <w:shd w:val="clear" w:color="auto" w:fill="C6EFCE"/>
            <w:vAlign w:val="center"/>
          </w:tcPr>
          <w:p w14:paraId="6959E557" w14:textId="3AFB9863" w:rsidR="00CE3BAD" w:rsidRPr="00782BF9" w:rsidRDefault="006B5475">
            <w:pPr>
              <w:pStyle w:val="P68B1DB1-Normal10"/>
              <w:spacing w:line="240" w:lineRule="auto"/>
              <w:rPr>
                <w:rFonts w:eastAsia="Times New Roman"/>
                <w:noProof/>
                <w:lang w:val="bg-BG"/>
              </w:rPr>
            </w:pPr>
            <w:r w:rsidRPr="00782BF9">
              <w:rPr>
                <w:noProof/>
                <w:lang w:val="bg-BG"/>
              </w:rPr>
              <w:t>Т1 Г.</w:t>
            </w:r>
          </w:p>
        </w:tc>
        <w:tc>
          <w:tcPr>
            <w:tcW w:w="709" w:type="dxa"/>
            <w:tcBorders>
              <w:top w:val="nil"/>
              <w:left w:val="nil"/>
              <w:bottom w:val="single" w:sz="4" w:space="0" w:color="auto"/>
              <w:right w:val="single" w:sz="4" w:space="0" w:color="auto"/>
            </w:tcBorders>
            <w:shd w:val="clear" w:color="auto" w:fill="C6EFCE"/>
            <w:vAlign w:val="center"/>
          </w:tcPr>
          <w:p w14:paraId="38C01A84" w14:textId="6111EF4C" w:rsidR="00CE3BAD" w:rsidRPr="00782BF9" w:rsidRDefault="006B5475">
            <w:pPr>
              <w:pStyle w:val="P68B1DB1-Normal10"/>
              <w:spacing w:line="240" w:lineRule="auto"/>
              <w:rPr>
                <w:rFonts w:eastAsia="Times New Roman"/>
                <w:noProof/>
                <w:lang w:val="bg-BG"/>
              </w:rPr>
            </w:pPr>
            <w:r w:rsidRPr="00782BF9">
              <w:rPr>
                <w:noProof/>
                <w:lang w:val="bg-BG"/>
              </w:rPr>
              <w:t>2026</w:t>
            </w:r>
          </w:p>
        </w:tc>
        <w:tc>
          <w:tcPr>
            <w:tcW w:w="4232" w:type="dxa"/>
            <w:tcBorders>
              <w:top w:val="nil"/>
              <w:left w:val="nil"/>
              <w:bottom w:val="single" w:sz="4" w:space="0" w:color="auto"/>
              <w:right w:val="single" w:sz="4" w:space="0" w:color="auto"/>
            </w:tcBorders>
            <w:shd w:val="clear" w:color="auto" w:fill="C6EFCE"/>
            <w:vAlign w:val="center"/>
          </w:tcPr>
          <w:p w14:paraId="3CC6009C" w14:textId="4DB2865F" w:rsidR="00CE3BAD" w:rsidRPr="00782BF9" w:rsidRDefault="006B5475">
            <w:pPr>
              <w:pStyle w:val="P68B1DB1-Normal10"/>
              <w:rPr>
                <w:rFonts w:eastAsia="Times New Roman"/>
                <w:noProof/>
                <w:lang w:val="bg-BG"/>
              </w:rPr>
            </w:pPr>
            <w:r w:rsidRPr="00782BF9">
              <w:rPr>
                <w:noProof/>
                <w:lang w:val="bg-BG"/>
              </w:rPr>
              <w:t xml:space="preserve">Инсталирани са най-малко 930 интелигентни контейнери за отпадъци, които са започнали да функционират в избраните общини в съответствие с изискванията на поканата за представяне на предложения по мярка 374. </w:t>
            </w:r>
          </w:p>
        </w:tc>
      </w:tr>
      <w:tr w:rsidR="00CE3BAD" w:rsidRPr="00782BF9" w14:paraId="7CF1F5DE" w14:textId="77777777">
        <w:trPr>
          <w:trHeight w:val="1852"/>
          <w:jc w:val="center"/>
        </w:trPr>
        <w:tc>
          <w:tcPr>
            <w:tcW w:w="1134" w:type="dxa"/>
            <w:tcBorders>
              <w:top w:val="nil"/>
              <w:left w:val="single" w:sz="4" w:space="0" w:color="auto"/>
              <w:bottom w:val="single" w:sz="4" w:space="0" w:color="auto"/>
              <w:right w:val="single" w:sz="4" w:space="0" w:color="auto"/>
            </w:tcBorders>
            <w:shd w:val="clear" w:color="auto" w:fill="C6EFCE"/>
            <w:vAlign w:val="center"/>
            <w:hideMark/>
          </w:tcPr>
          <w:p w14:paraId="301E70B2" w14:textId="7699B28E" w:rsidR="00CE3BAD" w:rsidRPr="00782BF9" w:rsidRDefault="006B5475">
            <w:pPr>
              <w:pStyle w:val="P68B1DB1-Normal10"/>
              <w:spacing w:line="240" w:lineRule="auto"/>
              <w:rPr>
                <w:rFonts w:eastAsia="Times New Roman"/>
                <w:noProof/>
                <w:lang w:val="bg-BG"/>
              </w:rPr>
            </w:pPr>
            <w:r w:rsidRPr="00782BF9">
              <w:rPr>
                <w:noProof/>
                <w:lang w:val="bg-BG"/>
              </w:rPr>
              <w:t>377</w:t>
            </w:r>
          </w:p>
        </w:tc>
        <w:tc>
          <w:tcPr>
            <w:tcW w:w="1843" w:type="dxa"/>
            <w:tcBorders>
              <w:top w:val="nil"/>
              <w:left w:val="nil"/>
              <w:bottom w:val="single" w:sz="4" w:space="0" w:color="auto"/>
              <w:right w:val="single" w:sz="4" w:space="0" w:color="auto"/>
            </w:tcBorders>
            <w:shd w:val="clear" w:color="auto" w:fill="C6EFCE"/>
            <w:vAlign w:val="center"/>
            <w:hideMark/>
          </w:tcPr>
          <w:p w14:paraId="25637C48" w14:textId="3AD3C16C" w:rsidR="00CE3BAD" w:rsidRPr="00782BF9" w:rsidRDefault="006B5475">
            <w:pPr>
              <w:pStyle w:val="P68B1DB1-Normal10"/>
              <w:spacing w:line="240" w:lineRule="auto"/>
              <w:rPr>
                <w:rFonts w:eastAsia="Times New Roman"/>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79" w:type="dxa"/>
            <w:tcBorders>
              <w:top w:val="single" w:sz="4" w:space="0" w:color="auto"/>
              <w:left w:val="nil"/>
              <w:bottom w:val="single" w:sz="4" w:space="0" w:color="auto"/>
              <w:right w:val="single" w:sz="4" w:space="0" w:color="auto"/>
            </w:tcBorders>
            <w:shd w:val="clear" w:color="auto" w:fill="C6EFCE"/>
            <w:vAlign w:val="center"/>
            <w:hideMark/>
          </w:tcPr>
          <w:p w14:paraId="0042AFD2" w14:textId="028C555B" w:rsidR="00CE3BAD" w:rsidRPr="00782BF9" w:rsidRDefault="006B5475">
            <w:pPr>
              <w:pStyle w:val="P68B1DB1-Normal10"/>
              <w:spacing w:line="240" w:lineRule="auto"/>
              <w:rPr>
                <w:rFonts w:eastAsia="Times New Roman"/>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hideMark/>
          </w:tcPr>
          <w:p w14:paraId="7A6095BC" w14:textId="2A0F0087" w:rsidR="00CE3BAD" w:rsidRPr="00782BF9" w:rsidRDefault="006B5475">
            <w:pPr>
              <w:pStyle w:val="P68B1DB1-Normal10"/>
              <w:spacing w:line="240" w:lineRule="auto"/>
              <w:rPr>
                <w:rFonts w:eastAsia="Times New Roman"/>
                <w:noProof/>
                <w:lang w:val="bg-BG"/>
              </w:rPr>
            </w:pPr>
            <w:r w:rsidRPr="00782BF9">
              <w:rPr>
                <w:noProof/>
                <w:lang w:val="bg-BG"/>
              </w:rPr>
              <w:t>Инсталиране и пускане в експлоатация на подземни контейнери за отпадъци</w:t>
            </w:r>
          </w:p>
        </w:tc>
        <w:tc>
          <w:tcPr>
            <w:tcW w:w="1418" w:type="dxa"/>
            <w:tcBorders>
              <w:top w:val="single" w:sz="4" w:space="0" w:color="auto"/>
              <w:left w:val="nil"/>
              <w:bottom w:val="single" w:sz="4" w:space="0" w:color="auto"/>
              <w:right w:val="single" w:sz="4" w:space="0" w:color="auto"/>
            </w:tcBorders>
            <w:shd w:val="clear" w:color="auto" w:fill="C6EFCE"/>
            <w:vAlign w:val="center"/>
            <w:hideMark/>
          </w:tcPr>
          <w:p w14:paraId="0428EB85" w14:textId="579D0B98" w:rsidR="00CE3BAD" w:rsidRPr="00782BF9" w:rsidRDefault="00CE3BAD">
            <w:pPr>
              <w:spacing w:line="240" w:lineRule="auto"/>
              <w:rPr>
                <w:rFonts w:eastAsia="Times New Roman"/>
                <w:noProof/>
                <w:sz w:val="18"/>
                <w:lang w:val="bg-BG"/>
              </w:rPr>
            </w:pPr>
          </w:p>
        </w:tc>
        <w:tc>
          <w:tcPr>
            <w:tcW w:w="914" w:type="dxa"/>
            <w:tcBorders>
              <w:top w:val="nil"/>
              <w:left w:val="nil"/>
              <w:bottom w:val="single" w:sz="4" w:space="0" w:color="auto"/>
              <w:right w:val="single" w:sz="4" w:space="0" w:color="auto"/>
            </w:tcBorders>
            <w:shd w:val="clear" w:color="auto" w:fill="C6EFCE"/>
            <w:vAlign w:val="center"/>
            <w:hideMark/>
          </w:tcPr>
          <w:p w14:paraId="7F540746" w14:textId="756A8EF1" w:rsidR="00CE3BAD" w:rsidRPr="00782BF9" w:rsidRDefault="006B5475">
            <w:pPr>
              <w:pStyle w:val="P68B1DB1-Normal10"/>
              <w:spacing w:line="240" w:lineRule="auto"/>
              <w:rPr>
                <w:rFonts w:eastAsia="Times New Roman"/>
                <w:noProof/>
                <w:lang w:val="bg-BG"/>
              </w:rPr>
            </w:pPr>
            <w:r w:rsidRPr="00782BF9">
              <w:rPr>
                <w:noProof/>
                <w:lang w:val="bg-BG"/>
              </w:rPr>
              <w:t xml:space="preserve">Брой </w:t>
            </w:r>
          </w:p>
        </w:tc>
        <w:tc>
          <w:tcPr>
            <w:tcW w:w="949" w:type="dxa"/>
            <w:tcBorders>
              <w:top w:val="nil"/>
              <w:left w:val="nil"/>
              <w:bottom w:val="single" w:sz="4" w:space="0" w:color="auto"/>
              <w:right w:val="single" w:sz="4" w:space="0" w:color="auto"/>
            </w:tcBorders>
            <w:shd w:val="clear" w:color="auto" w:fill="C6EFCE"/>
            <w:vAlign w:val="center"/>
            <w:hideMark/>
          </w:tcPr>
          <w:p w14:paraId="53E01427" w14:textId="15ACF995" w:rsidR="00CE3BAD" w:rsidRPr="00782BF9" w:rsidRDefault="006B5475">
            <w:pPr>
              <w:pStyle w:val="P68B1DB1-Normal10"/>
              <w:spacing w:line="240" w:lineRule="auto"/>
              <w:rPr>
                <w:rFonts w:eastAsia="Times New Roman"/>
                <w:noProof/>
                <w:lang w:val="bg-BG"/>
              </w:rPr>
            </w:pPr>
            <w:r w:rsidRPr="00782BF9">
              <w:rPr>
                <w:noProof/>
                <w:lang w:val="bg-BG"/>
              </w:rPr>
              <w:t>0</w:t>
            </w:r>
          </w:p>
        </w:tc>
        <w:tc>
          <w:tcPr>
            <w:tcW w:w="992" w:type="dxa"/>
            <w:tcBorders>
              <w:top w:val="nil"/>
              <w:left w:val="nil"/>
              <w:bottom w:val="single" w:sz="4" w:space="0" w:color="auto"/>
              <w:right w:val="single" w:sz="4" w:space="0" w:color="auto"/>
            </w:tcBorders>
            <w:shd w:val="clear" w:color="auto" w:fill="C6EFCE"/>
            <w:vAlign w:val="center"/>
            <w:hideMark/>
          </w:tcPr>
          <w:p w14:paraId="423BD887" w14:textId="25031D8F" w:rsidR="00CE3BAD" w:rsidRPr="00782BF9" w:rsidRDefault="006B5475">
            <w:pPr>
              <w:pStyle w:val="P68B1DB1-Normal10"/>
              <w:spacing w:line="240" w:lineRule="auto"/>
              <w:rPr>
                <w:rFonts w:eastAsia="Times New Roman"/>
                <w:noProof/>
                <w:lang w:val="bg-BG"/>
              </w:rPr>
            </w:pPr>
            <w:r w:rsidRPr="00782BF9">
              <w:rPr>
                <w:noProof/>
                <w:lang w:val="bg-BG"/>
              </w:rPr>
              <w:t>860</w:t>
            </w:r>
          </w:p>
        </w:tc>
        <w:tc>
          <w:tcPr>
            <w:tcW w:w="850" w:type="dxa"/>
            <w:tcBorders>
              <w:top w:val="nil"/>
              <w:left w:val="nil"/>
              <w:bottom w:val="single" w:sz="4" w:space="0" w:color="auto"/>
              <w:right w:val="single" w:sz="4" w:space="0" w:color="auto"/>
            </w:tcBorders>
            <w:shd w:val="clear" w:color="auto" w:fill="C6EFCE"/>
            <w:vAlign w:val="center"/>
            <w:hideMark/>
          </w:tcPr>
          <w:p w14:paraId="7AF545DE" w14:textId="72AE1E5D" w:rsidR="00CE3BAD" w:rsidRPr="00782BF9" w:rsidRDefault="006B5475">
            <w:pPr>
              <w:pStyle w:val="P68B1DB1-Normal10"/>
              <w:spacing w:line="240" w:lineRule="auto"/>
              <w:rPr>
                <w:rFonts w:eastAsia="Times New Roman"/>
                <w:noProof/>
                <w:lang w:val="bg-BG"/>
              </w:rPr>
            </w:pPr>
            <w:r w:rsidRPr="00782BF9">
              <w:rPr>
                <w:noProof/>
                <w:lang w:val="bg-BG"/>
              </w:rPr>
              <w:t>Т2 Г.</w:t>
            </w:r>
          </w:p>
        </w:tc>
        <w:tc>
          <w:tcPr>
            <w:tcW w:w="709" w:type="dxa"/>
            <w:tcBorders>
              <w:top w:val="nil"/>
              <w:left w:val="nil"/>
              <w:bottom w:val="single" w:sz="4" w:space="0" w:color="auto"/>
              <w:right w:val="single" w:sz="4" w:space="0" w:color="auto"/>
            </w:tcBorders>
            <w:shd w:val="clear" w:color="auto" w:fill="C6EFCE"/>
            <w:vAlign w:val="center"/>
            <w:hideMark/>
          </w:tcPr>
          <w:p w14:paraId="5F93CC9A" w14:textId="08FEFF73" w:rsidR="00CE3BAD" w:rsidRPr="00782BF9" w:rsidRDefault="006B5475">
            <w:pPr>
              <w:pStyle w:val="P68B1DB1-Normal10"/>
              <w:spacing w:line="240" w:lineRule="auto"/>
              <w:rPr>
                <w:rFonts w:eastAsia="Times New Roman"/>
                <w:noProof/>
                <w:lang w:val="bg-BG"/>
              </w:rPr>
            </w:pPr>
            <w:r w:rsidRPr="00782BF9">
              <w:rPr>
                <w:noProof/>
                <w:lang w:val="bg-BG"/>
              </w:rPr>
              <w:t>2026</w:t>
            </w:r>
          </w:p>
        </w:tc>
        <w:tc>
          <w:tcPr>
            <w:tcW w:w="4232" w:type="dxa"/>
            <w:tcBorders>
              <w:top w:val="nil"/>
              <w:left w:val="nil"/>
              <w:bottom w:val="single" w:sz="4" w:space="0" w:color="auto"/>
              <w:right w:val="single" w:sz="4" w:space="0" w:color="auto"/>
            </w:tcBorders>
            <w:shd w:val="clear" w:color="auto" w:fill="C6EFCE"/>
            <w:vAlign w:val="center"/>
            <w:hideMark/>
          </w:tcPr>
          <w:p w14:paraId="3A238A10" w14:textId="5B8E8C4A" w:rsidR="00CE3BAD" w:rsidRPr="00782BF9" w:rsidRDefault="006B5475">
            <w:pPr>
              <w:pStyle w:val="P68B1DB1-Normal10"/>
              <w:spacing w:line="240" w:lineRule="auto"/>
              <w:rPr>
                <w:rFonts w:eastAsia="Times New Roman"/>
                <w:noProof/>
                <w:lang w:val="bg-BG"/>
              </w:rPr>
            </w:pPr>
            <w:r w:rsidRPr="00782BF9">
              <w:rPr>
                <w:noProof/>
                <w:lang w:val="bg-BG"/>
              </w:rPr>
              <w:t>Инсталирани са най-малко 860 подземни контейнери за отпадъци, които са започнали работа в избраните общини в съответствие с изискванията на поканата за представяне на предложения по мярка 374.</w:t>
            </w:r>
          </w:p>
        </w:tc>
      </w:tr>
      <w:tr w:rsidR="00CE3BAD" w:rsidRPr="00782BF9" w14:paraId="062CE998" w14:textId="77777777">
        <w:trPr>
          <w:trHeight w:val="2214"/>
          <w:jc w:val="center"/>
        </w:trPr>
        <w:tc>
          <w:tcPr>
            <w:tcW w:w="1134" w:type="dxa"/>
            <w:tcBorders>
              <w:top w:val="nil"/>
              <w:left w:val="single" w:sz="4" w:space="0" w:color="auto"/>
              <w:bottom w:val="single" w:sz="4" w:space="0" w:color="auto"/>
              <w:right w:val="single" w:sz="4" w:space="0" w:color="auto"/>
            </w:tcBorders>
            <w:shd w:val="clear" w:color="auto" w:fill="C6EFCE"/>
            <w:vAlign w:val="center"/>
            <w:hideMark/>
          </w:tcPr>
          <w:p w14:paraId="0CD7EAC1" w14:textId="5536319B" w:rsidR="00CE3BAD" w:rsidRPr="00782BF9" w:rsidRDefault="006B5475">
            <w:pPr>
              <w:pStyle w:val="P68B1DB1-Normal10"/>
              <w:spacing w:line="240" w:lineRule="auto"/>
              <w:rPr>
                <w:rFonts w:eastAsia="Times New Roman"/>
                <w:noProof/>
                <w:lang w:val="bg-BG"/>
              </w:rPr>
            </w:pPr>
            <w:r w:rsidRPr="00782BF9">
              <w:rPr>
                <w:noProof/>
                <w:lang w:val="bg-BG"/>
              </w:rPr>
              <w:t>378</w:t>
            </w:r>
          </w:p>
        </w:tc>
        <w:tc>
          <w:tcPr>
            <w:tcW w:w="1843" w:type="dxa"/>
            <w:tcBorders>
              <w:top w:val="nil"/>
              <w:left w:val="nil"/>
              <w:bottom w:val="single" w:sz="4" w:space="0" w:color="auto"/>
              <w:right w:val="single" w:sz="4" w:space="0" w:color="auto"/>
            </w:tcBorders>
            <w:shd w:val="clear" w:color="auto" w:fill="C6EFCE"/>
            <w:vAlign w:val="center"/>
            <w:hideMark/>
          </w:tcPr>
          <w:p w14:paraId="5DBDA053" w14:textId="68B0271F" w:rsidR="00CE3BAD" w:rsidRPr="00782BF9" w:rsidRDefault="006B5475">
            <w:pPr>
              <w:pStyle w:val="P68B1DB1-Normal10"/>
              <w:spacing w:line="240" w:lineRule="auto"/>
              <w:rPr>
                <w:rFonts w:eastAsia="Times New Roman"/>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79" w:type="dxa"/>
            <w:tcBorders>
              <w:top w:val="nil"/>
              <w:left w:val="nil"/>
              <w:bottom w:val="single" w:sz="4" w:space="0" w:color="auto"/>
              <w:right w:val="single" w:sz="4" w:space="0" w:color="auto"/>
            </w:tcBorders>
            <w:shd w:val="clear" w:color="auto" w:fill="C6EFCE"/>
            <w:vAlign w:val="center"/>
            <w:hideMark/>
          </w:tcPr>
          <w:p w14:paraId="55277CD8" w14:textId="32CF625C" w:rsidR="00CE3BAD" w:rsidRPr="00782BF9" w:rsidRDefault="006B5475">
            <w:pPr>
              <w:pStyle w:val="P68B1DB1-Normal10"/>
              <w:spacing w:line="240" w:lineRule="auto"/>
              <w:rPr>
                <w:rFonts w:eastAsia="Times New Roman"/>
                <w:noProof/>
                <w:lang w:val="bg-BG"/>
              </w:rPr>
            </w:pPr>
            <w:r w:rsidRPr="00782BF9">
              <w:rPr>
                <w:noProof/>
                <w:lang w:val="bg-BG"/>
              </w:rPr>
              <w:t>Целеви</w:t>
            </w:r>
          </w:p>
        </w:tc>
        <w:tc>
          <w:tcPr>
            <w:tcW w:w="1701" w:type="dxa"/>
            <w:tcBorders>
              <w:top w:val="nil"/>
              <w:left w:val="nil"/>
              <w:bottom w:val="single" w:sz="4" w:space="0" w:color="auto"/>
              <w:right w:val="single" w:sz="4" w:space="0" w:color="auto"/>
            </w:tcBorders>
            <w:shd w:val="clear" w:color="auto" w:fill="C6EFCE"/>
            <w:vAlign w:val="center"/>
            <w:hideMark/>
          </w:tcPr>
          <w:p w14:paraId="3A05536C" w14:textId="6F215FF9" w:rsidR="00CE3BAD" w:rsidRPr="00782BF9" w:rsidRDefault="006B5475">
            <w:pPr>
              <w:pStyle w:val="P68B1DB1-Normal10"/>
              <w:spacing w:line="240" w:lineRule="auto"/>
              <w:rPr>
                <w:rFonts w:eastAsia="Times New Roman"/>
                <w:noProof/>
                <w:lang w:val="bg-BG"/>
              </w:rPr>
            </w:pPr>
            <w:r w:rsidRPr="00782BF9">
              <w:rPr>
                <w:noProof/>
                <w:lang w:val="bg-BG"/>
              </w:rPr>
              <w:t>Закупуване и пускане в експлоатация на превозни средства с нулеви емисии за нова инфраструктура за събиране на отпадъци</w:t>
            </w:r>
          </w:p>
        </w:tc>
        <w:tc>
          <w:tcPr>
            <w:tcW w:w="1418" w:type="dxa"/>
            <w:tcBorders>
              <w:top w:val="single" w:sz="4" w:space="0" w:color="auto"/>
              <w:left w:val="nil"/>
              <w:bottom w:val="single" w:sz="4" w:space="0" w:color="auto"/>
              <w:right w:val="single" w:sz="4" w:space="0" w:color="auto"/>
            </w:tcBorders>
            <w:shd w:val="clear" w:color="auto" w:fill="C6EFCE"/>
            <w:vAlign w:val="center"/>
            <w:hideMark/>
          </w:tcPr>
          <w:p w14:paraId="3645CFC0" w14:textId="04AA1487" w:rsidR="00CE3BAD" w:rsidRPr="00782BF9" w:rsidRDefault="00CE3BAD">
            <w:pPr>
              <w:spacing w:line="240" w:lineRule="auto"/>
              <w:rPr>
                <w:rFonts w:eastAsia="Times New Roman"/>
                <w:noProof/>
                <w:sz w:val="18"/>
                <w:lang w:val="bg-BG"/>
              </w:rPr>
            </w:pPr>
          </w:p>
        </w:tc>
        <w:tc>
          <w:tcPr>
            <w:tcW w:w="914" w:type="dxa"/>
            <w:tcBorders>
              <w:top w:val="nil"/>
              <w:left w:val="nil"/>
              <w:bottom w:val="single" w:sz="4" w:space="0" w:color="auto"/>
              <w:right w:val="single" w:sz="4" w:space="0" w:color="auto"/>
            </w:tcBorders>
            <w:shd w:val="clear" w:color="auto" w:fill="C6EFCE"/>
            <w:vAlign w:val="center"/>
            <w:hideMark/>
          </w:tcPr>
          <w:p w14:paraId="01392575" w14:textId="4ECE3800" w:rsidR="00CE3BAD" w:rsidRPr="00782BF9" w:rsidRDefault="006B5475">
            <w:pPr>
              <w:pStyle w:val="P68B1DB1-Normal10"/>
              <w:spacing w:line="240" w:lineRule="auto"/>
              <w:rPr>
                <w:rFonts w:eastAsia="Times New Roman"/>
                <w:noProof/>
                <w:lang w:val="bg-BG"/>
              </w:rPr>
            </w:pPr>
            <w:r w:rsidRPr="00782BF9">
              <w:rPr>
                <w:noProof/>
                <w:lang w:val="bg-BG"/>
              </w:rPr>
              <w:t>Брой</w:t>
            </w:r>
          </w:p>
        </w:tc>
        <w:tc>
          <w:tcPr>
            <w:tcW w:w="949" w:type="dxa"/>
            <w:tcBorders>
              <w:top w:val="nil"/>
              <w:left w:val="nil"/>
              <w:bottom w:val="single" w:sz="4" w:space="0" w:color="auto"/>
              <w:right w:val="single" w:sz="4" w:space="0" w:color="auto"/>
            </w:tcBorders>
            <w:shd w:val="clear" w:color="auto" w:fill="C6EFCE"/>
            <w:vAlign w:val="center"/>
            <w:hideMark/>
          </w:tcPr>
          <w:p w14:paraId="0BB77DCC" w14:textId="48CFA7E5" w:rsidR="00CE3BAD" w:rsidRPr="00782BF9" w:rsidRDefault="006B5475">
            <w:pPr>
              <w:pStyle w:val="P68B1DB1-Normal10"/>
              <w:spacing w:line="240" w:lineRule="auto"/>
              <w:rPr>
                <w:rFonts w:eastAsia="Times New Roman"/>
                <w:noProof/>
                <w:lang w:val="bg-BG"/>
              </w:rPr>
            </w:pPr>
            <w:r w:rsidRPr="00782BF9">
              <w:rPr>
                <w:noProof/>
                <w:lang w:val="bg-BG"/>
              </w:rPr>
              <w:t>0</w:t>
            </w:r>
          </w:p>
        </w:tc>
        <w:tc>
          <w:tcPr>
            <w:tcW w:w="992" w:type="dxa"/>
            <w:tcBorders>
              <w:top w:val="nil"/>
              <w:left w:val="nil"/>
              <w:bottom w:val="single" w:sz="4" w:space="0" w:color="auto"/>
              <w:right w:val="single" w:sz="4" w:space="0" w:color="auto"/>
            </w:tcBorders>
            <w:shd w:val="clear" w:color="auto" w:fill="C6EFCE"/>
            <w:vAlign w:val="center"/>
            <w:hideMark/>
          </w:tcPr>
          <w:p w14:paraId="2E05C235" w14:textId="6EE811E2" w:rsidR="00CE3BAD" w:rsidRPr="00782BF9" w:rsidRDefault="006B5475">
            <w:pPr>
              <w:pStyle w:val="P68B1DB1-Normal10"/>
              <w:spacing w:line="240" w:lineRule="auto"/>
              <w:rPr>
                <w:rFonts w:eastAsia="Times New Roman"/>
                <w:noProof/>
                <w:lang w:val="bg-BG"/>
              </w:rPr>
            </w:pPr>
            <w:r w:rsidRPr="00782BF9">
              <w:rPr>
                <w:noProof/>
                <w:lang w:val="bg-BG"/>
              </w:rPr>
              <w:t>111</w:t>
            </w:r>
          </w:p>
        </w:tc>
        <w:tc>
          <w:tcPr>
            <w:tcW w:w="850" w:type="dxa"/>
            <w:tcBorders>
              <w:top w:val="nil"/>
              <w:left w:val="nil"/>
              <w:bottom w:val="single" w:sz="4" w:space="0" w:color="auto"/>
              <w:right w:val="single" w:sz="4" w:space="0" w:color="auto"/>
            </w:tcBorders>
            <w:shd w:val="clear" w:color="auto" w:fill="C6EFCE"/>
            <w:vAlign w:val="center"/>
            <w:hideMark/>
          </w:tcPr>
          <w:p w14:paraId="1E07D89D" w14:textId="6F218A61" w:rsidR="00CE3BAD" w:rsidRPr="00782BF9" w:rsidRDefault="006B5475">
            <w:pPr>
              <w:pStyle w:val="P68B1DB1-Normal10"/>
              <w:spacing w:line="240" w:lineRule="auto"/>
              <w:rPr>
                <w:rFonts w:eastAsia="Times New Roman"/>
                <w:noProof/>
                <w:lang w:val="bg-BG"/>
              </w:rPr>
            </w:pPr>
            <w:r w:rsidRPr="00782BF9">
              <w:rPr>
                <w:noProof/>
                <w:lang w:val="bg-BG"/>
              </w:rPr>
              <w:t>Т2 Г.</w:t>
            </w:r>
          </w:p>
        </w:tc>
        <w:tc>
          <w:tcPr>
            <w:tcW w:w="709" w:type="dxa"/>
            <w:tcBorders>
              <w:top w:val="nil"/>
              <w:left w:val="nil"/>
              <w:bottom w:val="single" w:sz="4" w:space="0" w:color="auto"/>
              <w:right w:val="single" w:sz="4" w:space="0" w:color="auto"/>
            </w:tcBorders>
            <w:shd w:val="clear" w:color="auto" w:fill="C6EFCE"/>
            <w:vAlign w:val="center"/>
            <w:hideMark/>
          </w:tcPr>
          <w:p w14:paraId="221989F7" w14:textId="03EA04E6" w:rsidR="00CE3BAD" w:rsidRPr="00782BF9" w:rsidRDefault="006B5475">
            <w:pPr>
              <w:pStyle w:val="P68B1DB1-Normal10"/>
              <w:spacing w:line="240" w:lineRule="auto"/>
              <w:rPr>
                <w:rFonts w:eastAsia="Times New Roman"/>
                <w:noProof/>
                <w:lang w:val="bg-BG"/>
              </w:rPr>
            </w:pPr>
            <w:r w:rsidRPr="00782BF9">
              <w:rPr>
                <w:noProof/>
                <w:lang w:val="bg-BG"/>
              </w:rPr>
              <w:t>2026</w:t>
            </w:r>
          </w:p>
        </w:tc>
        <w:tc>
          <w:tcPr>
            <w:tcW w:w="4232" w:type="dxa"/>
            <w:tcBorders>
              <w:top w:val="nil"/>
              <w:left w:val="nil"/>
              <w:bottom w:val="single" w:sz="4" w:space="0" w:color="auto"/>
              <w:right w:val="single" w:sz="4" w:space="0" w:color="auto"/>
            </w:tcBorders>
            <w:shd w:val="clear" w:color="auto" w:fill="C6EFCE"/>
            <w:vAlign w:val="center"/>
            <w:hideMark/>
          </w:tcPr>
          <w:p w14:paraId="648EFDFE" w14:textId="4D922A9F" w:rsidR="00CE3BAD" w:rsidRPr="00782BF9" w:rsidRDefault="006B5475">
            <w:pPr>
              <w:pStyle w:val="P68B1DB1-Normal10"/>
              <w:spacing w:line="257" w:lineRule="auto"/>
              <w:jc w:val="both"/>
              <w:rPr>
                <w:rFonts w:eastAsia="Times New Roman"/>
                <w:noProof/>
                <w:lang w:val="bg-BG"/>
              </w:rPr>
            </w:pPr>
            <w:r w:rsidRPr="00782BF9">
              <w:rPr>
                <w:noProof/>
                <w:lang w:val="bg-BG"/>
              </w:rPr>
              <w:t xml:space="preserve">Най-малко 32 камиона с нулеви емисии за подземни контейнери под Т377 и най-малко 79 камиона с нулеви емисии за интелигентните контейнери в рамките на Т376 трябва да са закупени и да са започнали работа в избраните общини в съответствие с изискванията на поканата за представяне на предложения по мярка 374. </w:t>
            </w:r>
          </w:p>
        </w:tc>
      </w:tr>
      <w:tr w:rsidR="00CE3BAD" w:rsidRPr="00782BF9" w14:paraId="23065BF8" w14:textId="77777777">
        <w:trPr>
          <w:trHeight w:val="365"/>
          <w:jc w:val="center"/>
        </w:trPr>
        <w:tc>
          <w:tcPr>
            <w:tcW w:w="1134" w:type="dxa"/>
            <w:tcBorders>
              <w:top w:val="nil"/>
              <w:left w:val="single" w:sz="4" w:space="0" w:color="auto"/>
              <w:bottom w:val="single" w:sz="4" w:space="0" w:color="auto"/>
              <w:right w:val="single" w:sz="4" w:space="0" w:color="auto"/>
            </w:tcBorders>
            <w:shd w:val="clear" w:color="auto" w:fill="C6EFCE"/>
            <w:vAlign w:val="center"/>
            <w:hideMark/>
          </w:tcPr>
          <w:p w14:paraId="29F5F8BF" w14:textId="6BB73226" w:rsidR="00CE3BAD" w:rsidRPr="00782BF9" w:rsidRDefault="006B5475">
            <w:pPr>
              <w:pStyle w:val="P68B1DB1-Normal10"/>
              <w:spacing w:line="240" w:lineRule="auto"/>
              <w:rPr>
                <w:rFonts w:eastAsia="Times New Roman"/>
                <w:noProof/>
                <w:lang w:val="bg-BG"/>
              </w:rPr>
            </w:pPr>
            <w:r w:rsidRPr="00782BF9">
              <w:rPr>
                <w:noProof/>
                <w:lang w:val="bg-BG"/>
              </w:rPr>
              <w:t>379</w:t>
            </w:r>
          </w:p>
        </w:tc>
        <w:tc>
          <w:tcPr>
            <w:tcW w:w="1843" w:type="dxa"/>
            <w:tcBorders>
              <w:top w:val="nil"/>
              <w:left w:val="nil"/>
              <w:bottom w:val="single" w:sz="4" w:space="0" w:color="auto"/>
              <w:right w:val="single" w:sz="4" w:space="0" w:color="auto"/>
            </w:tcBorders>
            <w:shd w:val="clear" w:color="auto" w:fill="C6EFCE"/>
            <w:vAlign w:val="center"/>
            <w:hideMark/>
          </w:tcPr>
          <w:p w14:paraId="75110CD8" w14:textId="48D9B6C3" w:rsidR="00CE3BAD" w:rsidRPr="00782BF9" w:rsidRDefault="006B5475">
            <w:pPr>
              <w:pStyle w:val="P68B1DB1-Normal10"/>
              <w:spacing w:line="240" w:lineRule="auto"/>
              <w:rPr>
                <w:rFonts w:eastAsia="Times New Roman"/>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79" w:type="dxa"/>
            <w:tcBorders>
              <w:top w:val="single" w:sz="4" w:space="0" w:color="auto"/>
              <w:left w:val="nil"/>
              <w:bottom w:val="single" w:sz="4" w:space="0" w:color="auto"/>
              <w:right w:val="single" w:sz="4" w:space="0" w:color="auto"/>
            </w:tcBorders>
            <w:shd w:val="clear" w:color="auto" w:fill="C6EFCE"/>
            <w:vAlign w:val="center"/>
            <w:hideMark/>
          </w:tcPr>
          <w:p w14:paraId="463C76DB" w14:textId="50E9F94E" w:rsidR="00CE3BAD" w:rsidRPr="00782BF9" w:rsidRDefault="006B5475">
            <w:pPr>
              <w:pStyle w:val="P68B1DB1-Normal10"/>
              <w:spacing w:line="240" w:lineRule="auto"/>
              <w:rPr>
                <w:rFonts w:eastAsia="Times New Roman"/>
                <w:noProof/>
                <w:lang w:val="bg-BG"/>
              </w:rPr>
            </w:pPr>
            <w:r w:rsidRPr="00782BF9">
              <w:rPr>
                <w:noProof/>
                <w:lang w:val="bg-BG"/>
              </w:rPr>
              <w:t>Тарето</w:t>
            </w:r>
          </w:p>
        </w:tc>
        <w:tc>
          <w:tcPr>
            <w:tcW w:w="1701" w:type="dxa"/>
            <w:tcBorders>
              <w:top w:val="nil"/>
              <w:left w:val="nil"/>
              <w:bottom w:val="single" w:sz="4" w:space="0" w:color="auto"/>
              <w:right w:val="single" w:sz="4" w:space="0" w:color="auto"/>
            </w:tcBorders>
            <w:shd w:val="clear" w:color="auto" w:fill="C6EFCE"/>
            <w:vAlign w:val="center"/>
            <w:hideMark/>
          </w:tcPr>
          <w:p w14:paraId="0B943F07" w14:textId="6E0BD689" w:rsidR="00CE3BAD" w:rsidRPr="00782BF9" w:rsidRDefault="006B5475">
            <w:pPr>
              <w:pStyle w:val="P68B1DB1-Normal10"/>
              <w:spacing w:line="240" w:lineRule="auto"/>
              <w:rPr>
                <w:rFonts w:eastAsia="Times New Roman"/>
                <w:noProof/>
                <w:lang w:val="bg-BG"/>
              </w:rPr>
            </w:pPr>
            <w:r w:rsidRPr="00782BF9">
              <w:rPr>
                <w:noProof/>
                <w:lang w:val="bg-BG"/>
              </w:rPr>
              <w:t>Капацитет за събиране на отпадъци на инсталираната инфраструктура</w:t>
            </w:r>
          </w:p>
        </w:tc>
        <w:tc>
          <w:tcPr>
            <w:tcW w:w="1418" w:type="dxa"/>
            <w:tcBorders>
              <w:top w:val="single" w:sz="4" w:space="0" w:color="auto"/>
              <w:left w:val="nil"/>
              <w:bottom w:val="single" w:sz="4" w:space="0" w:color="auto"/>
              <w:right w:val="single" w:sz="4" w:space="0" w:color="auto"/>
            </w:tcBorders>
            <w:shd w:val="clear" w:color="auto" w:fill="C6EFCE"/>
            <w:vAlign w:val="center"/>
            <w:hideMark/>
          </w:tcPr>
          <w:p w14:paraId="4331C22B" w14:textId="54415119" w:rsidR="00CE3BAD" w:rsidRPr="00782BF9" w:rsidRDefault="00CE3BAD">
            <w:pPr>
              <w:spacing w:line="240" w:lineRule="auto"/>
              <w:rPr>
                <w:rFonts w:eastAsia="Times New Roman"/>
                <w:noProof/>
                <w:sz w:val="18"/>
                <w:lang w:val="bg-BG"/>
              </w:rPr>
            </w:pPr>
          </w:p>
        </w:tc>
        <w:tc>
          <w:tcPr>
            <w:tcW w:w="914" w:type="dxa"/>
            <w:tcBorders>
              <w:top w:val="nil"/>
              <w:left w:val="nil"/>
              <w:bottom w:val="single" w:sz="4" w:space="0" w:color="auto"/>
              <w:right w:val="single" w:sz="4" w:space="0" w:color="auto"/>
            </w:tcBorders>
            <w:shd w:val="clear" w:color="auto" w:fill="C6EFCE"/>
            <w:vAlign w:val="center"/>
            <w:hideMark/>
          </w:tcPr>
          <w:p w14:paraId="29BC4927" w14:textId="573233FD" w:rsidR="00CE3BAD" w:rsidRPr="00782BF9" w:rsidRDefault="006B5475">
            <w:pPr>
              <w:pStyle w:val="P68B1DB1-Normal10"/>
              <w:spacing w:line="240" w:lineRule="auto"/>
              <w:rPr>
                <w:rFonts w:eastAsia="Times New Roman"/>
                <w:noProof/>
                <w:lang w:val="bg-BG"/>
              </w:rPr>
            </w:pPr>
            <w:r w:rsidRPr="00782BF9">
              <w:rPr>
                <w:noProof/>
                <w:lang w:val="bg-BG"/>
              </w:rPr>
              <w:t xml:space="preserve">Тонове </w:t>
            </w:r>
          </w:p>
        </w:tc>
        <w:tc>
          <w:tcPr>
            <w:tcW w:w="949" w:type="dxa"/>
            <w:tcBorders>
              <w:top w:val="nil"/>
              <w:left w:val="nil"/>
              <w:bottom w:val="single" w:sz="4" w:space="0" w:color="auto"/>
              <w:right w:val="single" w:sz="4" w:space="0" w:color="auto"/>
            </w:tcBorders>
            <w:shd w:val="clear" w:color="auto" w:fill="C6EFCE"/>
            <w:vAlign w:val="center"/>
            <w:hideMark/>
          </w:tcPr>
          <w:p w14:paraId="60B0D513" w14:textId="2FEA780F" w:rsidR="00CE3BAD" w:rsidRPr="00782BF9" w:rsidRDefault="006B5475">
            <w:pPr>
              <w:pStyle w:val="P68B1DB1-Normal10"/>
              <w:spacing w:line="240" w:lineRule="auto"/>
              <w:rPr>
                <w:rFonts w:eastAsia="Times New Roman"/>
                <w:noProof/>
                <w:lang w:val="bg-BG"/>
              </w:rPr>
            </w:pPr>
            <w:r w:rsidRPr="00782BF9">
              <w:rPr>
                <w:noProof/>
                <w:lang w:val="bg-BG"/>
              </w:rPr>
              <w:t>0</w:t>
            </w:r>
          </w:p>
        </w:tc>
        <w:tc>
          <w:tcPr>
            <w:tcW w:w="992" w:type="dxa"/>
            <w:tcBorders>
              <w:top w:val="nil"/>
              <w:left w:val="nil"/>
              <w:bottom w:val="single" w:sz="4" w:space="0" w:color="auto"/>
              <w:right w:val="single" w:sz="4" w:space="0" w:color="auto"/>
            </w:tcBorders>
            <w:shd w:val="clear" w:color="auto" w:fill="C6EFCE"/>
            <w:vAlign w:val="center"/>
            <w:hideMark/>
          </w:tcPr>
          <w:p w14:paraId="2E1DD6E1" w14:textId="43CDC2B5" w:rsidR="00CE3BAD" w:rsidRPr="00782BF9" w:rsidRDefault="006B5475">
            <w:pPr>
              <w:pStyle w:val="P68B1DB1-Normal10"/>
              <w:spacing w:line="240" w:lineRule="auto"/>
              <w:rPr>
                <w:rFonts w:eastAsia="Times New Roman"/>
                <w:noProof/>
                <w:lang w:val="bg-BG"/>
              </w:rPr>
            </w:pPr>
            <w:r w:rsidRPr="00782BF9">
              <w:rPr>
                <w:noProof/>
                <w:lang w:val="bg-BG"/>
              </w:rPr>
              <w:t>40</w:t>
            </w:r>
            <w:r w:rsidRPr="00782BF9">
              <w:rPr>
                <w:noProof/>
                <w:color w:val="006100"/>
                <w:lang w:val="bg-BG"/>
              </w:rPr>
              <w:t xml:space="preserve"> </w:t>
            </w:r>
            <w:r w:rsidRPr="00782BF9">
              <w:rPr>
                <w:noProof/>
                <w:lang w:val="bg-BG"/>
              </w:rPr>
              <w:t>000</w:t>
            </w:r>
          </w:p>
        </w:tc>
        <w:tc>
          <w:tcPr>
            <w:tcW w:w="850" w:type="dxa"/>
            <w:tcBorders>
              <w:top w:val="nil"/>
              <w:left w:val="nil"/>
              <w:bottom w:val="single" w:sz="4" w:space="0" w:color="auto"/>
              <w:right w:val="single" w:sz="4" w:space="0" w:color="auto"/>
            </w:tcBorders>
            <w:shd w:val="clear" w:color="auto" w:fill="C6EFCE"/>
            <w:vAlign w:val="center"/>
            <w:hideMark/>
          </w:tcPr>
          <w:p w14:paraId="405F9430" w14:textId="2E2BCC28" w:rsidR="00CE3BAD" w:rsidRPr="00782BF9" w:rsidRDefault="006B5475">
            <w:pPr>
              <w:pStyle w:val="P68B1DB1-Normal10"/>
              <w:spacing w:line="240" w:lineRule="auto"/>
              <w:rPr>
                <w:rFonts w:eastAsia="Times New Roman"/>
                <w:noProof/>
                <w:lang w:val="bg-BG"/>
              </w:rPr>
            </w:pPr>
            <w:r w:rsidRPr="00782BF9">
              <w:rPr>
                <w:noProof/>
                <w:lang w:val="bg-BG"/>
              </w:rPr>
              <w:t>Т2 Г.</w:t>
            </w:r>
          </w:p>
        </w:tc>
        <w:tc>
          <w:tcPr>
            <w:tcW w:w="709" w:type="dxa"/>
            <w:tcBorders>
              <w:top w:val="nil"/>
              <w:left w:val="nil"/>
              <w:bottom w:val="single" w:sz="4" w:space="0" w:color="auto"/>
              <w:right w:val="single" w:sz="4" w:space="0" w:color="auto"/>
            </w:tcBorders>
            <w:shd w:val="clear" w:color="auto" w:fill="C6EFCE"/>
            <w:vAlign w:val="center"/>
            <w:hideMark/>
          </w:tcPr>
          <w:p w14:paraId="01B3BE94" w14:textId="2B4B868A" w:rsidR="00CE3BAD" w:rsidRPr="00782BF9" w:rsidRDefault="006B5475">
            <w:pPr>
              <w:pStyle w:val="P68B1DB1-Normal10"/>
              <w:spacing w:line="240" w:lineRule="auto"/>
              <w:rPr>
                <w:rFonts w:eastAsia="Times New Roman"/>
                <w:noProof/>
                <w:lang w:val="bg-BG"/>
              </w:rPr>
            </w:pPr>
            <w:r w:rsidRPr="00782BF9">
              <w:rPr>
                <w:noProof/>
                <w:lang w:val="bg-BG"/>
              </w:rPr>
              <w:t>2026</w:t>
            </w:r>
          </w:p>
        </w:tc>
        <w:tc>
          <w:tcPr>
            <w:tcW w:w="4232" w:type="dxa"/>
            <w:tcBorders>
              <w:top w:val="nil"/>
              <w:left w:val="nil"/>
              <w:bottom w:val="single" w:sz="4" w:space="0" w:color="auto"/>
              <w:right w:val="single" w:sz="4" w:space="0" w:color="auto"/>
            </w:tcBorders>
            <w:shd w:val="clear" w:color="auto" w:fill="C6EFCE"/>
            <w:vAlign w:val="center"/>
            <w:hideMark/>
          </w:tcPr>
          <w:p w14:paraId="5F139CCF" w14:textId="4821BA04" w:rsidR="00CE3BAD" w:rsidRPr="00782BF9" w:rsidRDefault="006B5475">
            <w:pPr>
              <w:pStyle w:val="P68B1DB1-Normal10"/>
              <w:spacing w:line="257" w:lineRule="auto"/>
              <w:jc w:val="both"/>
              <w:rPr>
                <w:rFonts w:eastAsia="Times New Roman"/>
                <w:noProof/>
                <w:lang w:val="bg-BG"/>
              </w:rPr>
            </w:pPr>
            <w:r w:rsidRPr="00782BF9">
              <w:rPr>
                <w:noProof/>
                <w:lang w:val="bg-BG"/>
              </w:rPr>
              <w:t>Общият капацитет за събиране на отпадъци на инсталираната инфраструктура по цели T376 и T377 възлиза на най-малко 40</w:t>
            </w:r>
            <w:r w:rsidRPr="00782BF9">
              <w:rPr>
                <w:noProof/>
                <w:color w:val="006100"/>
                <w:lang w:val="bg-BG"/>
              </w:rPr>
              <w:t xml:space="preserve"> </w:t>
            </w:r>
            <w:r w:rsidRPr="00782BF9">
              <w:rPr>
                <w:noProof/>
                <w:lang w:val="bg-BG"/>
              </w:rPr>
              <w:t xml:space="preserve">000 тона годишно. </w:t>
            </w:r>
          </w:p>
          <w:p w14:paraId="37BD190B" w14:textId="0B752830" w:rsidR="00CE3BAD" w:rsidRPr="00782BF9" w:rsidRDefault="00CE3BAD">
            <w:pPr>
              <w:spacing w:line="257" w:lineRule="auto"/>
              <w:rPr>
                <w:rFonts w:eastAsia="Times New Roman"/>
                <w:noProof/>
                <w:sz w:val="18"/>
                <w:lang w:val="bg-BG"/>
              </w:rPr>
            </w:pPr>
          </w:p>
        </w:tc>
      </w:tr>
    </w:tbl>
    <w:p w14:paraId="5DD04EB6" w14:textId="33E54B66" w:rsidR="00CE3BAD" w:rsidRPr="00782BF9" w:rsidRDefault="00CE3BAD">
      <w:pPr>
        <w:spacing w:after="160" w:line="259" w:lineRule="auto"/>
        <w:rPr>
          <w:noProof/>
          <w:lang w:val="bg-BG"/>
        </w:rPr>
        <w:sectPr w:rsidR="00CE3BAD" w:rsidRPr="00782BF9" w:rsidSect="00892B4C">
          <w:headerReference w:type="even" r:id="rId111"/>
          <w:headerReference w:type="default" r:id="rId112"/>
          <w:footerReference w:type="even" r:id="rId113"/>
          <w:footerReference w:type="default" r:id="rId114"/>
          <w:headerReference w:type="first" r:id="rId115"/>
          <w:footerReference w:type="first" r:id="rId116"/>
          <w:pgSz w:w="16838" w:h="11906" w:orient="landscape"/>
          <w:pgMar w:top="1418" w:right="1418" w:bottom="1418" w:left="1418" w:header="709" w:footer="709" w:gutter="0"/>
          <w:cols w:space="708"/>
          <w:docGrid w:linePitch="360"/>
        </w:sectPr>
      </w:pPr>
    </w:p>
    <w:p w14:paraId="0E418425" w14:textId="77777777" w:rsidR="00CE3BAD" w:rsidRPr="00782BF9" w:rsidRDefault="006B5475">
      <w:pPr>
        <w:pStyle w:val="P68B1DB1-Heading217"/>
        <w:ind w:left="0" w:firstLine="0"/>
        <w:rPr>
          <w:noProof/>
          <w:lang w:val="bg-BG"/>
        </w:rPr>
      </w:pPr>
      <w:r w:rsidRPr="00782BF9">
        <w:rPr>
          <w:noProof/>
          <w:lang w:val="bg-BG"/>
        </w:rPr>
        <w:t xml:space="preserve">З. КОМПОНЕНТ 8: ЗДРАВЕОПАЗВАНЕ </w:t>
      </w:r>
    </w:p>
    <w:p w14:paraId="0277419B" w14:textId="77777777" w:rsidR="00CE3BAD" w:rsidRPr="00782BF9" w:rsidRDefault="00CE3BAD">
      <w:pPr>
        <w:pStyle w:val="Text1"/>
        <w:rPr>
          <w:noProof/>
          <w:lang w:val="bg-BG"/>
        </w:rPr>
      </w:pPr>
    </w:p>
    <w:p w14:paraId="341C99B2" w14:textId="27EF557A" w:rsidR="00CE3BAD" w:rsidRPr="00782BF9" w:rsidRDefault="006B5475">
      <w:pPr>
        <w:pStyle w:val="P68B1DB1-Normal4"/>
        <w:autoSpaceDE w:val="0"/>
        <w:autoSpaceDN w:val="0"/>
        <w:adjustRightInd w:val="0"/>
        <w:spacing w:after="120" w:line="240" w:lineRule="auto"/>
        <w:jc w:val="both"/>
        <w:rPr>
          <w:rFonts w:cs="Times New Roman"/>
          <w:noProof/>
          <w:lang w:val="bg-BG"/>
        </w:rPr>
      </w:pPr>
      <w:r w:rsidRPr="00782BF9">
        <w:rPr>
          <w:noProof/>
          <w:lang w:val="bg-BG"/>
        </w:rPr>
        <w:t>Този компонент от унгарския план за възстановяване и устойчивост е насочен към няколко предизвикателства, пред които понастоящем е изправена унгарската здравна система, като например неравния достъп до услуги и високата честота на неофициални (безвъзмездни) плащания; прекомерна зависимост от болниците при предоставянето на услуги; значителен болничен дълг, свързан с проблеми с финансирането; и недостиг на работна сила на регионално равнище в рамките на здравната система.</w:t>
      </w:r>
    </w:p>
    <w:p w14:paraId="484118F5" w14:textId="6113CBA8" w:rsidR="00CE3BAD" w:rsidRPr="00782BF9" w:rsidRDefault="006B5475">
      <w:pPr>
        <w:pStyle w:val="P68B1DB1-Normal4"/>
        <w:autoSpaceDE w:val="0"/>
        <w:autoSpaceDN w:val="0"/>
        <w:adjustRightInd w:val="0"/>
        <w:spacing w:after="120" w:line="240" w:lineRule="auto"/>
        <w:jc w:val="both"/>
        <w:rPr>
          <w:rFonts w:cs="Times New Roman"/>
          <w:noProof/>
          <w:lang w:val="bg-BG"/>
        </w:rPr>
      </w:pPr>
      <w:r w:rsidRPr="00782BF9">
        <w:rPr>
          <w:noProof/>
          <w:lang w:val="bg-BG"/>
        </w:rPr>
        <w:t>Основната цел на компонента е да се разработи модерна и ефикасна система за полагане на грижи, способна да отговори на предизвикателствата на двадесет и първи век и достъпна за всички, в съответствие с принцип 16 от Европейския стълб на социалните права. За тази цел компонентът има за цел i) премахване на похарчните плащания в системата на здравеопазването; II) засилване на ролята на общопрактикуващите лекари; III) рационализиране на болничните грижи и модернизиране на неговата инфраструктура; IV) увеличаване на използването на информационни и комуникационни технологии (ИКТ) за подобряване на качеството и ефективността на здравните услуги; и v) разработване на програма за дистанционно здравно наблюдение за възрастни хора.</w:t>
      </w:r>
    </w:p>
    <w:p w14:paraId="046750F0" w14:textId="226DABB4" w:rsidR="00CE3BAD" w:rsidRPr="00782BF9" w:rsidRDefault="006B5475">
      <w:pPr>
        <w:pStyle w:val="P68B1DB1-Normal4"/>
        <w:autoSpaceDE w:val="0"/>
        <w:autoSpaceDN w:val="0"/>
        <w:adjustRightInd w:val="0"/>
        <w:spacing w:after="120" w:line="240" w:lineRule="auto"/>
        <w:jc w:val="both"/>
        <w:rPr>
          <w:rFonts w:cs="Times New Roman"/>
          <w:noProof/>
          <w:lang w:val="bg-BG"/>
        </w:rPr>
      </w:pPr>
      <w:r w:rsidRPr="00782BF9">
        <w:rPr>
          <w:noProof/>
          <w:lang w:val="bg-BG"/>
        </w:rPr>
        <w:t xml:space="preserve">Компонентът подпомага изпълнението на специфичните за всяка държава препоръки за подкрепа на превантивните здравни мерки и укрепване на първичните здравни грижи (специфични за всяка държава препоръки 2 от 2019 г. и 3 през 2022 г.), за справяне с недостига на здравни работници и осигуряване на адекватно предлагане на медицински продукти и инфраструктура от критично значение (специфична за държавата препоръка 1 през 2020 г.), както и за осигуряване на достъп до основни услуги за всички (Специфична за държавата препоръка 2 през 2020 г.). Той следва също така да допринесе за прилагането на Европейския стълб на социалните права. </w:t>
      </w:r>
    </w:p>
    <w:p w14:paraId="2290E2A9" w14:textId="77777777" w:rsidR="00CE3BAD" w:rsidRPr="00782BF9" w:rsidRDefault="006B5475">
      <w:pPr>
        <w:pStyle w:val="P68B1DB1-Normal4"/>
        <w:autoSpaceDE w:val="0"/>
        <w:autoSpaceDN w:val="0"/>
        <w:adjustRightInd w:val="0"/>
        <w:spacing w:after="120" w:line="240" w:lineRule="auto"/>
        <w:jc w:val="both"/>
        <w:rPr>
          <w:rFonts w:cs="Times New Roman"/>
          <w:noProof/>
          <w:lang w:val="bg-BG"/>
        </w:rPr>
      </w:pPr>
      <w:r w:rsidRPr="00782BF9">
        <w:rPr>
          <w:noProof/>
          <w:lang w:val="bg-BG"/>
        </w:rPr>
        <w:t>Очаква се, че нито една мярка в този компонент не нанася значителни вреди на екологичните цели по смисъла на член 17 от Регламент (ЕС) 2020/852, като се вземе предвид описанието на мерките и стъпките за смекчаване, определени в плана за възстановяване и устойчивост в съответствие с Техническите насоки съгласно принципа за ненанасяне на значителни вреди (2021/C58/01).</w:t>
      </w:r>
    </w:p>
    <w:p w14:paraId="2B543DB8" w14:textId="77777777" w:rsidR="00CE3BAD" w:rsidRPr="00782BF9" w:rsidRDefault="00CE3BAD">
      <w:pPr>
        <w:pStyle w:val="Text1"/>
        <w:spacing w:before="0" w:after="120" w:line="240" w:lineRule="auto"/>
        <w:rPr>
          <w:noProof/>
          <w:lang w:val="bg-BG"/>
        </w:rPr>
      </w:pPr>
    </w:p>
    <w:p w14:paraId="59D08AE4" w14:textId="77777777" w:rsidR="00CE3BAD" w:rsidRPr="00782BF9" w:rsidRDefault="006B5475">
      <w:pPr>
        <w:pStyle w:val="Heading2"/>
        <w:spacing w:before="0" w:after="120" w:line="240" w:lineRule="auto"/>
        <w:ind w:left="0" w:firstLine="0"/>
        <w:rPr>
          <w:noProof/>
          <w:lang w:val="bg-BG"/>
        </w:rPr>
      </w:pPr>
      <w:r w:rsidRPr="00782BF9">
        <w:rPr>
          <w:noProof/>
          <w:lang w:val="bg-BG"/>
        </w:rPr>
        <w:t>З.1. Описание на реформите и инвестициите за безвъзмездна финансова подкрепа</w:t>
      </w:r>
    </w:p>
    <w:p w14:paraId="306D3EDF" w14:textId="341A9BB9" w:rsidR="00CE3BAD" w:rsidRPr="00782BF9" w:rsidRDefault="006B5475">
      <w:pPr>
        <w:pStyle w:val="P68B1DB1-Normal2"/>
        <w:spacing w:after="120" w:line="240" w:lineRule="auto"/>
        <w:jc w:val="both"/>
        <w:rPr>
          <w:rFonts w:cs="Times New Roman"/>
          <w:noProof/>
          <w:lang w:val="bg-BG"/>
        </w:rPr>
      </w:pPr>
      <w:r w:rsidRPr="00782BF9">
        <w:rPr>
          <w:noProof/>
          <w:lang w:val="bg-BG"/>
        </w:rPr>
        <w:t xml:space="preserve">C8.R1: Премахване на безплатните плащания в сектора на здравеопазването </w:t>
      </w:r>
    </w:p>
    <w:p w14:paraId="6A11B605"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мярката е да се премахне практиката на неофициални парични плащания в здравните услуги, като същевременно се създадат по-добри финансови условия и условия на труд за лекарите. </w:t>
      </w:r>
    </w:p>
    <w:p w14:paraId="4480C2D2" w14:textId="238BC0EA"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се състои в приемане на законодателство за въвеждане на нов трудов договор за лекарите с цел премахване на полагащите се стипендии и, във връзка с това, увеличаване на заплатите на лекарите и пребиваващите лица, наети съгласно разпоредбите на този договор. Заедно със законоустановеното инкриминиране на плащанията за издръжка се очаква мярката да премахне тези плащания в областта на здравните услуги. Очаква се ефективността на мярката да бъде засилена от паралелните увеличения на заплатите в сектора на здравеопазването (които се финансират отделно от ПВУ).</w:t>
      </w:r>
    </w:p>
    <w:p w14:paraId="1ABEC670"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Въздействието на мярката се оценява чрез независимо проучване, резултатите от което се оповестяват публично. Проучването също така оценява до каква степен реформата е допринесла за подобряване на привлекателността на лекарската професия и задържането на лекарите в Унгария.</w:t>
      </w:r>
    </w:p>
    <w:p w14:paraId="23CF697E" w14:textId="432DEBD3"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трябва да приключи до 31 декември 2023 г.</w:t>
      </w:r>
    </w:p>
    <w:p w14:paraId="53BCC788" w14:textId="77777777" w:rsidR="00CE3BAD" w:rsidRPr="00782BF9" w:rsidRDefault="00CE3BAD">
      <w:pPr>
        <w:spacing w:after="120" w:line="240" w:lineRule="auto"/>
        <w:jc w:val="both"/>
        <w:rPr>
          <w:rFonts w:ascii="Times New Roman" w:hAnsi="Times New Roman" w:cs="Times New Roman"/>
          <w:noProof/>
          <w:sz w:val="24"/>
          <w:lang w:val="bg-BG"/>
        </w:rPr>
      </w:pPr>
    </w:p>
    <w:p w14:paraId="670EC017" w14:textId="41113262" w:rsidR="00CE3BAD" w:rsidRPr="00782BF9" w:rsidRDefault="00AA6DA5">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8.</w:t>
      </w:r>
      <w:r w:rsidRPr="00782BF9">
        <w:rPr>
          <w:noProof/>
          <w:lang w:val="bg-BG"/>
        </w:rPr>
        <w:t>I</w:t>
      </w:r>
      <w:r w:rsidR="006B5475" w:rsidRPr="00782BF9">
        <w:rPr>
          <w:noProof/>
          <w:lang w:val="bg-BG"/>
        </w:rPr>
        <w:t>1: Развитие на условията за здравеопазване през 21-ви век</w:t>
      </w:r>
    </w:p>
    <w:p w14:paraId="3BEC30D6" w14:textId="2DFB7C2C"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мярката е да се укрепят болничните грижи и тяхната инфраструктура. Поставя се акцент върху развитието на мрежа от доставчици на ежедневна хирургия, амбулаторна и болнична помощ с нови и ремонтирани сгради и модерни медицински изделия, които спомагат за повишаване на ефективността на здравеопазването, включително с оглед на евентуалното бъдещо възникване на здравни кризи.</w:t>
      </w:r>
    </w:p>
    <w:p w14:paraId="6F1A4C98" w14:textId="6C23438B"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се състои от четири действия. Първо, влизането в сила на законодателство за разработване на единна и прозрачна нова национална система за управление на здравето. Второ, създаването на 22 областни болнични мрежи с интегрирани пациентски пътеки съгласно доклад за картографиране, който ще бъде предоставен от Министерството на вътрешните работи. Интегрираните пациентски пътеки определят коя институция в мрежата отговаря за всеки вид медицинска интервенция в рамките на мрежата от здравни заведения на ниво държава. Трето, най-малко 40 нови или санирани сгради на здравната инфраструктура получават ново и модерно здравно оборудване, а новопостроените сгради също отговарят на високи изисквания за енергийна ефективност. Четвърто, увеличаване на броя на случаите на вземане на цяла кръв в подвижни пунктове за събиране в малки населени места.</w:t>
      </w:r>
    </w:p>
    <w:p w14:paraId="5EF94EAA"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30 юни 2026 г.</w:t>
      </w:r>
    </w:p>
    <w:p w14:paraId="1C806717" w14:textId="77777777" w:rsidR="00CE3BAD" w:rsidRPr="00782BF9" w:rsidRDefault="00CE3BAD">
      <w:pPr>
        <w:spacing w:after="120" w:line="240" w:lineRule="auto"/>
        <w:jc w:val="both"/>
        <w:rPr>
          <w:rFonts w:ascii="Times New Roman" w:hAnsi="Times New Roman" w:cs="Times New Roman"/>
          <w:b/>
          <w:noProof/>
          <w:sz w:val="24"/>
          <w:lang w:val="bg-BG"/>
        </w:rPr>
      </w:pPr>
    </w:p>
    <w:p w14:paraId="1D4BBBE2" w14:textId="2187FA52" w:rsidR="00CE3BAD" w:rsidRPr="00782BF9" w:rsidRDefault="00AA6DA5">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8.</w:t>
      </w:r>
      <w:r w:rsidRPr="00782BF9">
        <w:rPr>
          <w:noProof/>
          <w:lang w:val="bg-BG"/>
        </w:rPr>
        <w:t>I</w:t>
      </w:r>
      <w:r w:rsidR="006B5475" w:rsidRPr="00782BF9">
        <w:rPr>
          <w:noProof/>
          <w:lang w:val="bg-BG"/>
        </w:rPr>
        <w:t>2: Подкрепа за цифровата трансформация на здравеопазването</w:t>
      </w:r>
    </w:p>
    <w:p w14:paraId="53B69853"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инвестицията е да се увеличи използването на информационни и комуникационни технологии, за да се повиши ефективността на сектора на здравеопазването, да се улесни достъпът до услуги и да се подобри качеството на грижите и услугите.</w:t>
      </w:r>
    </w:p>
    <w:p w14:paraId="1EFE8524" w14:textId="0AFAF3C9"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се състои от шест действия. Първо, 65 болници трябва да бъдат оборудвани с модернизирани информационни системи за сигурност. Второ, новите бази данни и регистри на заболяванията ще станат цифрово достъпни в пространството за електронни здравни услуги (EESZT). EESZT е съществуваща интеграционна платформа, чрез която здравните данни на всички пациенти могат да бъдат извличани с подходящо разрешение чрез местни болнични, общопрактикуващи или фармацевтични системи. Трето, делът на процедурите на здравните органи, които могат да бъдат започнати по електронен път, се увеличава на 60 %. Четвърто, броят на телемедицинските интервенции, предоставяни чрез инструменти за информационна комуникация, се увеличава. Пето, на портала EESZT ще бъдат пуснати нови модули в подкрепа на управлението на предлагането и цифровизираните процеси за полагане на грижи. Шесто, ще бъде разработено и пуснато в действие ново централно мобилно приложение в областта на здравеопазването (myEESZT) за домакинствата и професионалните потребители.</w:t>
      </w:r>
    </w:p>
    <w:p w14:paraId="25467984"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31 март 2026 г.</w:t>
      </w:r>
    </w:p>
    <w:p w14:paraId="2F6F6709" w14:textId="77777777" w:rsidR="00CE3BAD" w:rsidRPr="00782BF9" w:rsidRDefault="00CE3BAD">
      <w:pPr>
        <w:spacing w:after="120" w:line="240" w:lineRule="auto"/>
        <w:jc w:val="both"/>
        <w:rPr>
          <w:rFonts w:ascii="Times New Roman" w:hAnsi="Times New Roman" w:cs="Times New Roman"/>
          <w:b/>
          <w:noProof/>
          <w:sz w:val="24"/>
          <w:lang w:val="bg-BG"/>
        </w:rPr>
      </w:pPr>
    </w:p>
    <w:p w14:paraId="1BB082B7" w14:textId="72739B51" w:rsidR="00CE3BAD" w:rsidRPr="00782BF9" w:rsidRDefault="00AA6DA5">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8.</w:t>
      </w:r>
      <w:r w:rsidRPr="00782BF9">
        <w:rPr>
          <w:noProof/>
          <w:lang w:val="bg-BG"/>
        </w:rPr>
        <w:t>I</w:t>
      </w:r>
      <w:r w:rsidR="006B5475" w:rsidRPr="00782BF9">
        <w:rPr>
          <w:noProof/>
          <w:lang w:val="bg-BG"/>
        </w:rPr>
        <w:t>3: Програма за дистанционно наблюдение на здравето на възрастните хора</w:t>
      </w:r>
    </w:p>
    <w:p w14:paraId="5D935E13" w14:textId="074F3286"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инвестицията е да се предоставят услуги за дистанционно здравно наблюдение за възрастни хора на възраст над 65 години. Очаква се също така инвестициите да намалят деинституционализацията на дългосрочните грижи.</w:t>
      </w:r>
    </w:p>
    <w:p w14:paraId="798CF68F" w14:textId="45397AF0"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се състои от две действия. Първо, пускането в действие на диспечерски услуги, които организират телемедицински услуги и спешни грижи за участниците сред възрастните хора на възраст над 65 години. Системата позволява на участниците да поискат помощ от 24-часовата услуга със свое собствено лично спешно повикване, базирано на GSMT. Персоналът на диспечерската служба разполага с експертни познания в областта на услугите за спешна помощ или спешна помощ. Второ, най-малко 1 500 000 възрастни хора на възраст над 65 години трябва да бъдат оборудвани със сензорни устройства за носене. Специална служба осигурява 24-часово наблюдение на тези възрастни хора, които могат да се обадят на диспечерската служба в случай на извънредна медицинска ситуация.</w:t>
      </w:r>
    </w:p>
    <w:p w14:paraId="2FDBCF3A"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31 декември 2025 г.</w:t>
      </w:r>
    </w:p>
    <w:p w14:paraId="4C89B9FB" w14:textId="77777777" w:rsidR="00CE3BAD" w:rsidRPr="00782BF9" w:rsidRDefault="00CE3BAD">
      <w:pPr>
        <w:spacing w:after="120" w:line="240" w:lineRule="auto"/>
        <w:jc w:val="both"/>
        <w:rPr>
          <w:rFonts w:ascii="Times New Roman" w:hAnsi="Times New Roman" w:cs="Times New Roman"/>
          <w:b/>
          <w:noProof/>
          <w:sz w:val="24"/>
          <w:lang w:val="bg-BG"/>
        </w:rPr>
      </w:pPr>
    </w:p>
    <w:p w14:paraId="1EA9A08A" w14:textId="64A9C62C" w:rsidR="00CE3BAD" w:rsidRPr="00782BF9" w:rsidRDefault="00AA6DA5">
      <w:pPr>
        <w:pStyle w:val="P68B1DB1-Normal2"/>
        <w:spacing w:after="120" w:line="240" w:lineRule="auto"/>
        <w:jc w:val="both"/>
        <w:rPr>
          <w:rFonts w:cs="Times New Roman"/>
          <w:noProof/>
          <w:lang w:val="bg-BG"/>
        </w:rPr>
      </w:pPr>
      <w:r w:rsidRPr="00782BF9">
        <w:rPr>
          <w:noProof/>
          <w:lang w:val="bg-BG"/>
        </w:rPr>
        <w:t>C</w:t>
      </w:r>
      <w:r w:rsidR="006B5475" w:rsidRPr="00782BF9">
        <w:rPr>
          <w:noProof/>
          <w:lang w:val="bg-BG"/>
        </w:rPr>
        <w:t>8.</w:t>
      </w:r>
      <w:r w:rsidRPr="00782BF9">
        <w:rPr>
          <w:noProof/>
          <w:lang w:val="bg-BG"/>
        </w:rPr>
        <w:t>I</w:t>
      </w:r>
      <w:r w:rsidR="006B5475" w:rsidRPr="00782BF9">
        <w:rPr>
          <w:noProof/>
          <w:lang w:val="bg-BG"/>
        </w:rPr>
        <w:t xml:space="preserve">4: Развитие на първичните здравни грижи </w:t>
      </w:r>
    </w:p>
    <w:p w14:paraId="1C5488AE"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мярката е да направи първичните здравни услуги достъпни за възможно най-голям брой граждани, по-специално чрез засилване на ролята на общопрактикуващите лекари, увеличаване на близките до дома услуги и облекчаване на тежестта на специализираните грижи.</w:t>
      </w:r>
    </w:p>
    <w:p w14:paraId="720C29BD"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се състои от четири действия. Първо, ще бъде приета нова правна рамка за създаване и функциониране на общности от общопрактикуващи лекари. Второ, броят на лекарите, участващи в утвърдени и оперативни общности, се увеличава. Трето, броят на пациентите, записани в програмата за управление на хроничните заболявания, която предоставя грижи за пациенти, диагностицирани с хронични неинфекциозни заболявания, се увеличава. Четвърто, броят на пациентите, записани в програми за профилактика и промоция на здравето, се увеличава.</w:t>
      </w:r>
    </w:p>
    <w:p w14:paraId="57AA3025"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инвестицията трябва да приключи до 31 декември 2025 г.</w:t>
      </w:r>
    </w:p>
    <w:p w14:paraId="7646F7A7" w14:textId="761B2501" w:rsidR="00CE3BAD" w:rsidRPr="00782BF9" w:rsidRDefault="00CE3BAD">
      <w:pPr>
        <w:spacing w:after="120" w:line="240" w:lineRule="auto"/>
        <w:jc w:val="both"/>
        <w:rPr>
          <w:b/>
          <w:noProof/>
          <w:lang w:val="bg-BG"/>
        </w:rPr>
        <w:sectPr w:rsidR="00CE3BAD" w:rsidRPr="00782BF9" w:rsidSect="005105E0">
          <w:headerReference w:type="even" r:id="rId117"/>
          <w:headerReference w:type="default" r:id="rId118"/>
          <w:footerReference w:type="even" r:id="rId119"/>
          <w:footerReference w:type="default" r:id="rId120"/>
          <w:headerReference w:type="first" r:id="rId121"/>
          <w:footerReference w:type="first" r:id="rId122"/>
          <w:pgSz w:w="12240" w:h="15840"/>
          <w:pgMar w:top="1440" w:right="1440" w:bottom="1440" w:left="1440" w:header="709" w:footer="709" w:gutter="0"/>
          <w:cols w:space="708"/>
          <w:docGrid w:linePitch="360"/>
        </w:sectPr>
      </w:pPr>
    </w:p>
    <w:p w14:paraId="1B97B609" w14:textId="77777777" w:rsidR="00CE3BAD" w:rsidRPr="00782BF9" w:rsidRDefault="006B5475">
      <w:pPr>
        <w:pStyle w:val="Heading2"/>
        <w:spacing w:after="120"/>
        <w:ind w:left="0" w:firstLine="0"/>
        <w:rPr>
          <w:noProof/>
          <w:lang w:val="bg-BG"/>
        </w:rPr>
      </w:pPr>
      <w:r w:rsidRPr="00782BF9">
        <w:rPr>
          <w:noProof/>
          <w:lang w:val="bg-BG"/>
        </w:rPr>
        <w:t xml:space="preserve">З.2. </w:t>
      </w:r>
      <w:r w:rsidRPr="00782BF9">
        <w:rPr>
          <w:noProof/>
          <w:lang w:val="bg-BG"/>
        </w:rPr>
        <w:tab/>
        <w:t>Ключови етапи, цели, показатели и график за мониторинг и изпълнение на безвъзмездната финансова подкрепа</w:t>
      </w:r>
    </w:p>
    <w:tbl>
      <w:tblPr>
        <w:tblW w:w="1530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6"/>
        <w:gridCol w:w="1417"/>
        <w:gridCol w:w="917"/>
        <w:gridCol w:w="2387"/>
        <w:gridCol w:w="1739"/>
        <w:gridCol w:w="1094"/>
        <w:gridCol w:w="936"/>
        <w:gridCol w:w="942"/>
        <w:gridCol w:w="960"/>
        <w:gridCol w:w="577"/>
        <w:gridCol w:w="3522"/>
      </w:tblGrid>
      <w:tr w:rsidR="00CE3BAD" w:rsidRPr="00782BF9" w14:paraId="64445C26" w14:textId="77777777">
        <w:trPr>
          <w:trHeight w:val="300"/>
          <w:tblHeader/>
          <w:jc w:val="center"/>
        </w:trPr>
        <w:tc>
          <w:tcPr>
            <w:tcW w:w="6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2F2E32" w14:textId="02596BA0" w:rsidR="00CE3BAD" w:rsidRPr="00782BF9" w:rsidRDefault="006B5475">
            <w:pPr>
              <w:pStyle w:val="P68B1DB1-Normal9"/>
              <w:spacing w:after="0" w:line="240" w:lineRule="auto"/>
              <w:jc w:val="center"/>
              <w:textAlignment w:val="baseline"/>
              <w:rPr>
                <w:rFonts w:eastAsia="Times New Roman"/>
                <w:noProof/>
                <w:lang w:val="bg-BG"/>
              </w:rPr>
            </w:pPr>
            <w:r w:rsidRPr="00782BF9">
              <w:rPr>
                <w:noProof/>
                <w:lang w:val="bg-BG"/>
              </w:rPr>
              <w:t>Следващи Брой</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B0BED1B" w14:textId="77777777" w:rsidR="00CE3BAD" w:rsidRPr="00782BF9" w:rsidRDefault="006B5475">
            <w:pPr>
              <w:pStyle w:val="P68B1DB1-Normal9"/>
              <w:spacing w:after="0" w:line="240" w:lineRule="auto"/>
              <w:jc w:val="center"/>
              <w:textAlignment w:val="baseline"/>
              <w:rPr>
                <w:rFonts w:eastAsia="Times New Roman"/>
                <w:noProof/>
                <w:lang w:val="bg-BG"/>
              </w:rPr>
            </w:pPr>
            <w:r w:rsidRPr="00782BF9">
              <w:rPr>
                <w:noProof/>
                <w:lang w:val="bg-BG"/>
              </w:rPr>
              <w:t>Свързана мярка (реформа или инвестиции)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9426D0" w14:textId="65E56D29" w:rsidR="00CE3BAD" w:rsidRPr="00782BF9" w:rsidRDefault="006B5475">
            <w:pPr>
              <w:pStyle w:val="P68B1DB1-Normal9"/>
              <w:spacing w:after="0" w:line="240" w:lineRule="auto"/>
              <w:jc w:val="center"/>
              <w:textAlignment w:val="baseline"/>
              <w:rPr>
                <w:rFonts w:eastAsia="Times New Roman"/>
                <w:noProof/>
                <w:lang w:val="bg-BG"/>
              </w:rPr>
            </w:pPr>
            <w:r w:rsidRPr="00782BF9">
              <w:rPr>
                <w:noProof/>
                <w:lang w:val="bg-BG"/>
              </w:rPr>
              <w:t>Ключов етап</w:t>
            </w:r>
            <w:r w:rsidRPr="00782BF9">
              <w:rPr>
                <w:noProof/>
                <w:lang w:val="bg-BG"/>
              </w:rPr>
              <w:br/>
              <w:t>/Цел</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5A1B2BC" w14:textId="77777777" w:rsidR="00CE3BAD" w:rsidRPr="00782BF9" w:rsidRDefault="006B5475">
            <w:pPr>
              <w:pStyle w:val="P68B1DB1-Normal9"/>
              <w:spacing w:after="0" w:line="240" w:lineRule="auto"/>
              <w:jc w:val="center"/>
              <w:textAlignment w:val="baseline"/>
              <w:rPr>
                <w:rFonts w:eastAsia="Times New Roman"/>
                <w:noProof/>
                <w:lang w:val="bg-BG"/>
              </w:rPr>
            </w:pPr>
            <w:r w:rsidRPr="00782BF9">
              <w:rPr>
                <w:noProof/>
                <w:lang w:val="bg-BG"/>
              </w:rPr>
              <w:t>Име</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52A07B"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b/>
                <w:noProof/>
                <w:lang w:val="bg-BG"/>
              </w:rPr>
              <w:t>Качествени индикатори</w:t>
            </w:r>
            <w:r w:rsidRPr="00782BF9">
              <w:rPr>
                <w:noProof/>
                <w:lang w:val="bg-BG"/>
              </w:rPr>
              <w:t xml:space="preserve">  </w:t>
            </w:r>
            <w:r w:rsidRPr="00782BF9">
              <w:rPr>
                <w:noProof/>
                <w:lang w:val="bg-BG"/>
              </w:rPr>
              <w:br/>
            </w:r>
            <w:r w:rsidRPr="00782BF9">
              <w:rPr>
                <w:b/>
                <w:noProof/>
                <w:lang w:val="bg-BG"/>
              </w:rPr>
              <w:t>(за ключовите етапи)</w:t>
            </w:r>
          </w:p>
        </w:tc>
        <w:tc>
          <w:tcPr>
            <w:tcW w:w="3118"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7E33B6A"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b/>
                <w:noProof/>
                <w:lang w:val="bg-BG"/>
              </w:rPr>
              <w:t>Количествени индикатори</w:t>
            </w:r>
            <w:r w:rsidRPr="00782BF9">
              <w:rPr>
                <w:noProof/>
                <w:lang w:val="bg-BG"/>
              </w:rPr>
              <w:t xml:space="preserve">  </w:t>
            </w:r>
            <w:r w:rsidRPr="00782BF9">
              <w:rPr>
                <w:noProof/>
                <w:lang w:val="bg-BG"/>
              </w:rPr>
              <w:br/>
            </w:r>
            <w:r w:rsidRPr="00782BF9">
              <w:rPr>
                <w:b/>
                <w:noProof/>
                <w:lang w:val="bg-BG"/>
              </w:rPr>
              <w:t>(за целите)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436B3C35"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b/>
                <w:noProof/>
                <w:lang w:val="bg-BG"/>
              </w:rPr>
              <w:t>Примерен график за приключване</w:t>
            </w:r>
            <w:r w:rsidRPr="00782BF9">
              <w:rPr>
                <w:noProof/>
                <w:lang w:val="bg-BG"/>
              </w:rPr>
              <w:t xml:space="preserve"> </w:t>
            </w:r>
          </w:p>
        </w:tc>
        <w:tc>
          <w:tcPr>
            <w:tcW w:w="373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F189E9" w14:textId="77777777" w:rsidR="00CE3BAD" w:rsidRPr="00782BF9" w:rsidRDefault="006B5475">
            <w:pPr>
              <w:pStyle w:val="P68B1DB1-Normal9"/>
              <w:spacing w:after="0" w:line="240" w:lineRule="auto"/>
              <w:jc w:val="center"/>
              <w:textAlignment w:val="baseline"/>
              <w:rPr>
                <w:rFonts w:eastAsia="Times New Roman"/>
                <w:noProof/>
                <w:lang w:val="bg-BG"/>
              </w:rPr>
            </w:pPr>
            <w:r w:rsidRPr="00782BF9">
              <w:rPr>
                <w:noProof/>
                <w:lang w:val="bg-BG"/>
              </w:rPr>
              <w:t>Описание на всеки ключов етап и цел</w:t>
            </w:r>
          </w:p>
        </w:tc>
      </w:tr>
      <w:tr w:rsidR="00CE3BAD" w:rsidRPr="00782BF9" w14:paraId="44F802C1" w14:textId="77777777">
        <w:trPr>
          <w:trHeight w:val="975"/>
          <w:tblHeade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2D9019F6" w14:textId="77777777" w:rsidR="00CE3BAD" w:rsidRPr="00782BF9" w:rsidRDefault="00CE3BAD">
            <w:pPr>
              <w:spacing w:after="0" w:line="240" w:lineRule="auto"/>
              <w:jc w:val="center"/>
              <w:rPr>
                <w:rFonts w:eastAsia="Times New Roman" w:cstheme="minorHAnsi"/>
                <w:noProof/>
                <w:sz w:val="18"/>
                <w:lang w:val="bg-BG"/>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0C40CB63" w14:textId="77777777" w:rsidR="00CE3BAD" w:rsidRPr="00782BF9" w:rsidRDefault="00CE3BAD">
            <w:pPr>
              <w:spacing w:after="0" w:line="240" w:lineRule="auto"/>
              <w:jc w:val="center"/>
              <w:rPr>
                <w:rFonts w:eastAsia="Times New Roman" w:cstheme="minorHAnsi"/>
                <w:noProof/>
                <w:sz w:val="18"/>
                <w:lang w:val="bg-BG"/>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CC7405A" w14:textId="77777777" w:rsidR="00CE3BAD" w:rsidRPr="00782BF9" w:rsidRDefault="00CE3BAD">
            <w:pPr>
              <w:spacing w:after="0" w:line="240" w:lineRule="auto"/>
              <w:jc w:val="center"/>
              <w:rPr>
                <w:rFonts w:eastAsia="Times New Roman" w:cstheme="minorHAnsi"/>
                <w:noProof/>
                <w:sz w:val="18"/>
                <w:lang w:val="bg-BG"/>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14:paraId="72FC76B0" w14:textId="77777777" w:rsidR="00CE3BAD" w:rsidRPr="00782BF9" w:rsidRDefault="00CE3BAD">
            <w:pPr>
              <w:spacing w:after="0" w:line="240" w:lineRule="auto"/>
              <w:jc w:val="center"/>
              <w:rPr>
                <w:rFonts w:eastAsia="Times New Roman" w:cstheme="minorHAnsi"/>
                <w:noProof/>
                <w:sz w:val="18"/>
                <w:lang w:val="bg-BG"/>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14:paraId="5A622E67" w14:textId="77777777" w:rsidR="00CE3BAD" w:rsidRPr="00782BF9" w:rsidRDefault="00CE3BAD">
            <w:pPr>
              <w:spacing w:after="0" w:line="240" w:lineRule="auto"/>
              <w:jc w:val="center"/>
              <w:rPr>
                <w:rFonts w:eastAsia="Times New Roman" w:cstheme="minorHAnsi"/>
                <w:noProof/>
                <w:sz w:val="18"/>
                <w:lang w:val="bg-BG"/>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39B17FD" w14:textId="77777777" w:rsidR="00CE3BAD" w:rsidRPr="00782BF9" w:rsidRDefault="006B5475">
            <w:pPr>
              <w:pStyle w:val="P68B1DB1-Normal9"/>
              <w:spacing w:after="0" w:line="240" w:lineRule="auto"/>
              <w:jc w:val="center"/>
              <w:textAlignment w:val="baseline"/>
              <w:rPr>
                <w:rFonts w:eastAsia="Times New Roman"/>
                <w:noProof/>
                <w:lang w:val="bg-BG"/>
              </w:rPr>
            </w:pPr>
            <w:r w:rsidRPr="00782BF9">
              <w:rPr>
                <w:noProof/>
                <w:lang w:val="bg-BG"/>
              </w:rPr>
              <w:t>Единица мярка</w:t>
            </w: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FF3EDF8" w14:textId="77777777" w:rsidR="00CE3BAD" w:rsidRPr="00782BF9" w:rsidRDefault="006B5475">
            <w:pPr>
              <w:pStyle w:val="P68B1DB1-Normal9"/>
              <w:spacing w:after="0" w:line="240" w:lineRule="auto"/>
              <w:jc w:val="center"/>
              <w:textAlignment w:val="baseline"/>
              <w:rPr>
                <w:rFonts w:eastAsia="Times New Roman"/>
                <w:noProof/>
                <w:lang w:val="bg-BG"/>
              </w:rPr>
            </w:pPr>
            <w:r w:rsidRPr="00782BF9">
              <w:rPr>
                <w:noProof/>
                <w:lang w:val="bg-BG"/>
              </w:rPr>
              <w:t>Базова линия</w:t>
            </w: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BFD319C" w14:textId="77777777" w:rsidR="00CE3BAD" w:rsidRPr="00782BF9" w:rsidRDefault="006B5475">
            <w:pPr>
              <w:pStyle w:val="P68B1DB1-Normal9"/>
              <w:spacing w:after="0" w:line="240" w:lineRule="auto"/>
              <w:jc w:val="center"/>
              <w:textAlignment w:val="baseline"/>
              <w:rPr>
                <w:rFonts w:eastAsia="Times New Roman"/>
                <w:noProof/>
                <w:lang w:val="bg-BG"/>
              </w:rPr>
            </w:pPr>
            <w:r w:rsidRPr="00782BF9">
              <w:rPr>
                <w:noProof/>
                <w:lang w:val="bg-BG"/>
              </w:rPr>
              <w:t>Цел</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B652AE1" w14:textId="77777777" w:rsidR="00CE3BAD" w:rsidRPr="00782BF9" w:rsidRDefault="006B5475">
            <w:pPr>
              <w:pStyle w:val="P68B1DB1-Normal9"/>
              <w:spacing w:after="0" w:line="240" w:lineRule="auto"/>
              <w:jc w:val="center"/>
              <w:textAlignment w:val="baseline"/>
              <w:rPr>
                <w:rFonts w:eastAsia="Times New Roman"/>
                <w:noProof/>
                <w:lang w:val="bg-BG"/>
              </w:rPr>
            </w:pPr>
            <w:r w:rsidRPr="00782BF9">
              <w:rPr>
                <w:noProof/>
                <w:lang w:val="bg-BG"/>
              </w:rPr>
              <w:t>Тримесечие</w:t>
            </w:r>
          </w:p>
        </w:tc>
        <w:tc>
          <w:tcPr>
            <w:tcW w:w="567"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32AC14C" w14:textId="77777777" w:rsidR="00CE3BAD" w:rsidRPr="00782BF9" w:rsidRDefault="006B5475">
            <w:pPr>
              <w:pStyle w:val="P68B1DB1-Normal9"/>
              <w:spacing w:after="0" w:line="240" w:lineRule="auto"/>
              <w:jc w:val="center"/>
              <w:textAlignment w:val="baseline"/>
              <w:rPr>
                <w:rFonts w:eastAsia="Times New Roman"/>
                <w:noProof/>
                <w:lang w:val="bg-BG"/>
              </w:rPr>
            </w:pPr>
            <w:r w:rsidRPr="00782BF9">
              <w:rPr>
                <w:noProof/>
                <w:lang w:val="bg-BG"/>
              </w:rPr>
              <w:t>Година</w:t>
            </w:r>
          </w:p>
        </w:tc>
        <w:tc>
          <w:tcPr>
            <w:tcW w:w="3739" w:type="dxa"/>
            <w:vMerge/>
            <w:tcBorders>
              <w:top w:val="single" w:sz="4" w:space="0" w:color="auto"/>
              <w:left w:val="single" w:sz="4" w:space="0" w:color="auto"/>
              <w:bottom w:val="single" w:sz="4" w:space="0" w:color="auto"/>
              <w:right w:val="single" w:sz="4" w:space="0" w:color="auto"/>
            </w:tcBorders>
            <w:vAlign w:val="center"/>
            <w:hideMark/>
          </w:tcPr>
          <w:p w14:paraId="0A4645FF" w14:textId="77777777" w:rsidR="00CE3BAD" w:rsidRPr="00782BF9" w:rsidRDefault="00CE3BAD">
            <w:pPr>
              <w:spacing w:after="0" w:line="240" w:lineRule="auto"/>
              <w:rPr>
                <w:rFonts w:eastAsia="Times New Roman" w:cstheme="minorHAnsi"/>
                <w:noProof/>
                <w:sz w:val="18"/>
                <w:lang w:val="bg-BG"/>
              </w:rPr>
            </w:pPr>
          </w:p>
        </w:tc>
      </w:tr>
      <w:tr w:rsidR="00CE3BAD" w:rsidRPr="00782BF9" w14:paraId="74B286B3" w14:textId="77777777">
        <w:trPr>
          <w:trHeight w:val="915"/>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tcPr>
          <w:p w14:paraId="5C934666" w14:textId="6E3A31AF" w:rsidR="00CE3BAD" w:rsidRPr="00782BF9" w:rsidRDefault="006B5475">
            <w:pPr>
              <w:pStyle w:val="P68B1DB1-Normal10"/>
              <w:spacing w:after="0" w:line="240" w:lineRule="auto"/>
              <w:rPr>
                <w:rFonts w:eastAsia="Times New Roman"/>
                <w:noProof/>
                <w:lang w:val="bg-BG"/>
              </w:rPr>
            </w:pPr>
            <w:r w:rsidRPr="00782BF9">
              <w:rPr>
                <w:noProof/>
                <w:lang w:val="bg-BG"/>
              </w:rPr>
              <w:t>139</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tcPr>
          <w:p w14:paraId="346725B6" w14:textId="22CDDBDE" w:rsidR="00CE3BAD" w:rsidRPr="00782BF9" w:rsidRDefault="006B5475">
            <w:pPr>
              <w:pStyle w:val="P68B1DB1-Normal10"/>
              <w:spacing w:after="0" w:line="240" w:lineRule="auto"/>
              <w:rPr>
                <w:rFonts w:eastAsia="Times New Roman"/>
                <w:noProof/>
                <w:lang w:val="bg-BG"/>
              </w:rPr>
            </w:pPr>
            <w:r w:rsidRPr="00782BF9">
              <w:rPr>
                <w:noProof/>
                <w:lang w:val="bg-BG"/>
              </w:rPr>
              <w:t>C8.R1 Премахване на безплатните плащания в сектора на здравеопазването</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4A39F3D1" w14:textId="22CDDBDE" w:rsidR="00CE3BAD" w:rsidRPr="00782BF9" w:rsidRDefault="006B5475">
            <w:pPr>
              <w:pStyle w:val="P68B1DB1-Normal10"/>
              <w:spacing w:after="0" w:line="240" w:lineRule="auto"/>
              <w:rPr>
                <w:rFonts w:eastAsia="Times New Roman"/>
                <w:noProof/>
                <w:lang w:val="bg-BG"/>
              </w:rPr>
            </w:pPr>
            <w:r w:rsidRPr="00782BF9">
              <w:rPr>
                <w:noProof/>
                <w:lang w:val="bg-BG"/>
              </w:rPr>
              <w:t xml:space="preserve">Ключов етап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tcPr>
          <w:p w14:paraId="767D6124" w14:textId="22CDDBDE" w:rsidR="00CE3BAD" w:rsidRPr="00782BF9" w:rsidRDefault="00CE3BAD">
            <w:pPr>
              <w:spacing w:after="0" w:line="240" w:lineRule="auto"/>
              <w:rPr>
                <w:rFonts w:eastAsia="Times New Roman"/>
                <w:noProof/>
                <w:sz w:val="18"/>
                <w:lang w:val="bg-BG"/>
              </w:rPr>
            </w:pPr>
          </w:p>
          <w:p w14:paraId="1CB74725" w14:textId="22CDDBDE" w:rsidR="00CE3BAD" w:rsidRPr="00782BF9" w:rsidRDefault="006B5475">
            <w:pPr>
              <w:pStyle w:val="P68B1DB1-Normal10"/>
              <w:spacing w:after="0" w:line="240" w:lineRule="auto"/>
              <w:rPr>
                <w:rFonts w:eastAsia="Times New Roman"/>
                <w:noProof/>
                <w:lang w:val="bg-BG"/>
              </w:rPr>
            </w:pPr>
            <w:r w:rsidRPr="00782BF9">
              <w:rPr>
                <w:noProof/>
                <w:lang w:val="bg-BG"/>
              </w:rPr>
              <w:t>Влизане в сила на Закона за здравното обслужване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tcPr>
          <w:p w14:paraId="235A2F06" w14:textId="22CDDBDE" w:rsidR="00CE3BAD" w:rsidRPr="00782BF9" w:rsidRDefault="006B5475">
            <w:pPr>
              <w:pStyle w:val="P68B1DB1-Normal10"/>
              <w:spacing w:after="0" w:line="240" w:lineRule="auto"/>
              <w:rPr>
                <w:rFonts w:eastAsia="Times New Roman"/>
                <w:noProof/>
                <w:lang w:val="bg-BG"/>
              </w:rPr>
            </w:pPr>
            <w:r w:rsidRPr="00782BF9">
              <w:rPr>
                <w:noProof/>
                <w:lang w:val="bg-BG"/>
              </w:rPr>
              <w:t>Разпоредба в закона, указваща влизането му в сила</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3C3F99B" w14:textId="22CDDBDE"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218D5E84" w14:textId="22CDDBDE"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65EF44B4" w14:textId="22CDDBDE" w:rsidR="00CE3BAD" w:rsidRPr="00782BF9" w:rsidRDefault="006B5475">
            <w:pPr>
              <w:pStyle w:val="P68B1DB1-Normal10"/>
              <w:spacing w:after="0" w:line="240" w:lineRule="auto"/>
              <w:rPr>
                <w:rFonts w:eastAsia="Times New Roman"/>
                <w:noProof/>
                <w:lang w:val="bg-BG"/>
              </w:rPr>
            </w:pPr>
            <w:r w:rsidRPr="00782BF9">
              <w:rPr>
                <w:noProof/>
                <w:lang w:val="bg-BG"/>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632405F1" w14:textId="22CDDBDE" w:rsidR="00CE3BAD" w:rsidRPr="00782BF9" w:rsidRDefault="006B5475">
            <w:pPr>
              <w:pStyle w:val="P68B1DB1-Normal10"/>
              <w:spacing w:after="0" w:line="240" w:lineRule="auto"/>
              <w:rPr>
                <w:rFonts w:eastAsia="Times New Roman"/>
                <w:noProof/>
                <w:lang w:val="bg-BG"/>
              </w:rPr>
            </w:pPr>
            <w:r w:rsidRPr="00782BF9">
              <w:rPr>
                <w:noProof/>
                <w:lang w:val="bg-BG"/>
              </w:rPr>
              <w:t xml:space="preserve">Т4 Г. </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6B3DB76E" w14:textId="22CDDBDE" w:rsidR="00CE3BAD" w:rsidRPr="00782BF9" w:rsidRDefault="006B5475">
            <w:pPr>
              <w:pStyle w:val="P68B1DB1-Normal10"/>
              <w:spacing w:after="0" w:line="240" w:lineRule="auto"/>
              <w:rPr>
                <w:rFonts w:eastAsia="Times New Roman"/>
                <w:noProof/>
                <w:lang w:val="bg-BG"/>
              </w:rPr>
            </w:pPr>
            <w:r w:rsidRPr="00782BF9">
              <w:rPr>
                <w:noProof/>
                <w:lang w:val="bg-BG"/>
              </w:rPr>
              <w:t xml:space="preserve">2020 </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tcPr>
          <w:p w14:paraId="30316D24" w14:textId="41795109" w:rsidR="00CE3BAD" w:rsidRPr="00782BF9" w:rsidRDefault="006B5475">
            <w:pPr>
              <w:pStyle w:val="P68B1DB1-Normal10"/>
              <w:spacing w:after="0" w:line="240" w:lineRule="auto"/>
              <w:ind w:left="52"/>
              <w:rPr>
                <w:rFonts w:eastAsia="Times New Roman"/>
                <w:noProof/>
                <w:lang w:val="bg-BG"/>
              </w:rPr>
            </w:pPr>
            <w:r w:rsidRPr="00782BF9">
              <w:rPr>
                <w:noProof/>
                <w:lang w:val="bg-BG"/>
              </w:rPr>
              <w:t>Законът за здравното обслужване влиза в сила. Законът съдържа трудовия договор на държавните доставчици на здравни услуги, премахването и инкриминирането на паричните плащания и заплатата на лекарите по новия трудов договор. Законът трансформира трудовите правоотношения в държавните доставчици на здравни услуги, като увеличава заплатите на лекарите и премахва полагащите се стипендии в сектора на здравеопазването. Законодателната промяна в трудовия договор, премахването и криминализирането на полагащите се стипендии и увеличението на заплатите имат за цел — като част от последователна реформа — подобряване на финансовите условия и условията на труд на лекарите и подпомагане задържането на персонала.</w:t>
            </w:r>
          </w:p>
        </w:tc>
      </w:tr>
      <w:tr w:rsidR="00CE3BAD" w:rsidRPr="00782BF9" w14:paraId="5ADDC34A" w14:textId="77777777">
        <w:trPr>
          <w:trHeight w:val="915"/>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tcPr>
          <w:p w14:paraId="2CC152CD" w14:textId="75B181CB" w:rsidR="00CE3BAD" w:rsidRPr="00782BF9" w:rsidRDefault="006B5475">
            <w:pPr>
              <w:pStyle w:val="P68B1DB1-Normal10"/>
              <w:spacing w:after="0" w:line="240" w:lineRule="auto"/>
              <w:ind w:left="52"/>
              <w:rPr>
                <w:rFonts w:eastAsia="Times New Roman"/>
                <w:noProof/>
                <w:lang w:val="bg-BG"/>
              </w:rPr>
            </w:pPr>
            <w:r w:rsidRPr="00782BF9">
              <w:rPr>
                <w:noProof/>
                <w:lang w:val="bg-BG"/>
              </w:rPr>
              <w:t>140</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tcPr>
          <w:p w14:paraId="6CF99D56" w14:textId="22CDDBDE" w:rsidR="00CE3BAD" w:rsidRPr="00782BF9" w:rsidRDefault="006B5475">
            <w:pPr>
              <w:pStyle w:val="P68B1DB1-Normal10"/>
              <w:spacing w:after="0" w:line="240" w:lineRule="auto"/>
              <w:rPr>
                <w:rFonts w:eastAsia="Times New Roman"/>
                <w:noProof/>
                <w:lang w:val="bg-BG"/>
              </w:rPr>
            </w:pPr>
            <w:r w:rsidRPr="00782BF9">
              <w:rPr>
                <w:noProof/>
                <w:lang w:val="bg-BG"/>
              </w:rPr>
              <w:t>C8.R1 Премахване на безплатните плащания в сектора на здравеопазването</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7FA0BEDE" w14:textId="22CDDBDE" w:rsidR="00CE3BAD" w:rsidRPr="00782BF9" w:rsidRDefault="006B5475">
            <w:pPr>
              <w:pStyle w:val="P68B1DB1-Normal10"/>
              <w:spacing w:after="0" w:line="240" w:lineRule="auto"/>
              <w:rPr>
                <w:rFonts w:eastAsia="Times New Roman"/>
                <w:noProof/>
                <w:lang w:val="bg-BG"/>
              </w:rPr>
            </w:pPr>
            <w:r w:rsidRPr="00782BF9">
              <w:rPr>
                <w:noProof/>
                <w:lang w:val="bg-BG"/>
              </w:rPr>
              <w:t>Ключов етап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tcPr>
          <w:p w14:paraId="4DB5BCE0" w14:textId="22CDDBDE" w:rsidR="00CE3BAD" w:rsidRPr="00782BF9" w:rsidRDefault="006B5475">
            <w:pPr>
              <w:pStyle w:val="P68B1DB1-Normal10"/>
              <w:spacing w:after="0" w:line="240" w:lineRule="auto"/>
              <w:rPr>
                <w:rFonts w:eastAsia="Times New Roman"/>
                <w:noProof/>
                <w:lang w:val="bg-BG"/>
              </w:rPr>
            </w:pPr>
            <w:r w:rsidRPr="00782BF9">
              <w:rPr>
                <w:noProof/>
                <w:lang w:val="bg-BG"/>
              </w:rPr>
              <w:t>Публикуване на независимо проучване, предоставящо доказателства за въздействието на проведените реформи в областта на здравеопазването върху практиката на заплащане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tcPr>
          <w:p w14:paraId="35B332CC" w14:textId="22CDDBDE" w:rsidR="00CE3BAD" w:rsidRPr="00782BF9" w:rsidRDefault="006B5475">
            <w:pPr>
              <w:pStyle w:val="P68B1DB1-Normal10"/>
              <w:spacing w:after="0" w:line="240" w:lineRule="auto"/>
              <w:rPr>
                <w:rFonts w:eastAsia="Times New Roman"/>
                <w:noProof/>
                <w:lang w:val="bg-BG"/>
              </w:rPr>
            </w:pPr>
            <w:r w:rsidRPr="00782BF9">
              <w:rPr>
                <w:noProof/>
                <w:lang w:val="bg-BG"/>
              </w:rPr>
              <w:t>Публикуване на независимото проучване на уебсайта на Министерството на вътрешните работи</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A4DB17F" w14:textId="22CDDBDE" w:rsidR="00CE3BAD" w:rsidRPr="00782BF9" w:rsidRDefault="00CE3BAD">
            <w:pPr>
              <w:spacing w:after="0" w:line="240" w:lineRule="auto"/>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042E5A81" w14:textId="22CDDBDE" w:rsidR="00CE3BAD" w:rsidRPr="00782BF9" w:rsidRDefault="00CE3BAD">
            <w:pPr>
              <w:spacing w:after="0" w:line="240" w:lineRule="auto"/>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0CC4FCC2" w14:textId="22CDDBDE" w:rsidR="00CE3BAD" w:rsidRPr="00782BF9" w:rsidRDefault="00CE3BAD">
            <w:pPr>
              <w:spacing w:after="0" w:line="240" w:lineRule="auto"/>
              <w:rPr>
                <w:rFonts w:eastAsia="Times New Roman"/>
                <w:noProof/>
                <w:sz w:val="18"/>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2338CF6A" w14:textId="22CDDBDE" w:rsidR="00CE3BAD" w:rsidRPr="00782BF9" w:rsidRDefault="006B5475">
            <w:pPr>
              <w:pStyle w:val="P68B1DB1-Normal10"/>
              <w:spacing w:after="0" w:line="240" w:lineRule="auto"/>
              <w:rPr>
                <w:rFonts w:eastAsia="Times New Roman"/>
                <w:noProof/>
                <w:lang w:val="bg-BG"/>
              </w:rPr>
            </w:pPr>
            <w:r w:rsidRPr="00782BF9">
              <w:rPr>
                <w:noProof/>
                <w:lang w:val="bg-BG"/>
              </w:rPr>
              <w:t>Т4 Г. </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7DBA810F" w14:textId="22CDDBDE" w:rsidR="00CE3BAD" w:rsidRPr="00782BF9" w:rsidRDefault="006B5475">
            <w:pPr>
              <w:pStyle w:val="P68B1DB1-Normal10"/>
              <w:spacing w:after="0" w:line="240" w:lineRule="auto"/>
              <w:rPr>
                <w:rFonts w:eastAsia="Times New Roman"/>
                <w:noProof/>
                <w:lang w:val="bg-BG"/>
              </w:rPr>
            </w:pPr>
            <w:r w:rsidRPr="00782BF9">
              <w:rPr>
                <w:noProof/>
                <w:lang w:val="bg-BG"/>
              </w:rPr>
              <w:t>2023 </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tcPr>
          <w:p w14:paraId="20CBC167" w14:textId="5E1882BC" w:rsidR="00CE3BAD" w:rsidRPr="00782BF9" w:rsidRDefault="006B5475">
            <w:pPr>
              <w:pStyle w:val="P68B1DB1-Normal10"/>
              <w:spacing w:after="0" w:line="240" w:lineRule="auto"/>
              <w:ind w:left="52"/>
              <w:rPr>
                <w:rFonts w:eastAsia="Times New Roman"/>
                <w:noProof/>
                <w:lang w:val="bg-BG"/>
              </w:rPr>
            </w:pPr>
            <w:r w:rsidRPr="00782BF9">
              <w:rPr>
                <w:noProof/>
                <w:lang w:val="bg-BG"/>
              </w:rPr>
              <w:t>Проучване на независими експерти, основано на обективни данни, като например официални статистически данни и проучвания, установява дали осъществените реформи са успели да премахнат практиката на изплащане на парични суми и оценява ефективността на правните разпоредби, които инкриминират полагащите се плащания. Тя също така оценява до каква степен реформата е допринесла за подобряване на привлекателността на лекарската професия и задържането на лекарите в Унгария. Проучването може да включва препоръки за допълнителни мерки за засилване на ефекта от реформите.</w:t>
            </w:r>
          </w:p>
        </w:tc>
      </w:tr>
      <w:tr w:rsidR="00CE3BAD" w:rsidRPr="00782BF9" w14:paraId="6912377C" w14:textId="77777777">
        <w:trPr>
          <w:trHeight w:val="915"/>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tcPr>
          <w:p w14:paraId="798E8C03" w14:textId="5AD7A855"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141</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tcPr>
          <w:p w14:paraId="6C9E507D" w14:textId="2266438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C8.I1 Развиване на условията за здравно обслужване през 21-ви век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082BFED"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Ключов етап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tcPr>
          <w:p w14:paraId="0309ABF6" w14:textId="2C3A16FE"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Влизане в сила на Правителственото постановление относно задачите на националната генерална дирекция за болниците</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tcPr>
          <w:p w14:paraId="2516AD13"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Разпоредба в правителственото постановление, указваща влизането му в сила</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71FA67ED" w14:textId="4297730F"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2E71DE84" w14:textId="4725D473"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61724BB0" w14:textId="11541CFE" w:rsidR="00CE3BAD" w:rsidRPr="00782BF9" w:rsidRDefault="00CE3BAD">
            <w:pPr>
              <w:spacing w:after="0" w:line="240" w:lineRule="auto"/>
              <w:jc w:val="center"/>
              <w:textAlignment w:val="baseline"/>
              <w:rPr>
                <w:rFonts w:eastAsia="Times New Roman"/>
                <w:noProof/>
                <w:sz w:val="18"/>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78CE81B1" w14:textId="06446341"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Т1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25524C94" w14:textId="08A06D1D"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2021</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tcPr>
          <w:p w14:paraId="6150852F" w14:textId="4C62796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Правителственото постановление относно задачите на националната генерална дирекция за болниците определя основата за разработване на единна и прозрачна нова национална система за управление на здравеопазването.</w:t>
            </w:r>
          </w:p>
        </w:tc>
      </w:tr>
      <w:tr w:rsidR="00CE3BAD" w:rsidRPr="00782BF9" w14:paraId="19CFFD27" w14:textId="77777777">
        <w:trPr>
          <w:trHeight w:val="930"/>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tcPr>
          <w:p w14:paraId="7AE780F6" w14:textId="7B587CA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142</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tcPr>
          <w:p w14:paraId="1E4B534F" w14:textId="03995A9A"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C8.I1 Развиване на условията за здравно обслужване през 21-ви век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4AC7AD94"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Ключов етап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tcPr>
          <w:p w14:paraId="695AE33A"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Завършване на процес на картографиране за създаване на районна болнична система с интегрирани лечебни пътеки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tcPr>
          <w:p w14:paraId="5ECC0774"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Публикуване на доклада за картографиране в Официален вестник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446CFBF" w14:textId="7A7944CF"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3B9CADBA" w14:textId="1951A64C"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04C17C29" w14:textId="6C657711" w:rsidR="00CE3BAD" w:rsidRPr="00782BF9" w:rsidRDefault="00CE3BAD">
            <w:pPr>
              <w:spacing w:after="0" w:line="240" w:lineRule="auto"/>
              <w:jc w:val="center"/>
              <w:textAlignment w:val="baseline"/>
              <w:rPr>
                <w:rFonts w:eastAsia="Times New Roman"/>
                <w:noProof/>
                <w:sz w:val="18"/>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DC4DE3B"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Т2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548E2CCA"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2023</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tcPr>
          <w:p w14:paraId="6D59136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Министерството на вътрешните работи извършва процес на картографиране, за да определи ролите на различните институции в интегрираните лечебни пътеки на равнище държава въз основа на наличния капацитет и демографските тенденции. Публикуваният доклад за картографиране включва график за създаване на болнични мрежи на областно равнище с интегрирани лечебни пътеки.</w:t>
            </w:r>
          </w:p>
          <w:p w14:paraId="0D4B38D5" w14:textId="77777777" w:rsidR="00CE3BAD" w:rsidRPr="00782BF9" w:rsidRDefault="00CE3BAD">
            <w:pPr>
              <w:spacing w:after="0" w:line="240" w:lineRule="auto"/>
              <w:ind w:left="52"/>
              <w:textAlignment w:val="baseline"/>
              <w:rPr>
                <w:rFonts w:eastAsia="Times New Roman"/>
                <w:noProof/>
                <w:sz w:val="18"/>
                <w:lang w:val="bg-BG"/>
              </w:rPr>
            </w:pPr>
          </w:p>
        </w:tc>
      </w:tr>
      <w:tr w:rsidR="00CE3BAD" w:rsidRPr="00782BF9" w14:paraId="5ABCF89C" w14:textId="77777777">
        <w:trPr>
          <w:trHeight w:val="552"/>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tcPr>
          <w:p w14:paraId="5B2F765E" w14:textId="5A747AEA"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143</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tcPr>
          <w:p w14:paraId="46DCCCA3" w14:textId="4B35094C"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C8.I1 Развиване на условията за здравно обслужване през 21-ви век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FA376EA"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tcPr>
          <w:p w14:paraId="5D159F7C"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Брой болнични мрежи на национално равнище с интегрирани лечебни пътеки</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tcPr>
          <w:p w14:paraId="219445E5"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04A209B"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46D1BFE9" w14:textId="0D86A35E"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77BC332B" w14:textId="0135F89C"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22</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A03FD8C" w14:textId="0E8F39A3"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Т1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5622A053" w14:textId="27A2E833"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2024</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tcPr>
          <w:p w14:paraId="48E38047" w14:textId="46135D9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Министерското решение за определяне на броя на болничните мрежи на областно равнище с интегрирани лечебни пътеки се публикува в Официален вестник. Създават се болнични мрежи на областно равнище с интегрирани пациентски пътеки, които обхващат цялата територия на Унгария. Интегрираните пациентски пътеки определят коя институция в мрежата отговаря за всеки вид медицинска интервенция в рамките на мрежата от здравни заведения на ниво държава.</w:t>
            </w:r>
          </w:p>
        </w:tc>
      </w:tr>
      <w:tr w:rsidR="00CE3BAD" w:rsidRPr="00782BF9" w14:paraId="6D55C08B" w14:textId="77777777">
        <w:trPr>
          <w:trHeight w:val="930"/>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tcPr>
          <w:p w14:paraId="1E9A6A31" w14:textId="6779C806"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144</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tcPr>
          <w:p w14:paraId="24E89466" w14:textId="559F2D38"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C8.I1 Развиване на условията за здравно обслужване през 21-ви век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0991C22F"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tcPr>
          <w:p w14:paraId="37D3303C"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Брой на събитията за вземане на цяла кръв на подвижни пунктове за събиране в малки населени места</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tcPr>
          <w:p w14:paraId="3BEE3940" w14:textId="77777777" w:rsidR="00CE3BAD" w:rsidRPr="00782BF9" w:rsidRDefault="00CE3BAD">
            <w:pPr>
              <w:spacing w:after="0" w:line="240" w:lineRule="auto"/>
              <w:textAlignment w:val="baseline"/>
              <w:rPr>
                <w:rFonts w:eastAsia="Times New Roman"/>
                <w:noProof/>
                <w:sz w:val="18"/>
                <w:lang w:val="bg-BG"/>
              </w:rPr>
            </w:pP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D1722B8"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3B9BB7D9" w14:textId="2FB2C488"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5FE8D2DA"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480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1EDD8EE" w14:textId="782A68FC"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Т1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1CA7CCDF"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2026</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tcPr>
          <w:p w14:paraId="6C6B5982" w14:textId="084322D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Организиране на доброволно кръводаряване в мобилни донорски отделения в селища с население под 3</w:t>
            </w:r>
            <w:r w:rsidRPr="00782BF9">
              <w:rPr>
                <w:noProof/>
                <w:color w:val="006100"/>
                <w:lang w:val="bg-BG"/>
              </w:rPr>
              <w:t xml:space="preserve"> </w:t>
            </w:r>
            <w:r w:rsidRPr="00782BF9">
              <w:rPr>
                <w:noProof/>
                <w:lang w:val="bg-BG"/>
              </w:rPr>
              <w:t>000.</w:t>
            </w:r>
          </w:p>
        </w:tc>
      </w:tr>
      <w:tr w:rsidR="00CE3BAD" w:rsidRPr="00782BF9" w14:paraId="3661BE58" w14:textId="77777777">
        <w:trPr>
          <w:trHeight w:val="296"/>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DC87921" w14:textId="3F188DA3"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145</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EDB985D" w14:textId="2A82A3A5"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C8.I1 Развиване на условията за здравно обслужване през 21-ви век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9711C86"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3601A5E"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Въвеждане в експлоатация на нови или модернизирани сгради на здравната инфраструктура, оборудвани с ново и модерно здравно оборудване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8E0723F"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58BBC84"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CCC07CB" w14:textId="0E0A905C"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A53C98A"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40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B67A851" w14:textId="4650DE95"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Т2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2B12EED"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2026</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2620B8B" w14:textId="0295EA2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Трябва да бъдат построени или санирани най-малко 40 сгради на здравната инфраструктура. Построените или обновените сгради се пускат в експлоатация след закупуването и инсталирането на съвременно здравно оборудване. Това оборудване може да включва транспортно оборудване, използвано в болниците, сглобяеми модулни хирургични помещения и хирургически инструменти, ръчни инструменти, инструменти за грижи за деца, инструменти за диагностика, инструменти за ендоскопия и лапароскопия, патология и лабораторни инструменти, инструменти за рехабилитация, инструменти за съхранение и предаване на медицински изображения, общо 140 000 единици оборудване. Това оборудване се монтира и пуска в експлоатация или — според случая — във връзка със сградите на здравната инфраструктура, построени или обновени в рамките на тази инвестиция.</w:t>
            </w:r>
          </w:p>
        </w:tc>
      </w:tr>
      <w:tr w:rsidR="00CE3BAD" w:rsidRPr="00782BF9" w14:paraId="26E80BFA" w14:textId="77777777">
        <w:trPr>
          <w:trHeight w:val="553"/>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tcPr>
          <w:p w14:paraId="5ED010B5" w14:textId="47EB23A0"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146</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tcPr>
          <w:p w14:paraId="6F1DC851" w14:textId="198B6F16"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C8.I1 Развиване на условията за здравно обслужване през 21-ви век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649AC016"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Целеви</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tcPr>
          <w:p w14:paraId="1FC80527"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Разгъната застроена площ на сградите на здравната инфраструктура, които са се възползвали от подобряване на енергийната ефективност</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tcPr>
          <w:p w14:paraId="577A77FE" w14:textId="77777777" w:rsidR="00CE3BAD" w:rsidRPr="00782BF9" w:rsidRDefault="00CE3BAD">
            <w:pPr>
              <w:spacing w:after="0" w:line="240" w:lineRule="auto"/>
              <w:textAlignment w:val="baseline"/>
              <w:rPr>
                <w:rFonts w:eastAsia="Times New Roman" w:cstheme="minorHAnsi"/>
                <w:noProof/>
                <w:sz w:val="18"/>
                <w:lang w:val="bg-BG"/>
              </w:rPr>
            </w:pP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05A286A"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Квадратен метър</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6DCD1584"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6FBF4CD4" w14:textId="663E9971"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139</w:t>
            </w:r>
            <w:r w:rsidRPr="00782BF9">
              <w:rPr>
                <w:noProof/>
                <w:color w:val="006100"/>
                <w:lang w:val="bg-BG"/>
              </w:rPr>
              <w:t xml:space="preserve"> </w:t>
            </w:r>
            <w:r w:rsidRPr="00782BF9">
              <w:rPr>
                <w:noProof/>
                <w:lang w:val="bg-BG"/>
              </w:rPr>
              <w:t>701</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18F3662A"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Т2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4CA32A8E"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2026</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tcPr>
          <w:p w14:paraId="7FFCF8F7" w14:textId="5F57895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Най-малко 139</w:t>
            </w:r>
            <w:r w:rsidRPr="00782BF9">
              <w:rPr>
                <w:noProof/>
                <w:color w:val="006100"/>
                <w:lang w:val="bg-BG"/>
              </w:rPr>
              <w:t xml:space="preserve"> </w:t>
            </w:r>
            <w:r w:rsidRPr="00782BF9">
              <w:rPr>
                <w:noProof/>
                <w:lang w:val="bg-BG"/>
              </w:rPr>
              <w:t xml:space="preserve">701 квадратни метра разгъната застроена площ в новите или модернизирани сгради на здравната инфраструктура, посочени в цел 145, се ползват от подобряване на ефективността. Потреблението на първична енергия на всички нови сгради трябва да бъде най-малко с 20 % по-ниско от изискването за сгради с близко до нулево нетно потребление на енергия. </w:t>
            </w:r>
          </w:p>
        </w:tc>
      </w:tr>
      <w:tr w:rsidR="00CE3BAD" w:rsidRPr="00782BF9" w14:paraId="6034C3E1" w14:textId="77777777">
        <w:trPr>
          <w:trHeight w:val="915"/>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F202D32" w14:textId="6650A349"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147</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072938F" w14:textId="23683DDD"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C8.I2 Подкрепа за цифровата трансформация на здравеопазването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69397DC"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735B4A2"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болници с модернизирана информационна система за сигурност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25F6465"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09B63B7"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44D21F8" w14:textId="2777C6B5"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E1D13AB"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65</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C88422B" w14:textId="390ED9A8"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Т4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25F2432"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2024</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7D48D11" w14:textId="3D8D803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Най-малко 65 болници се възползват от модернизиране на своите системи за информационна сигурност. За да се считат за институция с модернизирана информационна система за сигурност, в болницата трябва да функционират следните елементи: прието управление на информационната сигурност; централна система за управление на самоличността; използване на Office Gateway (Hivatali Kapu); наличието на описи на хардуер и софтуер; система за резервиране на данни; център за знания в областта на ИТ сигурността. Наличието на тези елементи се удостоверява чрез външен одит от експерти по ИТ сигурност.</w:t>
            </w:r>
          </w:p>
        </w:tc>
      </w:tr>
      <w:tr w:rsidR="00CE3BAD" w:rsidRPr="00782BF9" w14:paraId="111B7B6C" w14:textId="77777777">
        <w:trPr>
          <w:trHeight w:val="411"/>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34B6E7F" w14:textId="176FA1CE"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148</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DADD38" w14:textId="7D3663DA"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C8.I2 Подкрепа за цифровата трансформация на здравеопазването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A659A70"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6E2A682"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на новите бази данни в областта на здравеопазването и регистрите на заболяванията, които са на разположение в цифров вид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01AB1AD"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B1F1BA1"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373CAE6" w14:textId="09C0DBF3"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C3BCA78" w14:textId="46C2AB8E"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17</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CD35388" w14:textId="353C3BDB"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Т1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2385EA6" w14:textId="62D10F28"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2026</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793E2C5" w14:textId="77777777" w:rsidR="00CE3BAD" w:rsidRPr="00782BF9" w:rsidRDefault="006B5475">
            <w:pPr>
              <w:pStyle w:val="P68B1DB1-Normal10"/>
              <w:spacing w:after="0" w:line="240" w:lineRule="auto"/>
              <w:ind w:left="52"/>
              <w:jc w:val="both"/>
              <w:textAlignment w:val="baseline"/>
              <w:rPr>
                <w:rFonts w:eastAsia="Times New Roman"/>
                <w:noProof/>
                <w:lang w:val="bg-BG"/>
              </w:rPr>
            </w:pPr>
            <w:r w:rsidRPr="00782BF9">
              <w:rPr>
                <w:noProof/>
                <w:lang w:val="bg-BG"/>
              </w:rPr>
              <w:t xml:space="preserve">Най-малко 17 нови бази данни са достъпни в пространството за електронни здравни услуги (Elektronikus Egészségügyi Szolgáltatási Tér — EESZT). </w:t>
            </w:r>
          </w:p>
          <w:p w14:paraId="1DA6551A" w14:textId="1C178F80" w:rsidR="00CE3BAD" w:rsidRPr="00782BF9" w:rsidRDefault="006B5475">
            <w:pPr>
              <w:pStyle w:val="P68B1DB1-Normal10"/>
              <w:spacing w:after="0" w:line="240" w:lineRule="auto"/>
              <w:ind w:left="52"/>
              <w:jc w:val="both"/>
              <w:textAlignment w:val="baseline"/>
              <w:rPr>
                <w:rFonts w:eastAsia="Times New Roman"/>
                <w:noProof/>
                <w:lang w:val="bg-BG"/>
              </w:rPr>
            </w:pPr>
            <w:r w:rsidRPr="00782BF9">
              <w:rPr>
                <w:noProof/>
                <w:lang w:val="bg-BG"/>
              </w:rPr>
              <w:t>Новите бази данни могат да бъдат удостоверени с автентичност или публични бази данни, или медицински регистри, свързани с различни медицински специалности.</w:t>
            </w:r>
          </w:p>
        </w:tc>
      </w:tr>
      <w:tr w:rsidR="00CE3BAD" w:rsidRPr="00782BF9" w14:paraId="328626FE" w14:textId="77777777">
        <w:trPr>
          <w:trHeight w:val="580"/>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5AA1D1" w14:textId="608CE46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149</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DFEC8FC" w14:textId="2415DAE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C8.I2 Подкрепа за цифровата трансформация на здравеопазването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2714143"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DE19FBF"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Увеличаване на дела на видовете процедури на здравните органи, които могат да бъдат започнати по електронен път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3BA5EB1"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FCF9354"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(в проценти)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953CDFD" w14:textId="0A917FE9"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5</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F123FE6" w14:textId="42D9C8E6" w:rsidR="00CE3BAD" w:rsidRPr="00782BF9" w:rsidRDefault="006B5475">
            <w:pPr>
              <w:pStyle w:val="P68B1DB1-Normal10"/>
              <w:spacing w:after="0" w:line="240" w:lineRule="auto"/>
              <w:jc w:val="center"/>
              <w:textAlignment w:val="baseline"/>
              <w:rPr>
                <w:noProof/>
                <w:lang w:val="bg-BG"/>
              </w:rPr>
            </w:pPr>
            <w:r w:rsidRPr="00782BF9">
              <w:rPr>
                <w:noProof/>
                <w:lang w:val="bg-BG"/>
              </w:rPr>
              <w:t>60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A2A1DFD" w14:textId="37FCF92B" w:rsidR="00CE3BAD" w:rsidRPr="00782BF9" w:rsidRDefault="006B5475">
            <w:pPr>
              <w:pStyle w:val="P68B1DB1-Normal10"/>
              <w:spacing w:after="0" w:line="240" w:lineRule="auto"/>
              <w:jc w:val="center"/>
              <w:textAlignment w:val="baseline"/>
              <w:rPr>
                <w:noProof/>
                <w:lang w:val="bg-BG"/>
              </w:rPr>
            </w:pPr>
            <w:r w:rsidRPr="00782BF9">
              <w:rPr>
                <w:noProof/>
                <w:lang w:val="bg-BG"/>
              </w:rPr>
              <w:t>Т4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CCD5F07" w14:textId="7EEFC9BF" w:rsidR="00CE3BAD" w:rsidRPr="00782BF9" w:rsidRDefault="006B5475">
            <w:pPr>
              <w:pStyle w:val="P68B1DB1-Normal10"/>
              <w:spacing w:after="0" w:line="240" w:lineRule="auto"/>
              <w:jc w:val="center"/>
              <w:textAlignment w:val="baseline"/>
              <w:rPr>
                <w:noProof/>
                <w:lang w:val="bg-BG"/>
              </w:rPr>
            </w:pPr>
            <w:r w:rsidRPr="00782BF9">
              <w:rPr>
                <w:noProof/>
                <w:lang w:val="bg-BG"/>
              </w:rPr>
              <w:t>2025</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DC393DE" w14:textId="21805B7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Делът на процедурите на здравните органи, които могат да бъдат започнати по цифров път, се увеличава до най-малко 60 % до 31 декември 2025 г. в сравнение с 5 % през февруари 2020 г. Такива процедури могат да бъдат официални уведомления, разрешителни процедури и събиране на данни. Процедури, които понастоящем са частично електронни и стават изцяло електронни:</w:t>
            </w:r>
          </w:p>
          <w:p w14:paraId="730C7D1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Уведомяване за дейности, които включват опасни вещества или съединения (включително уведомяване за промени);</w:t>
            </w:r>
          </w:p>
          <w:p w14:paraId="4127EC9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Уведомяване за опасни вещества, използвани изключително за промишлени цели;</w:t>
            </w:r>
          </w:p>
          <w:p w14:paraId="33AB516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Нотификация за биоциди;</w:t>
            </w:r>
          </w:p>
          <w:p w14:paraId="4E5F281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Уведомяване за дейности срещу вредители, свързани с общественото здраве;</w:t>
            </w:r>
          </w:p>
          <w:p w14:paraId="33912F3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Уведомяване за дейностите по фумигация от страна на операторите за контрол на вредителите;</w:t>
            </w:r>
          </w:p>
          <w:p w14:paraId="63CCB09C" w14:textId="42AD530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Уведомяване за контрол на комарите и гризачите от страна на операторите за контрол на вредителите; и че</w:t>
            </w:r>
          </w:p>
          <w:p w14:paraId="24999216" w14:textId="2BF30A7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Разрешаване на биоциди съгласно преходните мерки на Регламент (ЕС) № 528/2012 на Европейския парламент и на Съвета относно предоставянето на пазара и употребата на биоциди.</w:t>
            </w:r>
          </w:p>
        </w:tc>
      </w:tr>
      <w:tr w:rsidR="00CE3BAD" w:rsidRPr="00782BF9" w14:paraId="6D79A9FA" w14:textId="77777777">
        <w:trPr>
          <w:trHeight w:val="242"/>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929F4F" w14:textId="52FBDD48"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150</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6F68D04" w14:textId="27685696"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C8.I2 Подкрепа за цифровата трансформация на здравеопазването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B8C9AD6"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C1CC90D"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Брой на телемедицинските услуги, предоставяни чрез цифрови инструменти, в рамките на една година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759D23C"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BE331D1"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5FB1FF4" w14:textId="0AE4CACA"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E05A564" w14:textId="501BB081" w:rsidR="00CE3BAD" w:rsidRPr="00782BF9" w:rsidRDefault="006B5475">
            <w:pPr>
              <w:pStyle w:val="P68B1DB1-Normal10"/>
              <w:spacing w:after="0" w:line="240" w:lineRule="auto"/>
              <w:jc w:val="center"/>
              <w:textAlignment w:val="baseline"/>
              <w:rPr>
                <w:noProof/>
                <w:lang w:val="bg-BG"/>
              </w:rPr>
            </w:pPr>
            <w:r w:rsidRPr="00782BF9">
              <w:rPr>
                <w:noProof/>
                <w:lang w:val="bg-BG"/>
              </w:rPr>
              <w:t>690 000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9A6A752" w14:textId="514F121D" w:rsidR="00CE3BAD" w:rsidRPr="00782BF9" w:rsidRDefault="006B5475">
            <w:pPr>
              <w:pStyle w:val="P68B1DB1-Normal10"/>
              <w:spacing w:after="0" w:line="240" w:lineRule="auto"/>
              <w:jc w:val="center"/>
              <w:textAlignment w:val="baseline"/>
              <w:rPr>
                <w:noProof/>
                <w:lang w:val="bg-BG"/>
              </w:rPr>
            </w:pPr>
            <w:r w:rsidRPr="00782BF9">
              <w:rPr>
                <w:noProof/>
                <w:lang w:val="bg-BG"/>
              </w:rPr>
              <w:t>Т4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96DE541" w14:textId="6176C6CA" w:rsidR="00CE3BAD" w:rsidRPr="00782BF9" w:rsidRDefault="006B5475">
            <w:pPr>
              <w:pStyle w:val="P68B1DB1-Normal10"/>
              <w:spacing w:after="0" w:line="240" w:lineRule="auto"/>
              <w:jc w:val="center"/>
              <w:textAlignment w:val="baseline"/>
              <w:rPr>
                <w:noProof/>
                <w:lang w:val="bg-BG"/>
              </w:rPr>
            </w:pPr>
            <w:r w:rsidRPr="00782BF9">
              <w:rPr>
                <w:noProof/>
                <w:lang w:val="bg-BG"/>
              </w:rPr>
              <w:t>2025</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4C89144" w14:textId="2479515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Броят на телемедицинските интервенции, предоставяни ежегодно на пациентите, се увеличава до най-малко 690 000 през 2025 г. Тези интервенции включват услуги, предоставяни чрез телекомуникационни устройства без лично взаимодействие между лекар и пациент, като например телеконсултация и диагностика. Броят на тези интервенции се отчита от Националния център за здравни услуги — институцията, управляваща централните телемедицински услуги, като действителни услуги за полагане на грижи.</w:t>
            </w:r>
          </w:p>
        </w:tc>
      </w:tr>
      <w:tr w:rsidR="00CE3BAD" w:rsidRPr="00782BF9" w14:paraId="03507B43" w14:textId="77777777">
        <w:trPr>
          <w:trHeight w:val="297"/>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F7AD893" w14:textId="73922BD9"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151</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6D369E0" w14:textId="5A559F43"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C8.I2 Подкрепа за цифровата трансформация на здравеопазването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7919490" w14:textId="23EA5841"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Ключов етап</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6FD1826" w14:textId="5C042152"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Стартирали са нови модули на EESZT в подкрепа на управлението на предлагането и цифровизираните процеси за полагане на грижи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9460B7" w14:textId="38181856"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Въвеждане в експлоатация на новите модули</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54F3082" w14:textId="2E73B0BB"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A04D7E0" w14:textId="5150766B"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6DA6E64" w14:textId="67497FA3" w:rsidR="00CE3BAD" w:rsidRPr="00782BF9" w:rsidRDefault="00CE3BAD">
            <w:pPr>
              <w:spacing w:after="0" w:line="240" w:lineRule="auto"/>
              <w:jc w:val="center"/>
              <w:textAlignment w:val="baseline"/>
              <w:rPr>
                <w:noProof/>
                <w:sz w:val="18"/>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4C9A6C7" w14:textId="24B50E93" w:rsidR="00CE3BAD" w:rsidRPr="00782BF9" w:rsidRDefault="006B5475">
            <w:pPr>
              <w:pStyle w:val="P68B1DB1-Normal10"/>
              <w:spacing w:after="0" w:line="240" w:lineRule="auto"/>
              <w:jc w:val="center"/>
              <w:textAlignment w:val="baseline"/>
              <w:rPr>
                <w:noProof/>
                <w:lang w:val="bg-BG"/>
              </w:rPr>
            </w:pPr>
            <w:r w:rsidRPr="00782BF9">
              <w:rPr>
                <w:noProof/>
                <w:lang w:val="bg-BG"/>
              </w:rPr>
              <w:t>Т4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70FFFD3" w14:textId="50FCD30D" w:rsidR="00CE3BAD" w:rsidRPr="00782BF9" w:rsidRDefault="006B5475">
            <w:pPr>
              <w:pStyle w:val="P68B1DB1-Normal10"/>
              <w:spacing w:after="0" w:line="240" w:lineRule="auto"/>
              <w:jc w:val="center"/>
              <w:textAlignment w:val="baseline"/>
              <w:rPr>
                <w:noProof/>
                <w:lang w:val="bg-BG"/>
              </w:rPr>
            </w:pPr>
            <w:r w:rsidRPr="00782BF9">
              <w:rPr>
                <w:noProof/>
                <w:lang w:val="bg-BG"/>
              </w:rPr>
              <w:t>2025</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BD63232" w14:textId="77777777" w:rsidR="00CE3BAD" w:rsidRPr="00782BF9" w:rsidRDefault="006B5475">
            <w:pPr>
              <w:pStyle w:val="P68B1DB1-Normal10"/>
              <w:spacing w:after="0" w:line="240" w:lineRule="auto"/>
              <w:ind w:left="52"/>
              <w:textAlignment w:val="baseline"/>
              <w:rPr>
                <w:noProof/>
                <w:lang w:val="bg-BG"/>
              </w:rPr>
            </w:pPr>
            <w:r w:rsidRPr="00782BF9">
              <w:rPr>
                <w:noProof/>
                <w:lang w:val="bg-BG"/>
              </w:rPr>
              <w:t>Разработват се и стартират следните модули на EESZT: централен регистър на пациентите; централен регистър на лечението, планиране на пътуванията на пациентите и публикуване на ресурсите; централна база данни за документацията на пациентите; система за лабораторно поръчване. Модулите са оперативни и се предоставят на потребителите.</w:t>
            </w:r>
          </w:p>
        </w:tc>
      </w:tr>
      <w:tr w:rsidR="00CE3BAD" w:rsidRPr="00782BF9" w14:paraId="606C4C13" w14:textId="77777777">
        <w:trPr>
          <w:trHeight w:val="915"/>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tcPr>
          <w:p w14:paraId="41957DAD" w14:textId="3CEFE840"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152</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tcPr>
          <w:p w14:paraId="1F032281" w14:textId="5E4C8021" w:rsidR="00CE3BAD" w:rsidRPr="00782BF9" w:rsidRDefault="006B5475">
            <w:pPr>
              <w:pStyle w:val="P68B1DB1-Normal10"/>
              <w:spacing w:after="0" w:line="240" w:lineRule="auto"/>
              <w:textAlignment w:val="baseline"/>
              <w:rPr>
                <w:rFonts w:eastAsia="Times New Roman"/>
                <w:b/>
                <w:noProof/>
                <w:lang w:val="bg-BG"/>
              </w:rPr>
            </w:pPr>
            <w:r w:rsidRPr="00782BF9">
              <w:rPr>
                <w:noProof/>
                <w:lang w:val="bg-BG"/>
              </w:rPr>
              <w:t xml:space="preserve">C8.I2 Подкрепа за цифровата трансформация на здравеопазването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564F725F"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Ключов етап</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tcPr>
          <w:p w14:paraId="40E3999A"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Стартиране на централно мобилно приложение в областта на здравеопазването (myEESZT)</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tcPr>
          <w:p w14:paraId="768882C8" w14:textId="77777777" w:rsidR="00CE3BAD" w:rsidRPr="00782BF9" w:rsidRDefault="00CE3BAD">
            <w:pPr>
              <w:spacing w:after="0" w:line="240" w:lineRule="auto"/>
              <w:textAlignment w:val="baseline"/>
              <w:rPr>
                <w:rFonts w:eastAsia="Times New Roman"/>
                <w:noProof/>
                <w:sz w:val="18"/>
                <w:lang w:val="bg-BG"/>
              </w:rPr>
            </w:pP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E0E2AB0" w14:textId="77777777"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3088A1D7" w14:textId="77777777"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04B59159" w14:textId="77777777" w:rsidR="00CE3BAD" w:rsidRPr="00782BF9" w:rsidRDefault="00CE3BAD">
            <w:pPr>
              <w:spacing w:after="0" w:line="240" w:lineRule="auto"/>
              <w:jc w:val="center"/>
              <w:textAlignment w:val="baseline"/>
              <w:rPr>
                <w:rFonts w:eastAsia="Times New Roman"/>
                <w:noProof/>
                <w:sz w:val="18"/>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4495A773"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Т2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3C45AF62"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2024</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tcPr>
          <w:p w14:paraId="58661CD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Мобилното приложение и уеб рамката myEESZT и свързаните с тях лични и професионални функции в областта на електронното здравеопазване се разработват и въвеждат в действие за домакинствата и професионалните потребители. Планираните функции на приложението включват най-малко здравен дневник, образователно съдържание и онлайн резервиране на срещи за медицински посещения и лечения.</w:t>
            </w:r>
          </w:p>
        </w:tc>
      </w:tr>
      <w:tr w:rsidR="00CE3BAD" w:rsidRPr="00782BF9" w14:paraId="70DE6912" w14:textId="77777777">
        <w:trPr>
          <w:trHeight w:val="915"/>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5AF600D" w14:textId="16F67B5F"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153</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404A2D3" w14:textId="305C445C"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C8.I2 Подкрепа за цифровата трансформация на здравеопазването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0E732CC"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0949427"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Брой на уникалните потребители на мобилното приложение за централно здравно обслужване</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F04600D"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5E5C24A" w14:textId="0E3975AA"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Брой</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A5B7C8E" w14:textId="4D63A95D"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2C62E19" w14:textId="373EC34E" w:rsidR="00CE3BAD" w:rsidRPr="00782BF9" w:rsidRDefault="006B5475">
            <w:pPr>
              <w:pStyle w:val="P68B1DB1-Normal10"/>
              <w:spacing w:after="0" w:line="240" w:lineRule="auto"/>
              <w:jc w:val="center"/>
              <w:textAlignment w:val="baseline"/>
              <w:rPr>
                <w:noProof/>
                <w:lang w:val="bg-BG"/>
              </w:rPr>
            </w:pPr>
            <w:r w:rsidRPr="00782BF9">
              <w:rPr>
                <w:noProof/>
                <w:lang w:val="bg-BG"/>
              </w:rPr>
              <w:t>100</w:t>
            </w:r>
            <w:r w:rsidRPr="00782BF9">
              <w:rPr>
                <w:noProof/>
                <w:color w:val="006100"/>
                <w:lang w:val="bg-BG"/>
              </w:rPr>
              <w:t xml:space="preserve"> </w:t>
            </w:r>
            <w:r w:rsidRPr="00782BF9">
              <w:rPr>
                <w:noProof/>
                <w:lang w:val="bg-BG"/>
              </w:rPr>
              <w:t>000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7E35F1A" w14:textId="5B9DC317" w:rsidR="00CE3BAD" w:rsidRPr="00782BF9" w:rsidRDefault="006B5475">
            <w:pPr>
              <w:pStyle w:val="P68B1DB1-Normal10"/>
              <w:spacing w:after="0" w:line="240" w:lineRule="auto"/>
              <w:jc w:val="center"/>
              <w:textAlignment w:val="baseline"/>
              <w:rPr>
                <w:noProof/>
                <w:lang w:val="bg-BG"/>
              </w:rPr>
            </w:pPr>
            <w:r w:rsidRPr="00782BF9">
              <w:rPr>
                <w:noProof/>
                <w:lang w:val="bg-BG"/>
              </w:rPr>
              <w:t>Т4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8C46979" w14:textId="4E522597" w:rsidR="00CE3BAD" w:rsidRPr="00782BF9" w:rsidRDefault="006B5475">
            <w:pPr>
              <w:pStyle w:val="P68B1DB1-Normal10"/>
              <w:spacing w:after="0" w:line="240" w:lineRule="auto"/>
              <w:jc w:val="center"/>
              <w:textAlignment w:val="baseline"/>
              <w:rPr>
                <w:noProof/>
                <w:lang w:val="bg-BG"/>
              </w:rPr>
            </w:pPr>
            <w:r w:rsidRPr="00782BF9">
              <w:rPr>
                <w:noProof/>
                <w:lang w:val="bg-BG"/>
              </w:rPr>
              <w:t>2025</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82DD202" w14:textId="1C7F1C0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Броят на уникалните потребители на централното мобилно приложение за здравно обслужване (myEESZT) трябва да достигне най-малко 100</w:t>
            </w:r>
            <w:r w:rsidRPr="00782BF9">
              <w:rPr>
                <w:noProof/>
                <w:color w:val="006100"/>
                <w:lang w:val="bg-BG"/>
              </w:rPr>
              <w:t xml:space="preserve"> </w:t>
            </w:r>
            <w:r w:rsidRPr="00782BF9">
              <w:rPr>
                <w:noProof/>
                <w:lang w:val="bg-BG"/>
              </w:rPr>
              <w:t>000 на 31 декември 2025 г.</w:t>
            </w:r>
          </w:p>
        </w:tc>
      </w:tr>
      <w:tr w:rsidR="00CE3BAD" w:rsidRPr="00782BF9" w14:paraId="4354F4C8" w14:textId="77777777">
        <w:trPr>
          <w:trHeight w:val="552"/>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31DF325" w14:textId="1DA511D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154</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F0590DC" w14:textId="2F9E9806"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C8.I3 Програма за мониторинг на здравето от разстояние за възрастни хора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393072A"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Ключов етап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A86956D" w14:textId="113BFB6B"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Стартиране на диспечерската служба за програмата за дистанционно наблюдение на здравето за възрастни хора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81F2ECC" w14:textId="476D9B80"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Въвеждане в експлоатация на диспечерската услуга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F53046E" w14:textId="407902B3"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EDDABE8" w14:textId="7D6955A1"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918A2BF" w14:textId="4D070211" w:rsidR="00CE3BAD" w:rsidRPr="00782BF9" w:rsidRDefault="00CE3BAD">
            <w:pPr>
              <w:spacing w:after="0" w:line="240" w:lineRule="auto"/>
              <w:jc w:val="center"/>
              <w:textAlignment w:val="baseline"/>
              <w:rPr>
                <w:rFonts w:eastAsia="Times New Roman"/>
                <w:noProof/>
                <w:sz w:val="18"/>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1284D76" w14:textId="20E71454" w:rsidR="00CE3BAD" w:rsidRPr="00782BF9" w:rsidRDefault="006B5475">
            <w:pPr>
              <w:pStyle w:val="P68B1DB1-Normal10"/>
              <w:spacing w:after="0" w:line="240" w:lineRule="auto"/>
              <w:jc w:val="center"/>
              <w:textAlignment w:val="baseline"/>
              <w:rPr>
                <w:noProof/>
                <w:lang w:val="bg-BG"/>
              </w:rPr>
            </w:pPr>
            <w:r w:rsidRPr="00782BF9">
              <w:rPr>
                <w:noProof/>
                <w:lang w:val="bg-BG"/>
              </w:rPr>
              <w:t>Т3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23053B4" w14:textId="5C039F4C" w:rsidR="00CE3BAD" w:rsidRPr="00782BF9" w:rsidRDefault="006B5475">
            <w:pPr>
              <w:pStyle w:val="P68B1DB1-Normal10"/>
              <w:spacing w:after="0" w:line="240" w:lineRule="auto"/>
              <w:jc w:val="center"/>
              <w:textAlignment w:val="baseline"/>
              <w:rPr>
                <w:noProof/>
                <w:lang w:val="bg-BG"/>
              </w:rPr>
            </w:pPr>
            <w:r w:rsidRPr="00782BF9">
              <w:rPr>
                <w:noProof/>
                <w:lang w:val="bg-BG"/>
              </w:rPr>
              <w:t>2022</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FD6179F" w14:textId="191C4B6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Диспечерската служба за програмата започва да функционира. Определя се местоположението на диспечерската служба и се създава и функционира необходимата инфраструктура и специализиран персонал. Диспечерският център получава входящите спешни повиквания от ползвателите на услугата (възрастни хора на възраст над 65 години); той има достъп до членовете на семейството, общопрактикуващия лекар, доставчиците на здравни и социални услуги на пациента. Персоналът на диспечерската служба комуникира с пациентите и роднините на обажданията или доставчиците на здравно обслужване в случай на извънредна ситуация. Персоналът разполага с експертни познания в областта на услугите за спешна помощ или спешна помощ. Информационната система на диспечерската служба насочва пациента и персонала чрез протокол за разпит, за да се гарантира висококачествена услуга.</w:t>
            </w:r>
          </w:p>
        </w:tc>
      </w:tr>
      <w:tr w:rsidR="00CE3BAD" w:rsidRPr="00782BF9" w14:paraId="170A9FDC" w14:textId="77777777">
        <w:trPr>
          <w:trHeight w:val="1245"/>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tcPr>
          <w:p w14:paraId="2D3F7FD3" w14:textId="2ED0959F"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155</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tcPr>
          <w:p w14:paraId="781797AB" w14:textId="5E595320"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C8.I3 Програма за мониторинг на здравето от разстояние за възрастни хора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3C22690B"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tcPr>
          <w:p w14:paraId="0F249075" w14:textId="118877E1"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Брой на участниците в програмата за дистанционно наблюдение на здравето за възрастни хора</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tcPr>
          <w:p w14:paraId="08C69A98"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62574A3"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25F86CA1" w14:textId="7DD7508A"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466C270B" w14:textId="7D0F2E1B"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1</w:t>
            </w:r>
            <w:r w:rsidRPr="00782BF9">
              <w:rPr>
                <w:noProof/>
                <w:color w:val="006100"/>
                <w:lang w:val="bg-BG"/>
              </w:rPr>
              <w:t xml:space="preserve"> </w:t>
            </w:r>
            <w:r w:rsidRPr="00782BF9">
              <w:rPr>
                <w:noProof/>
                <w:lang w:val="bg-BG"/>
              </w:rPr>
              <w:t>500</w:t>
            </w:r>
            <w:r w:rsidRPr="00782BF9">
              <w:rPr>
                <w:noProof/>
                <w:color w:val="006100"/>
                <w:lang w:val="bg-BG"/>
              </w:rPr>
              <w:t xml:space="preserve"> </w:t>
            </w:r>
            <w:r w:rsidRPr="00782BF9">
              <w:rPr>
                <w:noProof/>
                <w:lang w:val="bg-BG"/>
              </w:rPr>
              <w:t>000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3E22A092" w14:textId="67313E7A"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Т4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5176D722" w14:textId="6736BC76"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2025</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tcPr>
          <w:p w14:paraId="34DCD600" w14:textId="1BB1AC4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Най-малко 1 500 000 участници (възрастни хора на възраст над 65 години) в програмата трябва да бъдат оборудвани със сетивни устройства за носене. Услугата осигурява 24-часово наблюдение на тези възрастни хора, което им позволява да се обадят в диспечерски център в случай на извънредна медицинска ситуация. Членовете на семейството и роднините също могат да получат уведомление в случай на извънредна ситуация.</w:t>
            </w:r>
          </w:p>
        </w:tc>
      </w:tr>
      <w:tr w:rsidR="00CE3BAD" w:rsidRPr="00782BF9" w14:paraId="09A5D1A3" w14:textId="77777777">
        <w:trPr>
          <w:trHeight w:val="297"/>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tcPr>
          <w:p w14:paraId="0DA376F1" w14:textId="2A05C459"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156</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tcPr>
          <w:p w14:paraId="5316C1FC" w14:textId="283207C3"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C8.I4 Развитие на първичните здравни грижи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2B1CB07F"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Ключов етап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tcPr>
          <w:p w14:paraId="06ABCAB6"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Влизане в сила на </w:t>
            </w:r>
          </w:p>
          <w:p w14:paraId="078C620A"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правителствено постановление относно общностите Praxis</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tcPr>
          <w:p w14:paraId="2F99DCC5"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Разпоредба в правителственото постановление, указваща влизането му в сила</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CB741D1" w14:textId="42F07137"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5D64B701" w14:textId="31A1E9FF" w:rsidR="00CE3BAD" w:rsidRPr="00782BF9" w:rsidRDefault="00CE3BAD">
            <w:pPr>
              <w:spacing w:after="0" w:line="240" w:lineRule="auto"/>
              <w:jc w:val="center"/>
              <w:textAlignment w:val="baseline"/>
              <w:rPr>
                <w:rFonts w:eastAsia="Times New Roman"/>
                <w:noProof/>
                <w:sz w:val="18"/>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tcPr>
          <w:p w14:paraId="7BCD9786" w14:textId="5F2A84AD" w:rsidR="00CE3BAD" w:rsidRPr="00782BF9" w:rsidRDefault="00CE3BAD">
            <w:pPr>
              <w:spacing w:after="0" w:line="240" w:lineRule="auto"/>
              <w:jc w:val="center"/>
              <w:textAlignment w:val="baseline"/>
              <w:rPr>
                <w:rFonts w:eastAsia="Times New Roman"/>
                <w:noProof/>
                <w:sz w:val="18"/>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193ADAAE" w14:textId="39E8FB85"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Т1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01E40760" w14:textId="3A05F270"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2021</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tcPr>
          <w:p w14:paraId="23FBB04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Правителственото постановление относно Общностите Praxis създава правната рамка за създаване и функциониране на общностите, включително техните възможни форми, правната процедура за тяхното учредяване, допълнителните им професионални задължения и разграничаването на основните дейности по ОПП.</w:t>
            </w:r>
          </w:p>
        </w:tc>
      </w:tr>
      <w:tr w:rsidR="00CE3BAD" w:rsidRPr="00782BF9" w14:paraId="3C392F33" w14:textId="77777777">
        <w:trPr>
          <w:trHeight w:val="242"/>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96815C9" w14:textId="73A5ECA8"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157</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9188301" w14:textId="507BD96D"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C8.I4 Развитие на първичните здравни грижи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C66A609"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8FC9DF5"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Брой на лекарите, участващи в новосъздадени и действащи общности на общопрактикуващи лекари</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E448F0D"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730D7C4"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7D23F36" w14:textId="77777777"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515</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7CFDFA0" w14:textId="28A6D136"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4</w:t>
            </w:r>
            <w:r w:rsidRPr="00782BF9">
              <w:rPr>
                <w:noProof/>
                <w:color w:val="006100"/>
                <w:lang w:val="bg-BG"/>
              </w:rPr>
              <w:t xml:space="preserve"> </w:t>
            </w:r>
            <w:r w:rsidRPr="00782BF9">
              <w:rPr>
                <w:noProof/>
                <w:lang w:val="bg-BG"/>
              </w:rPr>
              <w:t>000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CC2AAE8" w14:textId="77777777" w:rsidR="00CE3BAD" w:rsidRPr="00782BF9" w:rsidRDefault="006B5475">
            <w:pPr>
              <w:pStyle w:val="P68B1DB1-Normal10"/>
              <w:spacing w:after="0" w:line="240" w:lineRule="auto"/>
              <w:jc w:val="center"/>
              <w:textAlignment w:val="baseline"/>
              <w:rPr>
                <w:noProof/>
                <w:lang w:val="bg-BG"/>
              </w:rPr>
            </w:pPr>
            <w:r w:rsidRPr="00782BF9">
              <w:rPr>
                <w:noProof/>
                <w:lang w:val="bg-BG"/>
              </w:rPr>
              <w:t>Т3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63235F72" w14:textId="77777777" w:rsidR="00CE3BAD" w:rsidRPr="00782BF9" w:rsidRDefault="006B5475">
            <w:pPr>
              <w:pStyle w:val="P68B1DB1-Normal10"/>
              <w:spacing w:after="0" w:line="240" w:lineRule="auto"/>
              <w:jc w:val="center"/>
              <w:textAlignment w:val="baseline"/>
              <w:rPr>
                <w:noProof/>
                <w:lang w:val="bg-BG"/>
              </w:rPr>
            </w:pPr>
            <w:r w:rsidRPr="00782BF9">
              <w:rPr>
                <w:noProof/>
                <w:lang w:val="bg-BG"/>
              </w:rPr>
              <w:t>2025</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117819" w14:textId="2CE5617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Най-малко 4 ОПП</w:t>
            </w:r>
            <w:r w:rsidRPr="00782BF9">
              <w:rPr>
                <w:noProof/>
                <w:color w:val="006100"/>
                <w:lang w:val="bg-BG"/>
              </w:rPr>
              <w:t xml:space="preserve"> </w:t>
            </w:r>
            <w:r w:rsidRPr="00782BF9">
              <w:rPr>
                <w:noProof/>
                <w:lang w:val="bg-BG"/>
              </w:rPr>
              <w:t>трябва да са подписали споразумение за сътрудничество за създаване на общност от практики в сравнение с 515 през март 2021 г. </w:t>
            </w:r>
          </w:p>
        </w:tc>
      </w:tr>
      <w:tr w:rsidR="00CE3BAD" w:rsidRPr="00782BF9" w14:paraId="54D6666D" w14:textId="77777777">
        <w:trPr>
          <w:trHeight w:val="2133"/>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8D48261" w14:textId="51A89396"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158</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B9AAEB0" w14:textId="31D60FA1"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C8.I4 Развитие на първичните здравни грижи</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82C5BB2"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8C6999F"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на пациентите, записани в програмата за управление на хроничните заболявания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600606D"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77FEC24" w14:textId="22B4C189"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Брой</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1932A47" w14:textId="0B717219"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5C98963" w14:textId="2317E60C" w:rsidR="00CE3BAD" w:rsidRPr="00782BF9" w:rsidRDefault="006B5475">
            <w:pPr>
              <w:pStyle w:val="P68B1DB1-Normal10"/>
              <w:spacing w:after="0" w:line="240" w:lineRule="auto"/>
              <w:jc w:val="center"/>
              <w:textAlignment w:val="baseline"/>
              <w:rPr>
                <w:noProof/>
                <w:lang w:val="bg-BG"/>
              </w:rPr>
            </w:pPr>
            <w:r w:rsidRPr="00782BF9">
              <w:rPr>
                <w:noProof/>
                <w:lang w:val="bg-BG"/>
              </w:rPr>
              <w:t>43</w:t>
            </w:r>
            <w:r w:rsidRPr="00782BF9">
              <w:rPr>
                <w:noProof/>
                <w:color w:val="006100"/>
                <w:lang w:val="bg-BG"/>
              </w:rPr>
              <w:t xml:space="preserve"> </w:t>
            </w:r>
            <w:r w:rsidRPr="00782BF9">
              <w:rPr>
                <w:noProof/>
                <w:lang w:val="bg-BG"/>
              </w:rPr>
              <w:t>000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FA85929" w14:textId="2EDF0D9E" w:rsidR="00CE3BAD" w:rsidRPr="00782BF9" w:rsidRDefault="006B5475">
            <w:pPr>
              <w:pStyle w:val="P68B1DB1-Normal10"/>
              <w:spacing w:after="0" w:line="240" w:lineRule="auto"/>
              <w:jc w:val="center"/>
              <w:textAlignment w:val="baseline"/>
              <w:rPr>
                <w:noProof/>
                <w:lang w:val="bg-BG"/>
              </w:rPr>
            </w:pPr>
            <w:r w:rsidRPr="00782BF9">
              <w:rPr>
                <w:noProof/>
                <w:lang w:val="bg-BG"/>
              </w:rPr>
              <w:t>Т4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8712FBB" w14:textId="77777777" w:rsidR="00CE3BAD" w:rsidRPr="00782BF9" w:rsidRDefault="006B5475">
            <w:pPr>
              <w:pStyle w:val="P68B1DB1-Normal10"/>
              <w:spacing w:after="0" w:line="240" w:lineRule="auto"/>
              <w:jc w:val="center"/>
              <w:textAlignment w:val="baseline"/>
              <w:rPr>
                <w:noProof/>
                <w:lang w:val="bg-BG"/>
              </w:rPr>
            </w:pPr>
            <w:r w:rsidRPr="00782BF9">
              <w:rPr>
                <w:noProof/>
                <w:lang w:val="bg-BG"/>
              </w:rPr>
              <w:t>2025</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940C51B" w14:textId="174C27EB" w:rsidR="00CE3BAD" w:rsidRPr="00782BF9" w:rsidRDefault="006B5475">
            <w:pPr>
              <w:pStyle w:val="P68B1DB1-Normal10"/>
              <w:spacing w:after="0" w:line="240" w:lineRule="auto"/>
              <w:ind w:left="52"/>
              <w:textAlignment w:val="baseline"/>
              <w:rPr>
                <w:rFonts w:eastAsia="Times New Roman"/>
                <w:noProof/>
                <w:highlight w:val="yellow"/>
                <w:lang w:val="bg-BG"/>
              </w:rPr>
            </w:pPr>
            <w:r w:rsidRPr="00782BF9">
              <w:rPr>
                <w:noProof/>
                <w:lang w:val="bg-BG"/>
              </w:rPr>
              <w:t>Най-малко 43 пациенти</w:t>
            </w:r>
            <w:r w:rsidRPr="00782BF9">
              <w:rPr>
                <w:noProof/>
                <w:color w:val="006100"/>
                <w:lang w:val="bg-BG"/>
              </w:rPr>
              <w:t xml:space="preserve"> </w:t>
            </w:r>
            <w:r w:rsidRPr="00782BF9">
              <w:rPr>
                <w:noProof/>
                <w:lang w:val="bg-BG"/>
              </w:rPr>
              <w:t>трябва да бъдат записани в програмата за управление на хроничните заболявания, която се отнася до сложния процес на предоставяне на ефективни, навременни и достъпни грижи за пациенти, диагностицирани с хронични незаразни болести. Хроничните заболявания, обхванати от програмата, включват хипертония и други сърдечносъдови заболявания, диабет тип II и хронична обструктивна белодробна болест (ХОББ).</w:t>
            </w:r>
          </w:p>
        </w:tc>
      </w:tr>
      <w:tr w:rsidR="00CE3BAD" w:rsidRPr="00782BF9" w14:paraId="6D447E6A" w14:textId="77777777">
        <w:trPr>
          <w:trHeight w:val="411"/>
          <w:jc w:val="center"/>
        </w:trPr>
        <w:tc>
          <w:tcPr>
            <w:tcW w:w="62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0243C03" w14:textId="5D26FB25"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159</w:t>
            </w:r>
          </w:p>
        </w:tc>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91F25D1" w14:textId="52E23470"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C8.I4 Развитие на първичните здравни грижи</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AFA9DE3"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Целеви </w:t>
            </w:r>
          </w:p>
        </w:tc>
        <w:tc>
          <w:tcPr>
            <w:tcW w:w="251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B87FAF0"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Брой на пациентите, записани в програми за профилактика и промоция на здравето  </w:t>
            </w:r>
          </w:p>
        </w:tc>
        <w:tc>
          <w:tcPr>
            <w:tcW w:w="178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AB28B1F" w14:textId="777777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E901E79" w14:textId="3E1A42C9"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Брой</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9EDC552" w14:textId="1080F170" w:rsidR="00CE3BAD" w:rsidRPr="00782BF9" w:rsidRDefault="006B5475">
            <w:pPr>
              <w:pStyle w:val="P68B1DB1-Normal10"/>
              <w:spacing w:after="0" w:line="240" w:lineRule="auto"/>
              <w:jc w:val="center"/>
              <w:textAlignment w:val="baseline"/>
              <w:rPr>
                <w:rFonts w:eastAsia="Times New Roman"/>
                <w:noProof/>
                <w:lang w:val="bg-BG"/>
              </w:rPr>
            </w:pPr>
            <w:r w:rsidRPr="00782BF9">
              <w:rPr>
                <w:noProof/>
                <w:lang w:val="bg-BG"/>
              </w:rPr>
              <w:t>0</w:t>
            </w:r>
          </w:p>
        </w:tc>
        <w:tc>
          <w:tcPr>
            <w:tcW w:w="99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1B7D1EC" w14:textId="65076374" w:rsidR="00CE3BAD" w:rsidRPr="00782BF9" w:rsidRDefault="006B5475">
            <w:pPr>
              <w:pStyle w:val="P68B1DB1-Normal10"/>
              <w:spacing w:after="0" w:line="240" w:lineRule="auto"/>
              <w:jc w:val="center"/>
              <w:textAlignment w:val="baseline"/>
              <w:rPr>
                <w:noProof/>
                <w:lang w:val="bg-BG"/>
              </w:rPr>
            </w:pPr>
            <w:r w:rsidRPr="00782BF9">
              <w:rPr>
                <w:noProof/>
                <w:lang w:val="bg-BG"/>
              </w:rPr>
              <w:t>30</w:t>
            </w:r>
            <w:r w:rsidRPr="00782BF9">
              <w:rPr>
                <w:noProof/>
                <w:color w:val="006100"/>
                <w:lang w:val="bg-BG"/>
              </w:rPr>
              <w:t xml:space="preserve"> </w:t>
            </w:r>
            <w:r w:rsidRPr="00782BF9">
              <w:rPr>
                <w:noProof/>
                <w:lang w:val="bg-BG"/>
              </w:rPr>
              <w:t>000</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3FD4398" w14:textId="77777777" w:rsidR="00CE3BAD" w:rsidRPr="00782BF9" w:rsidRDefault="006B5475">
            <w:pPr>
              <w:pStyle w:val="P68B1DB1-Normal10"/>
              <w:spacing w:after="0" w:line="240" w:lineRule="auto"/>
              <w:jc w:val="center"/>
              <w:textAlignment w:val="baseline"/>
              <w:rPr>
                <w:noProof/>
                <w:lang w:val="bg-BG"/>
              </w:rPr>
            </w:pPr>
            <w:r w:rsidRPr="00782BF9">
              <w:rPr>
                <w:noProof/>
                <w:lang w:val="bg-BG"/>
              </w:rPr>
              <w:t>Т4 Г.</w:t>
            </w:r>
          </w:p>
        </w:tc>
        <w:tc>
          <w:tcPr>
            <w:tcW w:w="567" w:type="dxa"/>
            <w:tcBorders>
              <w:top w:val="single" w:sz="4" w:space="0" w:color="auto"/>
              <w:left w:val="single" w:sz="4" w:space="0" w:color="auto"/>
              <w:bottom w:val="single" w:sz="4" w:space="0" w:color="auto"/>
              <w:right w:val="single" w:sz="4" w:space="0" w:color="auto"/>
            </w:tcBorders>
            <w:shd w:val="clear" w:color="auto" w:fill="C6EFCE"/>
            <w:vAlign w:val="center"/>
          </w:tcPr>
          <w:p w14:paraId="0616F78A" w14:textId="77777777" w:rsidR="00CE3BAD" w:rsidRPr="00782BF9" w:rsidRDefault="006B5475">
            <w:pPr>
              <w:pStyle w:val="P68B1DB1-Normal10"/>
              <w:spacing w:after="0" w:line="240" w:lineRule="auto"/>
              <w:jc w:val="center"/>
              <w:textAlignment w:val="baseline"/>
              <w:rPr>
                <w:noProof/>
                <w:lang w:val="bg-BG"/>
              </w:rPr>
            </w:pPr>
            <w:r w:rsidRPr="00782BF9">
              <w:rPr>
                <w:noProof/>
                <w:lang w:val="bg-BG"/>
              </w:rPr>
              <w:t>2025</w:t>
            </w:r>
          </w:p>
        </w:tc>
        <w:tc>
          <w:tcPr>
            <w:tcW w:w="373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A230A07" w14:textId="346B5D11" w:rsidR="00CE3BAD" w:rsidRPr="00782BF9" w:rsidRDefault="006B5475">
            <w:pPr>
              <w:pStyle w:val="P68B1DB1-Normal10"/>
              <w:spacing w:after="0" w:line="240" w:lineRule="auto"/>
              <w:ind w:left="52"/>
              <w:textAlignment w:val="baseline"/>
              <w:rPr>
                <w:rFonts w:eastAsia="Times New Roman"/>
                <w:noProof/>
                <w:highlight w:val="yellow"/>
                <w:lang w:val="bg-BG"/>
              </w:rPr>
            </w:pPr>
            <w:r w:rsidRPr="00782BF9">
              <w:rPr>
                <w:noProof/>
                <w:lang w:val="bg-BG"/>
              </w:rPr>
              <w:t>Най-малко 30</w:t>
            </w:r>
            <w:r w:rsidRPr="00782BF9">
              <w:rPr>
                <w:noProof/>
                <w:color w:val="006100"/>
                <w:lang w:val="bg-BG"/>
              </w:rPr>
              <w:t xml:space="preserve"> </w:t>
            </w:r>
            <w:r w:rsidRPr="00782BF9">
              <w:rPr>
                <w:noProof/>
                <w:lang w:val="bg-BG"/>
              </w:rPr>
              <w:t>000 пациенти трябва да бъдат записани в програми за профилактика и промоция на здравето. Те се определят като програми, насочени към предотвратяване на хроничните незаразни болести и подпомагане на промяната в начина на живот чрез дейности като: програми за насърчаване на здравословен хранителен режим; програми за насърчаване на редовни физически упражнения; програми в подкрепа на промяната в начина на живот; програми за насърчаване на здравето на работното място; програми за насърчаване на здравето в училищата; програми за опазване и развитие на психичното здраве; програми срещу прекомерната консумация на алкохол; програми в подкрепа на отказването от тютюнопушенето; и програми за предотвратяване на употребата на незаконни вещества.</w:t>
            </w:r>
          </w:p>
        </w:tc>
      </w:tr>
    </w:tbl>
    <w:p w14:paraId="042ECB61" w14:textId="77777777" w:rsidR="00CE3BAD" w:rsidRPr="00782BF9" w:rsidRDefault="00CE3BAD">
      <w:pPr>
        <w:rPr>
          <w:noProof/>
          <w:lang w:val="bg-BG"/>
        </w:rPr>
        <w:sectPr w:rsidR="00CE3BAD" w:rsidRPr="00782BF9" w:rsidSect="00063917">
          <w:headerReference w:type="even" r:id="rId123"/>
          <w:headerReference w:type="default" r:id="rId124"/>
          <w:footerReference w:type="even" r:id="rId125"/>
          <w:footerReference w:type="default" r:id="rId126"/>
          <w:headerReference w:type="first" r:id="rId127"/>
          <w:footerReference w:type="first" r:id="rId128"/>
          <w:pgSz w:w="16838" w:h="11906" w:orient="landscape"/>
          <w:pgMar w:top="1418" w:right="1418" w:bottom="1418" w:left="1418" w:header="709" w:footer="709" w:gutter="0"/>
          <w:cols w:space="708"/>
          <w:docGrid w:linePitch="360"/>
        </w:sectPr>
      </w:pPr>
    </w:p>
    <w:p w14:paraId="7425B990" w14:textId="64279134" w:rsidR="00CE3BAD" w:rsidRPr="00782BF9" w:rsidRDefault="00594986">
      <w:pPr>
        <w:pStyle w:val="Heading2"/>
        <w:ind w:left="0" w:firstLine="0"/>
        <w:rPr>
          <w:rFonts w:eastAsia="Times New Roman"/>
          <w:noProof/>
          <w:lang w:val="bg-BG"/>
        </w:rPr>
      </w:pPr>
      <w:r w:rsidRPr="00782BF9">
        <w:rPr>
          <w:noProof/>
          <w:lang w:val="bg-BG"/>
        </w:rPr>
        <w:t xml:space="preserve">И. КОМПОНЕНТ 9: УПРАВЛЕНИЕ И ПУБЛИЧНА АДМИНИСТРАЦИЯ </w:t>
      </w:r>
    </w:p>
    <w:p w14:paraId="5BC3004C" w14:textId="77777777" w:rsidR="00CE3BAD" w:rsidRPr="00782BF9" w:rsidRDefault="00CE3BAD">
      <w:pPr>
        <w:rPr>
          <w:noProof/>
          <w:lang w:val="bg-BG"/>
        </w:rPr>
      </w:pPr>
    </w:p>
    <w:p w14:paraId="4FD52D85" w14:textId="28123CAE"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Унгария има редица дългогодишни хоризонтални предизвикателства, свързани със стабилността и функционирането на публичните институции като цяло, което има последици и за икономическите и социалните процеси в страната. Конкретните въпроси в това отношение са свързани с уредбата за борба с корупцията, конкуренцията в областта на обществените поръчки, независимостта на съдебната власт, както и предвидимостта, качеството и прозрачността на процеса на вземане на решения. Унгария се нарежда на последно място по показателите за възприятие на корупцията, а равнището на конкуренция при обществените поръчки е умерено. Отчетността за решенията за приключване на разследвания продължава да буди безпокойство, тъй като няма ефективни средства за правна защита срещу решенията на прокуратурата да не се преследва предполагаема престъпна дейност. Повтарящите се предизвикателства при прилагането на правилата за прозрачност и достъп до публична информация допълнително отслабват рамката за борба с корупцията. Що се отнася до независимостта на съдебната власт, опасенията, описани в Доклада относно върховенството на закона за 2022 г., са свързани по-специално с предизвикателствата, пред които е изправен независимият Национален съдебен съвет при балансирането на правомощията на председателя на Националната съдебна служба, правилата за избор на председател на Върховния съд, възможността за дискреционни решения по отношение на назначенията и повишенията в съдебната система, разпределението на делата, както и бонусите за съдии и ръководители на съдилища, както и възможността публичните органи да оспорват пред Конституционния съд окончателни съдебни решения. Качеството, предвидимостта и прозрачността на процеса на вземане на решения и липсата на ефективни консултации със социалните партньори и заинтересованите страни в процесите на вземане на решения представляват повтарящи се предизвикателства. Сложността на данъчната система и рисковете от агресивно данъчно планиране също бяха определени като проблеми, които трябва да бъдат преодолени; както и необходимостта от подобряване на устойчивостта на публичните финанси.</w:t>
      </w:r>
    </w:p>
    <w:p w14:paraId="40402BCC"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Този компонент на унгарския план за възстановяване и устойчивост има за цел да отговори на тези предизвикателства. Той включва мерки, които се очаква да допринесат за укрепването на рамката за борба с корупцията, включително чрез създаване на Орган по интегритета и работна група за борба с корупцията, разработване на всеобхватни стратегии за борба с корупцията и укрепване на капацитета на унгарските одитни органи, по-специално по отношение на разходите от бюджета на ЕС. Тя включва и мерки за засилване на усилията на прокуратурата. Включени са и мерки за увеличаване на конкуренцията в областта на обществените поръчки и за гарантиране на прозрачността и публичния надзор върху обществените поръчки.  </w:t>
      </w:r>
    </w:p>
    <w:p w14:paraId="78DCFAD6" w14:textId="793D3BD2"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Мерките, включени в компонента, са насочени и към дългогодишните въпроси, свързани с независимостта на съдебната власт, за повишаване на стандарта на съдебна защита и за подобряване на инвестиционния климат в Унгария чрез укрепване на гаранциите за независимост и безпристрастност на съдилищата, а именно чрез създаване на по-големи правомощия на Националния съдебен съвет за противодействие на правомощията на председателя на Националната съдебна служба, укрепване на независимостта на съдебната власт на Върховния съд, премахване на пречките пред отправянето на преюдициални запитвания до Съда на Европейския съюз и премахване на възможността публичните органи да оспорват пред Конституционния съд окончателни съдебни решения. </w:t>
      </w:r>
    </w:p>
    <w:p w14:paraId="508FD9C1" w14:textId="2E5C8482" w:rsidR="00CE3BAD" w:rsidRPr="00782BF9" w:rsidRDefault="006B5475">
      <w:pPr>
        <w:pStyle w:val="P68B1DB1-Normal4"/>
        <w:spacing w:after="120" w:line="240" w:lineRule="auto"/>
        <w:jc w:val="both"/>
        <w:rPr>
          <w:rFonts w:cs="Times New Roman"/>
          <w:noProof/>
          <w:lang w:val="bg-BG"/>
        </w:rPr>
      </w:pPr>
      <w:r w:rsidRPr="00782BF9">
        <w:rPr>
          <w:noProof/>
          <w:lang w:val="bg-BG"/>
        </w:rPr>
        <w:t>Очаква се също така мерките в този компонент да подобрят качеството и прозрачността на процеса на вземане на решения, включително чрез по-систематично участие на социалните партньори и заинтересованите страни, и да улеснят достъпа до публична информация, както и да гарантират ефективен надзор върху начина, по който фондациите за управление на активи от обществен интерес използват подкрепата на ЕС. Компонентът включва и мерки за справяне с риска от агресивно данъчно планиране и за опростяване на данъчната система. И накрая, компонентът включва мерки, насочени към подобряване на качеството и устойчивостта на публичните финанси.</w:t>
      </w:r>
    </w:p>
    <w:p w14:paraId="39A19E40"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В няколко случая този компонент допринася и за цифровия преход на публичните институции, като подкрепя цифровизацията на публичната администрация и услуги. </w:t>
      </w:r>
    </w:p>
    <w:p w14:paraId="0840CEA0" w14:textId="03F08292"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Компонентът допринася за изпълнението на специфичните за всяка държава препоръки относно необходимостта от </w:t>
      </w:r>
      <w:r w:rsidRPr="00782BF9">
        <w:rPr>
          <w:i/>
          <w:noProof/>
          <w:lang w:val="bg-BG"/>
        </w:rPr>
        <w:t>„укрепване на рамката за борба с корупцията, включително чрез подобряване на усилията на прокуратурата и достъпа до публична информация „(</w:t>
      </w:r>
      <w:r w:rsidRPr="00782BF9">
        <w:rPr>
          <w:noProof/>
          <w:lang w:val="bg-BG"/>
        </w:rPr>
        <w:t xml:space="preserve"> специфична за държавата препоръка 4 от 2019 г., специфична за държавата препоръка 4 от 2022 г.), </w:t>
      </w:r>
      <w:r w:rsidRPr="00782BF9">
        <w:rPr>
          <w:i/>
          <w:noProof/>
          <w:lang w:val="bg-BG"/>
        </w:rPr>
        <w:t>„Подобряване на конкуренцията в областта на обществените поръчки„</w:t>
      </w:r>
      <w:r w:rsidRPr="00782BF9">
        <w:rPr>
          <w:noProof/>
          <w:lang w:val="bg-BG"/>
        </w:rPr>
        <w:t xml:space="preserve"> (специфична за държавата препоръка 4 от 2020 г., специфична за държавата препоръка 4 от 2022 г.), </w:t>
      </w:r>
      <w:r w:rsidRPr="00782BF9">
        <w:rPr>
          <w:i/>
          <w:noProof/>
          <w:lang w:val="bg-BG"/>
        </w:rPr>
        <w:t>„Засилване на независимостта на съдебната власт“</w:t>
      </w:r>
      <w:r w:rsidRPr="00782BF9">
        <w:rPr>
          <w:noProof/>
          <w:lang w:val="bg-BG"/>
        </w:rPr>
        <w:t xml:space="preserve"> (Специфична за държавата препоръка 4 от 2019 г., специфична за държавата препоръка 4 от 2022 г.), </w:t>
      </w:r>
      <w:r w:rsidRPr="00782BF9">
        <w:rPr>
          <w:i/>
          <w:noProof/>
          <w:lang w:val="bg-BG"/>
        </w:rPr>
        <w:t>„подобряване на качеството и прозрачността на процеса на вземане на решения чрез ефективен социален диалог, взаимодействие с други заинтересовани страни и редовни оценки на въздействието „(</w:t>
      </w:r>
      <w:r w:rsidRPr="00782BF9">
        <w:rPr>
          <w:noProof/>
          <w:lang w:val="bg-BG"/>
        </w:rPr>
        <w:t xml:space="preserve"> Специфична за държавата препоръка 4 от 2019 г., специфична за държавата препоръка 4 от 2022 г.), </w:t>
      </w:r>
      <w:r w:rsidRPr="00782BF9">
        <w:rPr>
          <w:i/>
          <w:noProof/>
          <w:lang w:val="bg-BG"/>
        </w:rPr>
        <w:t xml:space="preserve">„Продължаване на опростяването на данъчната система„ </w:t>
      </w:r>
      <w:r w:rsidRPr="00782BF9">
        <w:rPr>
          <w:noProof/>
          <w:lang w:val="bg-BG"/>
        </w:rPr>
        <w:t>(специфична за държавата препоръка 4 от 2019 г., специфична за държавата препоръка 4 от 2022 г.), „</w:t>
      </w:r>
      <w:r w:rsidRPr="00782BF9">
        <w:rPr>
          <w:i/>
          <w:noProof/>
          <w:lang w:val="bg-BG"/>
        </w:rPr>
        <w:t>Укрепване на данъчната система срещу риска от агресивно данъчно планиране</w:t>
      </w:r>
      <w:r w:rsidRPr="00782BF9">
        <w:rPr>
          <w:noProof/>
          <w:lang w:val="bg-BG"/>
        </w:rPr>
        <w:t>„(Специфична за държавата препоръка 4 от 2019 г., специфична за държавата препоръка 5 от 2020 г.) и „</w:t>
      </w:r>
      <w:r w:rsidRPr="00782BF9">
        <w:rPr>
          <w:i/>
          <w:noProof/>
          <w:lang w:val="bg-BG"/>
        </w:rPr>
        <w:t xml:space="preserve">Постигане на разумни средносрочни фискални позиции“ </w:t>
      </w:r>
      <w:r w:rsidRPr="00782BF9">
        <w:rPr>
          <w:noProof/>
          <w:lang w:val="bg-BG"/>
        </w:rPr>
        <w:t xml:space="preserve">(специфична за държавата препоръка 1 от 2022 г.). </w:t>
      </w:r>
    </w:p>
    <w:p w14:paraId="39438DA4" w14:textId="0BDF5BCF" w:rsidR="00CE3BAD" w:rsidRPr="00782BF9" w:rsidRDefault="006B5475">
      <w:pPr>
        <w:pStyle w:val="P68B1DB1-Normal4"/>
        <w:spacing w:after="120" w:line="240" w:lineRule="auto"/>
        <w:jc w:val="both"/>
        <w:rPr>
          <w:rFonts w:cs="Times New Roman"/>
          <w:noProof/>
          <w:lang w:val="bg-BG"/>
        </w:rPr>
      </w:pPr>
      <w:bookmarkStart w:id="4" w:name="_Hlk118757858"/>
      <w:r w:rsidRPr="00782BF9">
        <w:rPr>
          <w:noProof/>
          <w:lang w:val="bg-BG"/>
        </w:rPr>
        <w:t>Редица от тези мерки бяха предложени от Унгария и обсъдени с Европейската комисия в контекста на процедурата съгласно Регламента относно обвързаността с условия</w:t>
      </w:r>
      <w:r w:rsidRPr="00782BF9">
        <w:rPr>
          <w:noProof/>
          <w:lang w:val="bg-BG"/>
        </w:rPr>
        <w:footnoteReference w:id="8"/>
      </w:r>
      <w:r w:rsidRPr="00782BF9">
        <w:rPr>
          <w:noProof/>
          <w:lang w:val="bg-BG"/>
        </w:rPr>
        <w:t xml:space="preserve">. Съдържанието на съответните ключови етапи и цели е приведено в съответствие с ангажиментите, поети в този контекст, и някои от тези ключови етапи се изпълняват преди подаването на първото искане за плащане по Механизма за възстановяване и устойчивост. </w:t>
      </w:r>
    </w:p>
    <w:bookmarkEnd w:id="4"/>
    <w:p w14:paraId="5914AAFA" w14:textId="47DAF774" w:rsidR="00CE3BAD" w:rsidRPr="00782BF9" w:rsidRDefault="006B5475">
      <w:pPr>
        <w:spacing w:after="120" w:line="240" w:lineRule="auto"/>
        <w:jc w:val="both"/>
        <w:rPr>
          <w:rFonts w:ascii="Times New Roman" w:hAnsi="Times New Roman" w:cs="Times New Roman"/>
          <w:noProof/>
          <w:sz w:val="24"/>
          <w:lang w:val="bg-BG"/>
        </w:rPr>
      </w:pPr>
      <w:r w:rsidRPr="00782BF9">
        <w:rPr>
          <w:rFonts w:ascii="Times New Roman" w:hAnsi="Times New Roman"/>
          <w:noProof/>
          <w:sz w:val="24"/>
          <w:lang w:val="bg-BG"/>
        </w:rPr>
        <w:t>В съответствие с член 20, параграф 5, буква д) от Регламент (ЕС) 2021/241, за да се спази член 22 от посочения регламент, изпълнението на етапните цели в този компонент, които са свързани с унгарската система за контрол, насочена към защитата на финансовите интереси на Съюза, е предварително условие за всяко плащане по член 24 от</w:t>
      </w:r>
      <w:r w:rsidRPr="00782BF9">
        <w:rPr>
          <w:rStyle w:val="FootnoteReference"/>
          <w:rFonts w:ascii="Times New Roman" w:hAnsi="Times New Roman" w:cs="Times New Roman"/>
          <w:noProof/>
          <w:sz w:val="24"/>
          <w:lang w:val="bg-BG"/>
        </w:rPr>
        <w:footnoteReference w:id="9"/>
      </w:r>
      <w:r w:rsidRPr="00782BF9">
        <w:rPr>
          <w:rFonts w:ascii="Times New Roman" w:hAnsi="Times New Roman"/>
          <w:noProof/>
          <w:sz w:val="24"/>
          <w:lang w:val="bg-BG"/>
        </w:rPr>
        <w:t xml:space="preserve">Регламента за МВУ. </w:t>
      </w:r>
    </w:p>
    <w:p w14:paraId="0EC10024"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В съответствие с член 24, параграф 3 от Регламент (ЕС) 2021/241 всяка реформа от страна на Унгария се предприема, без да се отслабва този резултат и да се оказва отрицателно въздействие върху посочените по-долу елементи.</w:t>
      </w:r>
    </w:p>
    <w:p w14:paraId="1D2F18DB"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Очаква се, че нито една мярка в този компонент не нанася значителни вреди на екологичните цели по смисъла на член 17 от Регламент (ЕС) 2020/852, като се вземе предвид описанието на мерките и стъпките за смекчаване, определени в плана за възстановяване и устойчивост в съответствие с Техническите насоки съгласно принципа за ненанасяне на значителни вреди (2021/C58/01).</w:t>
      </w:r>
    </w:p>
    <w:p w14:paraId="32D950BE" w14:textId="53522597" w:rsidR="00CE3BAD" w:rsidRPr="00782BF9" w:rsidRDefault="00CE3BAD">
      <w:pPr>
        <w:spacing w:after="120" w:line="240" w:lineRule="auto"/>
        <w:jc w:val="both"/>
        <w:rPr>
          <w:rFonts w:eastAsia="Times New Roman" w:cs="Times New Roman"/>
          <w:noProof/>
          <w:lang w:val="bg-BG"/>
        </w:rPr>
      </w:pPr>
    </w:p>
    <w:p w14:paraId="55FB51ED" w14:textId="0B15797D" w:rsidR="00CE3BAD" w:rsidRPr="00782BF9" w:rsidRDefault="00594986">
      <w:pPr>
        <w:keepNext/>
        <w:spacing w:after="120" w:line="240" w:lineRule="auto"/>
        <w:jc w:val="both"/>
        <w:outlineLvl w:val="1"/>
        <w:rPr>
          <w:rFonts w:ascii="Times New Roman" w:eastAsia="Times New Roman" w:hAnsi="Times New Roman" w:cs="Times New Roman"/>
          <w:b/>
          <w:noProof/>
          <w:sz w:val="24"/>
          <w:lang w:val="bg-BG"/>
        </w:rPr>
      </w:pPr>
      <w:r w:rsidRPr="00782BF9">
        <w:rPr>
          <w:rFonts w:ascii="Times New Roman" w:hAnsi="Times New Roman"/>
          <w:b/>
          <w:noProof/>
          <w:sz w:val="24"/>
          <w:u w:val="single"/>
          <w:lang w:val="bg-BG"/>
        </w:rPr>
        <w:t xml:space="preserve">И.1. </w:t>
      </w:r>
      <w:r w:rsidRPr="00782BF9">
        <w:rPr>
          <w:noProof/>
          <w:lang w:val="bg-BG"/>
        </w:rPr>
        <w:tab/>
      </w:r>
      <w:r w:rsidRPr="00782BF9">
        <w:rPr>
          <w:rFonts w:ascii="Times New Roman" w:hAnsi="Times New Roman"/>
          <w:b/>
          <w:noProof/>
          <w:sz w:val="24"/>
          <w:u w:val="single"/>
          <w:lang w:val="bg-BG"/>
        </w:rPr>
        <w:t>Описание на реформите и инвестициите за безвъзмездна финансова подкрепа</w:t>
      </w:r>
    </w:p>
    <w:p w14:paraId="2582E730" w14:textId="67906758" w:rsidR="00CE3BAD" w:rsidRPr="00782BF9" w:rsidRDefault="006B5475">
      <w:pPr>
        <w:pStyle w:val="P68B1DB1-Normal2"/>
        <w:spacing w:after="120" w:line="240" w:lineRule="auto"/>
        <w:jc w:val="both"/>
        <w:rPr>
          <w:rFonts w:cs="Times New Roman"/>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във връзка с изпълнението на подкрепата от Съюза в Унгария</w:t>
      </w:r>
    </w:p>
    <w:p w14:paraId="29EBDA1B"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тази реформа е да се засили предотвратяването, разкриването и коригирането на измами, конфликти на интереси и корупция, както и на други нередности и нередности във връзка с изпълнението на подкрепата от Съюза в Унгария, със специален акцент върху обществените поръчки, чрез създаването на Орган по интегритета. </w:t>
      </w:r>
    </w:p>
    <w:p w14:paraId="581B0417"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Мисията на Органа по интегритета е да се намесва във всички случаи, в които според него компетентните национални органи не са предприели необходимите стъпки за предотвратяване, разкриване и коригиране на измами, конфликти на интереси, корупция и други незаконни или нередности, които са засегнали или има сериозна опасност да засегнат доброто финансово управление на бюджета на Съюза или защитата на финансовите интереси на Съюза.</w:t>
      </w:r>
    </w:p>
    <w:p w14:paraId="1F78CEBC"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Органът по интегритета се създава и започва дейността си преди подаването на първото искане за плащане съгласно плана за възстановяване и устойчивост. </w:t>
      </w:r>
    </w:p>
    <w:p w14:paraId="789FB6BE"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Гарантира се, че Органът по интегритета има пълна независимост, включително че Органът по интегритета и неговите служители не приемат, нито търсят указания от никое друго лице или институция. При подбора на нейния персонал, управление и бюджет се прилагат силни гаранции. </w:t>
      </w:r>
    </w:p>
    <w:p w14:paraId="22329CEC" w14:textId="093CEA5B" w:rsidR="00CE3BAD" w:rsidRPr="00782BF9" w:rsidRDefault="006B5475">
      <w:pPr>
        <w:pStyle w:val="P68B1DB1-Normal4"/>
        <w:spacing w:after="120" w:line="240" w:lineRule="auto"/>
        <w:jc w:val="both"/>
        <w:rPr>
          <w:rFonts w:cs="Times New Roman"/>
          <w:noProof/>
          <w:lang w:val="bg-BG"/>
        </w:rPr>
      </w:pPr>
      <w:r w:rsidRPr="00782BF9">
        <w:rPr>
          <w:noProof/>
          <w:lang w:val="bg-BG"/>
        </w:rPr>
        <w:t>Органът по интегритета има, наред с другото, правомощието да дава указания на възлагащите органи да спрат процедура за възлагане на обществена поръчка (за максимален срок от два месеца); да изисква от административните разследващи органи да провеждат разследвания от негово име; да препоръча изключването на конкретни икономически оператори от финансиране от Съюза за определен период от време; да инструктира съответните национални органи или служби да изпълняват своите надзорни или контролни функции, по-специално по отношение на процедурите за проверка на декларациите за конфликт на интереси и подозренията във връзка с управлението на средства на Съюза; да препоръча на възлагащите органи да използват конкретна процедура за възлагане на обществена поръчка; да инициира процедури пред съответните национални органи или структури с цел установяване на предполагаеми нередности или нередности; от 31 март 2023 г. — изключителната компетентност за проверка на декларациите за имущественото състояние на висши политически лидери, които нямат мандат като членове на Националното събрание (министър-председател, министри, политически директори на министър-председателя, държавни секретари), правомощието да проверяват пряко публично достъпните декларации за имущественото състояние на всички високорискови длъжностни лица, включително президента, членовете на парламента, ръководителите на централни изпълнителни органи, други политически служители, служителите в кабинетите на политически служители, регионалните управители, кметовете на големи градове, съдии, прокурори, членове на съдебните и прокурорските органи за управление, следователи за борба с корупцията и висши ръководители на държавни предприятия, а за декларации за имуществено състояние, които не са публични — най-малко правомощието да изискват от компетентните органи да извършат проверката на тези декларации и да получат резултата от тази проверка; да инициира процедури за проверка на декларациите за имущественото състояние по собствена инициатива, жалби и подозрения и да има пряк и неограничен достъп до съответните бази данни и регистри, които счита за необходими за проверка на достоверността на информацията, съдържаща се в декларациите за имущественото състояние; да изискват съдебен контрол на всички решения на органите относно процедури за възлагане на обществени поръчки, които включват подкрепа от Съюза и могат да подлежат на съдебен контрол; и да оспори в съда бездействието на съответния орган. Органът по интегритета разполага с недвусмислени и неограничени правомощия, за да продължи да упражнява правомощията си дори в случаите, когато засегнатите проекти или процедури, първоначално предвидени за подкрепа от Съюза, впоследствие са били оттеглени от подкрепата на Съюза.</w:t>
      </w:r>
    </w:p>
    <w:p w14:paraId="0ABAD3FE"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Органът по интегритета има достъп до цялата информация, бази данни и регистри, необходими за изпълнението на неговите задачи, свързани с обществените поръчки, случаите на предполагаема корупция, включително проверката на декларациите за имуществено състояние, измамите и конфликтите на интереси, свързани с подкрепа от Съюза. Гарантира се, че органите, засегнати от искане за информация или указание от Органа по интегритета, действат в разумен срок.</w:t>
      </w:r>
    </w:p>
    <w:p w14:paraId="3C636AF9"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Органът по интегритета извършва учение за оценка на риска във връзка с почтеността, за да оцени актуалното състояние на състоянието на почтеността в унгарската система за възлагане на обществени поръчки, за да установи рисковете, свързани с почтеността, системните рискове за почтеността и наличните инструменти за справяне с тях, в срок от четири месеца от създаването ѝ.</w:t>
      </w:r>
    </w:p>
    <w:p w14:paraId="4D0BB909" w14:textId="7E8A6496"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Органът по интегритета изготвя първия си годишен доклад за интегритета за 2022 г. до четвъртото тримесечие на 2 2023 г., а след това до второто тримесечие на 2 г. — всяка година след това. Докладите се оповестяват публично. Правителството разглежда всеки доклад на Органа по интегритета и предоставя писмено обяснение за начина, по който възнамерява да предприеме действия по всяка от констатациите в тези доклади в срок от три месеца от публикуването им. </w:t>
      </w:r>
    </w:p>
    <w:p w14:paraId="55C65B4B" w14:textId="77777777" w:rsidR="00CE3BAD" w:rsidRPr="00782BF9" w:rsidRDefault="006B5475">
      <w:pPr>
        <w:pStyle w:val="Text1"/>
        <w:spacing w:before="0" w:after="120" w:line="240" w:lineRule="auto"/>
        <w:rPr>
          <w:noProof/>
          <w:lang w:val="bg-BG"/>
        </w:rPr>
      </w:pPr>
      <w:r w:rsidRPr="00782BF9">
        <w:rPr>
          <w:noProof/>
          <w:lang w:val="bg-BG"/>
        </w:rPr>
        <w:t>Изпълнението на реформата ще приключи до четвъртото тримесечие на 4 2023 г.</w:t>
      </w:r>
    </w:p>
    <w:p w14:paraId="35A941F6" w14:textId="77777777" w:rsidR="00CE3BAD" w:rsidRPr="00782BF9" w:rsidRDefault="00CE3BAD">
      <w:pPr>
        <w:spacing w:after="120" w:line="240" w:lineRule="auto"/>
        <w:jc w:val="both"/>
        <w:rPr>
          <w:rFonts w:cs="Times New Roman"/>
          <w:noProof/>
          <w:lang w:val="bg-BG"/>
        </w:rPr>
      </w:pPr>
    </w:p>
    <w:p w14:paraId="39543B8E" w14:textId="5BD1F8F2" w:rsidR="00CE3BAD" w:rsidRPr="00782BF9" w:rsidRDefault="006B5475">
      <w:pPr>
        <w:pStyle w:val="P68B1DB1-Normal2"/>
        <w:keepNext/>
        <w:spacing w:after="120" w:line="240" w:lineRule="auto"/>
        <w:jc w:val="both"/>
        <w:rPr>
          <w:rFonts w:cs="Times New Roman"/>
          <w:noProof/>
          <w:lang w:val="bg-BG"/>
        </w:rPr>
      </w:pPr>
      <w:r w:rsidRPr="00782BF9">
        <w:rPr>
          <w:noProof/>
          <w:lang w:val="bg-BG"/>
        </w:rPr>
        <w:t>C9.R2: Създаване на работна група за борба с корупцията, която да наблюдава и преразглежда мерките, предприети в Унгария за предотвратяване, разкриване, наказателно преследване и санкциониране на корупцията</w:t>
      </w:r>
    </w:p>
    <w:p w14:paraId="6F7D9179"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тази реформа е да се създаде работна група за борба с корупцията, която да наблюдава и преразглежда мерките, предприети в Унгария за предотвратяване, разкриване, наказателно преследване и санкциониране на корупцията. </w:t>
      </w:r>
    </w:p>
    <w:p w14:paraId="3F42B576"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Работната група за борба с корупцията разглежда съществуващите мерки за борба с корупцията и изготвя предложения за подобряване на разкриването, разследването, наказателното преследване и санкционирането на корупционни практики и други практики, като например непотизъм, фаворизиране или „кадрова въртележка“ между публичния и частния сектор. Тя също така представя по-специално предложения за мерки за подобряване на предотвратяването и разкриването на корупция, както и за подобряване на потока от информация между административните и контролните органи на държавата и органите за наказателно разследване.</w:t>
      </w:r>
    </w:p>
    <w:p w14:paraId="7D3835EC" w14:textId="77777777" w:rsidR="00CE3BAD" w:rsidRPr="00782BF9" w:rsidRDefault="006B5475">
      <w:pPr>
        <w:pStyle w:val="P68B1DB1-Normal4"/>
        <w:spacing w:after="120" w:line="240" w:lineRule="auto"/>
        <w:jc w:val="both"/>
        <w:rPr>
          <w:rFonts w:eastAsiaTheme="minorEastAsia" w:cs="Times New Roman"/>
          <w:noProof/>
          <w:lang w:val="bg-BG"/>
        </w:rPr>
      </w:pPr>
      <w:r w:rsidRPr="00782BF9">
        <w:rPr>
          <w:noProof/>
          <w:lang w:val="bg-BG"/>
        </w:rPr>
        <w:t xml:space="preserve">Най-малко половината от членовете на работната група за борба с корупцията са независими неправителствени организации, работещи в областта на борбата с корупцията, с доказан експертен опит и достатъчно продължителна проверима дейност, подбрани въз основа на открит, прозрачен, недискриминационен процес на подбор и обективни критерии, свързани с експертния опит и качествата на кандидатите. </w:t>
      </w:r>
    </w:p>
    <w:p w14:paraId="70799891" w14:textId="5CAF22D0"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Председателят на Органа по интегритета, създаден съгласно реформа C9.R1, изпълнява функциите на председател на Работната група за борба с корупцията, но двете образувания работят отделно и независимо едно от друго.</w:t>
      </w:r>
    </w:p>
    <w:p w14:paraId="03DEDA02" w14:textId="77777777" w:rsidR="00CE3BAD" w:rsidRPr="00782BF9" w:rsidRDefault="006B5475">
      <w:pPr>
        <w:pStyle w:val="P68B1DB1-Normal4"/>
        <w:spacing w:after="120" w:line="240" w:lineRule="auto"/>
        <w:jc w:val="both"/>
        <w:rPr>
          <w:rFonts w:eastAsiaTheme="minorEastAsia" w:cs="Times New Roman"/>
          <w:noProof/>
          <w:lang w:val="bg-BG"/>
        </w:rPr>
      </w:pPr>
      <w:r w:rsidRPr="00782BF9">
        <w:rPr>
          <w:noProof/>
          <w:lang w:val="bg-BG"/>
        </w:rPr>
        <w:t xml:space="preserve">Работната група за борба с корупцията заседава най-малко два пъти годишно и взема решенията си с обикновено мнозинство от подадените гласове. Протоколите от нейните заседания се оповестяват публично на уебсайта на Работната група за борба с корупцията заедно с писмените становища и забележките, изпратени от нейните членове преди или след заседанията, за които е поискано да бъдат приложени към протокола от заседанието. Работната група за борба с корупцията приема свой процедурен правилник по предложение на своя председател на първото си заседание. </w:t>
      </w:r>
    </w:p>
    <w:p w14:paraId="175E1E6D"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Работната група за борба с корупцията публикува първия си доклад за 2022 г. до второто тримесечие на 1 2023 г., а годишните доклади — до второто тримесечие на 1 г. всяка година след това. Неправителствените членове на работната група за борба с корупцията имат възможност да изготвят доклади в сянка, в които излагат своите позиции. Тези доклади също така се оповестяват публично заедно с доклада на работната група за борба с корупцията.</w:t>
      </w:r>
    </w:p>
    <w:p w14:paraId="10C1E8B5" w14:textId="77777777" w:rsidR="00CE3BAD" w:rsidRPr="00782BF9" w:rsidRDefault="006B5475">
      <w:pPr>
        <w:pStyle w:val="P68B1DB1-Normal4"/>
        <w:spacing w:after="120" w:line="240" w:lineRule="auto"/>
        <w:jc w:val="both"/>
        <w:rPr>
          <w:rFonts w:eastAsiaTheme="minorEastAsia" w:cs="Times New Roman"/>
          <w:noProof/>
          <w:lang w:val="bg-BG"/>
        </w:rPr>
      </w:pPr>
      <w:r w:rsidRPr="00782BF9">
        <w:rPr>
          <w:noProof/>
          <w:lang w:val="bg-BG"/>
        </w:rPr>
        <w:t>Правителството разглежда докладите на Работната група за борба с корупцията в срок от два месеца от издаването им и предоставя своите коментари — включително подробна обосновка по отношение на всяко предложение на работната група за борба с корупцията, която е решило да не прилага — на работната група за борба с корупцията.</w:t>
      </w:r>
    </w:p>
    <w:p w14:paraId="7A092890"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Работната група за борба с корупцията провежда първото си заседание преди подаването на първото искане за плащане съгласно плана за възстановяване и устойчивост.</w:t>
      </w:r>
    </w:p>
    <w:p w14:paraId="4C662116" w14:textId="77777777" w:rsidR="00CE3BAD" w:rsidRPr="00782BF9" w:rsidRDefault="006B5475">
      <w:pPr>
        <w:pStyle w:val="Text1"/>
        <w:spacing w:before="0" w:after="120" w:line="240" w:lineRule="auto"/>
        <w:rPr>
          <w:noProof/>
          <w:lang w:val="bg-BG"/>
        </w:rPr>
      </w:pPr>
      <w:r w:rsidRPr="00782BF9">
        <w:rPr>
          <w:noProof/>
          <w:lang w:val="bg-BG"/>
        </w:rPr>
        <w:t>Изпълнението на реформата ще приключи до четвъртото тримесечие на 2 2023 г.</w:t>
      </w:r>
    </w:p>
    <w:p w14:paraId="05101DBD" w14:textId="77777777" w:rsidR="00CE3BAD" w:rsidRPr="00782BF9" w:rsidRDefault="00CE3BAD">
      <w:pPr>
        <w:spacing w:after="120" w:line="240" w:lineRule="auto"/>
        <w:jc w:val="both"/>
        <w:rPr>
          <w:rFonts w:ascii="Times New Roman" w:hAnsi="Times New Roman" w:cs="Times New Roman"/>
          <w:noProof/>
          <w:sz w:val="24"/>
          <w:lang w:val="bg-BG"/>
        </w:rPr>
      </w:pPr>
    </w:p>
    <w:p w14:paraId="6EE67BB1" w14:textId="5BBB0726" w:rsidR="00CE3BAD" w:rsidRPr="00782BF9" w:rsidRDefault="006B5475">
      <w:pPr>
        <w:pStyle w:val="P68B1DB1-Normal2"/>
        <w:spacing w:after="120" w:line="240" w:lineRule="auto"/>
        <w:jc w:val="both"/>
        <w:rPr>
          <w:rFonts w:cs="Times New Roman"/>
          <w:noProof/>
          <w:lang w:val="bg-BG"/>
        </w:rPr>
      </w:pPr>
      <w:r w:rsidRPr="00782BF9">
        <w:rPr>
          <w:noProof/>
          <w:lang w:val="bg-BG"/>
        </w:rPr>
        <w:t xml:space="preserve">C9.R3: Въвеждане на специална процедура в случай на специални престъпления, свързани с упражняването на публична власт или управлението на публична собственост („съдебен контрол“) </w:t>
      </w:r>
    </w:p>
    <w:p w14:paraId="01420F76" w14:textId="1E41DB36" w:rsidR="00CE3BAD" w:rsidRPr="00782BF9" w:rsidRDefault="006B5475">
      <w:pPr>
        <w:pStyle w:val="P68B1DB1-Normal4"/>
        <w:spacing w:after="120" w:line="240" w:lineRule="auto"/>
        <w:jc w:val="both"/>
        <w:rPr>
          <w:rFonts w:cs="Times New Roman"/>
          <w:noProof/>
          <w:lang w:val="bg-BG"/>
        </w:rPr>
      </w:pPr>
      <w:r w:rsidRPr="00782BF9">
        <w:rPr>
          <w:noProof/>
          <w:lang w:val="bg-BG"/>
        </w:rPr>
        <w:t>С цел да се подобрят усилията на прокуратурата и да се гарантира предприемането на решителни действия за наказателно преследване на корупция и подобни престъпления, с тази реформа се установява специална процедура, която гарантира ефективен съдебен контрол върху решенията на разследващите органи или прокуратурата за отхвърляне на сигнал за престъпление или за прекратяване на производство. Процедурата може да бъде задействана от всяко физическо или юридическо лице, което има възможност да подаде искане за преразглеждане на такива решения и за повтарящо се искане за продължаване на съответното разследване или производство. Органът по интегритета (вж. реформа C9.R1) също има възможност да внесе предложение за преразглеждане и повтарящо се предложение за преразглеждане. След повторно искане за преразглеждане физическите и юридическите лица могат да подадат искане за наказателно преследване, при условие че са налице разумни основания за повдигане на обвинение. Лицето, което подава повторно искане за преразглеждане, изпълнява функциите на прокурор. В такива случаи не се предвижда предварително разглеждане на основанието за искане за наказателно преследване от съда, разглеждащ делото по същество. Процедурата се прилага от 1 януари 2023 г., включително и за престъпления без изтекла давност, извършени преди тази дата.</w:t>
      </w:r>
    </w:p>
    <w:p w14:paraId="1B242B9D" w14:textId="67F3ABF6"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приключва преди подаването на първото искане за плащане съгласно плана за възстановяване и устойчивост. До четвъртото тримесечие на 4 2023 г. ще бъде извършен цялостен преглед на реформата.</w:t>
      </w:r>
    </w:p>
    <w:p w14:paraId="112F2F91" w14:textId="77777777" w:rsidR="00CE3BAD" w:rsidRPr="00782BF9" w:rsidRDefault="00CE3BAD">
      <w:pPr>
        <w:spacing w:after="120" w:line="240" w:lineRule="auto"/>
        <w:jc w:val="both"/>
        <w:rPr>
          <w:rFonts w:ascii="Times New Roman" w:hAnsi="Times New Roman" w:cs="Times New Roman"/>
          <w:noProof/>
          <w:sz w:val="24"/>
          <w:lang w:val="bg-BG"/>
        </w:rPr>
      </w:pPr>
    </w:p>
    <w:p w14:paraId="5658D52E" w14:textId="63856947" w:rsidR="00CE3BAD" w:rsidRPr="00782BF9" w:rsidRDefault="006B5475">
      <w:pPr>
        <w:pStyle w:val="P68B1DB1-Normal2"/>
        <w:spacing w:after="120" w:line="240" w:lineRule="auto"/>
        <w:jc w:val="both"/>
        <w:rPr>
          <w:rFonts w:cs="Times New Roman"/>
          <w:noProof/>
          <w:lang w:val="bg-BG"/>
        </w:rPr>
      </w:pPr>
      <w:r w:rsidRPr="00782BF9">
        <w:rPr>
          <w:noProof/>
          <w:lang w:val="bg-BG"/>
        </w:rPr>
        <w:t>C9.R4: Укрепване на правилата, свързани с декларациите за имуществено състояние</w:t>
      </w:r>
    </w:p>
    <w:p w14:paraId="28F73A00"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тази реформа е да се укрепи уредбата за борба с корупцията чрез въвеждане на по-строги правила, свързани с декларациите за имущественото състояние, чрез разширяване на техния персонален и материален обхват, осигуряване на често оповестяване на такива декларации и гарантиране на тяхната прозрачност чрез предоставянето им на обществеността и чрез въвеждането на ефективни санкции за нарушаване на съответните правила и задължения.</w:t>
      </w:r>
    </w:p>
    <w:p w14:paraId="2F78E83E" w14:textId="12E7DA5E"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Реформата се състои от свързани законодателни промени, които влизат в сила и започват да се </w:t>
      </w:r>
      <w:bookmarkStart w:id="5" w:name="_Hlk118461155"/>
      <w:r w:rsidRPr="00782BF9">
        <w:rPr>
          <w:noProof/>
          <w:lang w:val="bg-BG"/>
        </w:rPr>
        <w:t xml:space="preserve">прилагат </w:t>
      </w:r>
      <w:bookmarkEnd w:id="5"/>
      <w:r w:rsidRPr="00782BF9">
        <w:rPr>
          <w:noProof/>
          <w:lang w:val="bg-BG"/>
        </w:rPr>
        <w:t xml:space="preserve">преди подаването на първото искане за плащане съгласно плана за възстановяване и устойчивост. По-специално те гарантират, че лицата, на които са възложени висши политически функции, и техните роднини, живеещи в едно и също домакинство, както и членовете на Народното събрание и техните роднини, живеещи в едно и също домакинство, подават за първи път декларации за имущественото състояние съгласно новите правила за деклариране на имущественото състояние до 31 януари 2023 г., свързани с държавата, до 31 декември 2022 г. и са задължени да декларират своите активи (по-специално своите приходи, недвижими имоти, други ценни имоти, спестовни депозити и пари в брой, активи в акции, ценни книжа и частни капиталови фондове, животозастрахователни полици, тръстове и действителна собственост на предприятия). </w:t>
      </w:r>
    </w:p>
    <w:p w14:paraId="4C726EFC"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Освен това до Q1 2023 се създава нова система, при която декларациите за имущественото състояние се подават по електронен път и декларациите за имущественото състояние на лицата, натоварени с висши политически функции, са достъпни безплатно за обществеността. </w:t>
      </w:r>
    </w:p>
    <w:p w14:paraId="5D1898EE"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И накрая, от четвъртото тримесечие на 3 2023 г. ще бъде въведен и ще започне да се прилага ефективен, пропорционален и достатъчно възпиращ режим на санкции (включително наказателни и административни санкции) за тежки нарушения, свързани със задълженията на лицата, спрямо които се прилагат правилата за деклариране на имущественото състояние.</w:t>
      </w:r>
    </w:p>
    <w:p w14:paraId="13AFC512" w14:textId="77777777" w:rsidR="00CE3BAD" w:rsidRPr="00782BF9" w:rsidRDefault="006B5475">
      <w:pPr>
        <w:pStyle w:val="Text1"/>
        <w:spacing w:before="0" w:after="120" w:line="240" w:lineRule="auto"/>
        <w:rPr>
          <w:noProof/>
          <w:lang w:val="bg-BG"/>
        </w:rPr>
      </w:pPr>
      <w:r w:rsidRPr="00782BF9">
        <w:rPr>
          <w:noProof/>
          <w:lang w:val="bg-BG"/>
        </w:rPr>
        <w:t>Изпълнението на реформата ще приключи до четвъртото тримесечие на 3 2023 г.</w:t>
      </w:r>
    </w:p>
    <w:p w14:paraId="5927F883" w14:textId="77777777" w:rsidR="00CE3BAD" w:rsidRPr="00782BF9" w:rsidRDefault="00CE3BAD">
      <w:pPr>
        <w:spacing w:after="120" w:line="240" w:lineRule="auto"/>
        <w:jc w:val="both"/>
        <w:rPr>
          <w:rFonts w:ascii="Times New Roman" w:hAnsi="Times New Roman" w:cs="Times New Roman"/>
          <w:noProof/>
          <w:sz w:val="24"/>
          <w:lang w:val="bg-BG"/>
        </w:rPr>
      </w:pPr>
    </w:p>
    <w:p w14:paraId="5C93181F" w14:textId="0F8CF796"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C9.R5: Гарантиране на прозрачност при използването на публични ресурси от фондации за управление на активи от обществен интерес</w:t>
      </w:r>
    </w:p>
    <w:p w14:paraId="121138FA"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Целта на тази реформа е да се гарантира ефективен надзор върху начина, по който фондациите за управление на активи от обществен интерес използват подкрепата на Съюза.</w:t>
      </w:r>
    </w:p>
    <w:p w14:paraId="39C38EE2"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За тази цел, за да се изяснят приложимите правни разпоредби, свързани с достъпа до публична информация, правилата за възлагане на обществени поръчки и задачите и отговорностите на фондациите за управление на активи от обществен интерес, когато те участват в изпълнението на подкрепата от Съюза в каквото и да е качество, влизат в сила специални законодателни изменения с цел:</w:t>
      </w:r>
    </w:p>
    <w:p w14:paraId="1E4D598F" w14:textId="77777777" w:rsidR="00CE3BAD" w:rsidRPr="00782BF9" w:rsidRDefault="006B5475">
      <w:pPr>
        <w:pStyle w:val="ListParagraph"/>
        <w:numPr>
          <w:ilvl w:val="0"/>
          <w:numId w:val="18"/>
        </w:numPr>
        <w:spacing w:after="120" w:line="240" w:lineRule="auto"/>
        <w:jc w:val="both"/>
        <w:rPr>
          <w:rFonts w:eastAsia="Calibri" w:cs="Times New Roman"/>
          <w:noProof/>
          <w:lang w:val="bg-BG"/>
        </w:rPr>
      </w:pPr>
      <w:r w:rsidRPr="00782BF9">
        <w:rPr>
          <w:noProof/>
          <w:lang w:val="bg-BG"/>
        </w:rPr>
        <w:t xml:space="preserve">изрично да определят фондации за управление на активи от обществен интерес, извършващи дейност в обществен интерес, и юридическите лица, установени или поддържани от тях, като „възлагащи органи“ съгласно правилата за възлагане на обществени поръчки; </w:t>
      </w:r>
    </w:p>
    <w:p w14:paraId="1871742E" w14:textId="77777777" w:rsidR="00CE3BAD" w:rsidRPr="00782BF9" w:rsidRDefault="006B5475">
      <w:pPr>
        <w:pStyle w:val="ListParagraph"/>
        <w:numPr>
          <w:ilvl w:val="0"/>
          <w:numId w:val="18"/>
        </w:numPr>
        <w:spacing w:after="120" w:line="240" w:lineRule="auto"/>
        <w:jc w:val="both"/>
        <w:rPr>
          <w:rFonts w:eastAsia="Calibri" w:cs="Times New Roman"/>
          <w:noProof/>
          <w:lang w:val="bg-BG"/>
        </w:rPr>
      </w:pPr>
      <w:r w:rsidRPr="00782BF9">
        <w:rPr>
          <w:noProof/>
          <w:lang w:val="bg-BG"/>
        </w:rPr>
        <w:t xml:space="preserve">гарантират, че фондациите за управление на активи от обществен интерес, извършващи дейност в обществен интерес, и юридическите лица, установени или поддържани от тях, както и техният персонал, участващи в изпълнението на подкрепата от Съюза в каквото и да е качество, подлежат на същите изисквания като приложимите за публичните субекти по отношение на достъпа до публична информация и одит и контрол; </w:t>
      </w:r>
    </w:p>
    <w:p w14:paraId="5382C926" w14:textId="77777777" w:rsidR="00CE3BAD" w:rsidRPr="00782BF9" w:rsidRDefault="006B5475">
      <w:pPr>
        <w:pStyle w:val="ListParagraph"/>
        <w:numPr>
          <w:ilvl w:val="0"/>
          <w:numId w:val="18"/>
        </w:numPr>
        <w:spacing w:after="120" w:line="240" w:lineRule="auto"/>
        <w:jc w:val="both"/>
        <w:rPr>
          <w:rFonts w:eastAsia="Calibri" w:cs="Times New Roman"/>
          <w:noProof/>
          <w:lang w:val="bg-BG"/>
        </w:rPr>
      </w:pPr>
      <w:r w:rsidRPr="00782BF9">
        <w:rPr>
          <w:noProof/>
          <w:lang w:val="bg-BG"/>
        </w:rPr>
        <w:t>и да гарантира пълното прилагане на правилата, свързани с конфликта на интереси, за всички лица, които заемат длъжност или са наети от фондации за управление на активи от обществен интерес, извършващи дейност в обществен интерес, и за юридическите лица, учредени или поддържани от тях.</w:t>
      </w:r>
    </w:p>
    <w:p w14:paraId="5B6B98BC"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Реформата се изпълнява преди подаването на първото искане за плащане съгласно плана за възстановяване и устойчивост.</w:t>
      </w:r>
    </w:p>
    <w:p w14:paraId="46DAC455" w14:textId="396764AD" w:rsidR="00CE3BAD" w:rsidRPr="00782BF9" w:rsidRDefault="00CE3BAD">
      <w:pPr>
        <w:spacing w:after="120" w:line="240" w:lineRule="auto"/>
        <w:jc w:val="both"/>
        <w:rPr>
          <w:rFonts w:ascii="Times New Roman" w:hAnsi="Times New Roman" w:cs="Times New Roman"/>
          <w:noProof/>
          <w:sz w:val="24"/>
          <w:lang w:val="bg-BG"/>
        </w:rPr>
      </w:pPr>
    </w:p>
    <w:p w14:paraId="00B9D91E" w14:textId="529F24C8" w:rsidR="00CE3BAD" w:rsidRPr="00782BF9" w:rsidRDefault="006B5475">
      <w:pPr>
        <w:pStyle w:val="P68B1DB1-Normal2"/>
        <w:keepNext/>
        <w:spacing w:after="120" w:line="240" w:lineRule="auto"/>
        <w:jc w:val="both"/>
        <w:rPr>
          <w:rFonts w:eastAsia="Times New Roman" w:cs="Times New Roman"/>
          <w:noProof/>
          <w:lang w:val="bg-BG"/>
        </w:rPr>
      </w:pPr>
      <w:r w:rsidRPr="00782BF9">
        <w:rPr>
          <w:noProof/>
          <w:lang w:val="bg-BG"/>
        </w:rPr>
        <w:t>C9.R6: Повишаване на прозрачността на публичните разходи</w:t>
      </w:r>
    </w:p>
    <w:p w14:paraId="74CB1648" w14:textId="45D64D78"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тази реформа е да се повиши прозрачността на публичните разходи чрез премахване на пречките пред достъпа до публична информация, като се въведе задължение за всички публични органи проактивно да оповестяват широк набор от предварително определена информация относно използването на публични средства в централен регистър с публичен достъп.  </w:t>
      </w:r>
    </w:p>
    <w:p w14:paraId="2E22C5D0" w14:textId="70D3CD74"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Задължението на всички публични органи да публикуват такива данни в централния регистър и обхватът на информацията, която трябва да се оповестява проактивно, се определят в законодателен акт, който влиза в сила преди подаването на първото искане за плащане съгласно плана за възстановяване и устойчивост. Законодателният акт установява също така ясни процедури и правила за публикуването на такива данни, включително крайния срок и формата на публикуване. </w:t>
      </w:r>
    </w:p>
    <w:p w14:paraId="070B931C"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Информацията относно доказателството за изпълнение и фактурите продължава да се предоставя при искания за достъп до документи. Централният регистър включва уникални идентификатори на договорите в електронната система за обществени поръчки (EPS). Предоставя се и информация, указваща дали публичните средства включват (изцяло или частично) подкрепа от Съюза над националния праг за възлагане на обществени поръчки. За процедури за възлагане на обществени поръчки, започнали след 31 март 2023 г., тази информация се включва и за процедури, включващи подкрепа от Съюза, която не надвишава националните прагове за възлагане на обществени поръчки. Наборите от данни, публикувани в централния регистър, са в отворен, оперативно съвместим и машинночетим формат, който позволява масовото изтегляне и сортирането, търсенето, извличането, сравняването и повторното използване на данните. Достъпът до данните се предоставя безплатно и без необходимост от регистрация.</w:t>
      </w:r>
    </w:p>
    <w:p w14:paraId="621744C7"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Публичните органи са длъжни да актуализират данните в централния регистър най-малко на всеки два месеца. Правителството упражнява надзор върху спазването и изпълнението на задълженията, произтичащи от горепосочения законодателен акт относно публичните органи, и гарантира, че публичните органи изпълняват задължението си да качват всички съответни данни изцяло и своевременно.</w:t>
      </w:r>
    </w:p>
    <w:p w14:paraId="31B67B8F"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Централният регистър трябва да е напълно оперативен, а пълният набор от данни трябва да бъде качен в него до Q1 2023.</w:t>
      </w:r>
    </w:p>
    <w:p w14:paraId="40AEDAB1"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1 2023 г.</w:t>
      </w:r>
    </w:p>
    <w:p w14:paraId="0F08858E"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7EC25EC1" w14:textId="63D914BE"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C9.R7: Разработване и прилагане на национална стратегия и план за действие за борба с корупцията</w:t>
      </w:r>
    </w:p>
    <w:p w14:paraId="01BA13BE"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реформата е да се укрепи рамката за борба с корупцията чрез осигуряване на изпълнението на настоящата национална стратегия и план за действие за борба с корупцията и чрез разработване на нова национална стратегия и план за действие за борба с корупцията, насочени към подобряване на механизмите за ефективно гарантиране на предотвратяването, разкриването и коригирането на измами и корупция (включително в системата за възлагане на обществени поръчки), и да се укрепи системата за преодоляване на рисковете от конфликти на интереси. </w:t>
      </w:r>
    </w:p>
    <w:p w14:paraId="5A941CCA" w14:textId="75BCDB6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Новата национална стратегия и план за действие за борба с корупцията се изготвят с ефективното участие на работната група за борба с корупцията (вж. реформа C9.R2) въз основа на политически съвети от ОИСР, след обширни консултации със заинтересованите страни на национално и международно равнище, включително Комисията и GRECO, и в диалог със заинтересованите страни, включващ техните препоръки. Той обръща особено внимание на укрепването на институционалната и нормативната рамка за борба с корупцията по високите етажи на властта чрез повишаване на прозрачността на работата на публичните органи (включително на високо политическо равнище). Въз основа на и в съответствие със стратегията за борба с измамите и корупцията, посочена в реформа C9.R20 (която се очаква да бъде ограничена до подкрепа от Съюза), националната стратегия и план за действие за борба с корупцията гарантират съгласувано прилагане на мерките за борба с измамите и корупцията както за финансовата подкрепа на национално равнище, така и на равнището на Съюза.</w:t>
      </w:r>
    </w:p>
    <w:p w14:paraId="7F215722"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Планът за действие включва специални действия за засилване на репресиите срещу корупцията; засилване на административния контрол, свързан с декларациите за имущественото състояние; разработване на ефективни вътрешни механизми за насърчаване и повишаване на осведомеността по въпросите на почтеността в правителството; да направи преглед на прилагането на Кодекса за професионална етика от унгарския държавен официален корпус, както и на практиките на местните правителства за идентифициране и насърчаване на най-добри практики по отношение на контактите с лобисти и предотвратяването на конфликти на интереси; и да приеме, направи обществено достояние и да започне да прилага кодекс за поведение за лицата с висши изпълнителни функции (съгласно определението на GRECO), включително контакт с лобисти, ограничения след приключване на трудовите правоотношения и заетост на роднините и насърчаване на заетостта.</w:t>
      </w:r>
    </w:p>
    <w:p w14:paraId="3D18BDD2" w14:textId="624029A3"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Националната стратегия и план за действие за борба с корупцията (обхващащи периода между 1 юли 2023 г. и 31 декември 2025 г.) се приемат, а изпълнението на плана за действие започва до четвъртото тримесечие на 2 2023 г. Националната стратегия и план за действие за борба с корупцията се преразглеждат редовно, като се вземат предвид съдържанието на докладите и работата, извършена от работната група за борба с корупцията (вж. реформа C9.R2) и Органа по интегритета (вж. реформа C9.R1).</w:t>
      </w:r>
    </w:p>
    <w:p w14:paraId="7936EE89"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До четвъртото тримесечие на 1 2026 г. правителството приема и оповестява публично доклад за оценка на изпълнението на новата национална стратегия за борба с корупцията и действията по плана за действие.</w:t>
      </w:r>
    </w:p>
    <w:p w14:paraId="4B6A0863"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1 2026 г.</w:t>
      </w:r>
    </w:p>
    <w:p w14:paraId="4E8E17B0" w14:textId="3CD5CDD5" w:rsidR="00CE3BAD" w:rsidRPr="00782BF9" w:rsidRDefault="00CE3BAD">
      <w:pPr>
        <w:spacing w:after="120" w:line="240" w:lineRule="auto"/>
        <w:jc w:val="both"/>
        <w:rPr>
          <w:rFonts w:ascii="Times New Roman" w:hAnsi="Times New Roman" w:cs="Times New Roman"/>
          <w:noProof/>
          <w:sz w:val="24"/>
          <w:lang w:val="bg-BG"/>
        </w:rPr>
      </w:pPr>
    </w:p>
    <w:p w14:paraId="3EA75284" w14:textId="573D5361" w:rsidR="00CE3BAD" w:rsidRPr="00782BF9" w:rsidRDefault="006B5475">
      <w:pPr>
        <w:pStyle w:val="P68B1DB1-Normal2"/>
        <w:spacing w:after="120" w:line="240" w:lineRule="auto"/>
        <w:jc w:val="both"/>
        <w:rPr>
          <w:rFonts w:cs="Times New Roman"/>
          <w:noProof/>
          <w:lang w:val="bg-BG"/>
        </w:rPr>
      </w:pPr>
      <w:r w:rsidRPr="00782BF9">
        <w:rPr>
          <w:noProof/>
          <w:lang w:val="bg-BG"/>
        </w:rPr>
        <w:t>C9.R8: Модернизиране на системите за сътрудничество на прокуратурата с цел борба с корупционните практики</w:t>
      </w:r>
    </w:p>
    <w:p w14:paraId="3415620D"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тази реформа е да се повиши ефективността на публичната администрация и по този начин да се допринесе за укрепване на рамката за борба с корупцията чрез въвеждане на:</w:t>
      </w:r>
    </w:p>
    <w:p w14:paraId="335F6D3B" w14:textId="77777777" w:rsidR="00CE3BAD" w:rsidRPr="00782BF9" w:rsidRDefault="006B5475">
      <w:pPr>
        <w:pStyle w:val="ListParagraph"/>
        <w:numPr>
          <w:ilvl w:val="0"/>
          <w:numId w:val="18"/>
        </w:numPr>
        <w:spacing w:after="120" w:line="240" w:lineRule="auto"/>
        <w:jc w:val="both"/>
        <w:rPr>
          <w:rFonts w:cs="Times New Roman"/>
          <w:noProof/>
          <w:lang w:val="bg-BG"/>
        </w:rPr>
      </w:pPr>
      <w:r w:rsidRPr="00782BF9">
        <w:rPr>
          <w:noProof/>
          <w:lang w:val="bg-BG"/>
        </w:rPr>
        <w:t>до второто тримесечие на 2 2024 г. — нова информационна система за обработка на чувствителни документи, като по този начин се подпомага и улеснява административната работа и обменът на информация на най-малко седем организационни звена, участващи в прокурорски разследвания; и че</w:t>
      </w:r>
    </w:p>
    <w:p w14:paraId="6EEE4879" w14:textId="77777777" w:rsidR="00CE3BAD" w:rsidRPr="00782BF9" w:rsidRDefault="006B5475">
      <w:pPr>
        <w:pStyle w:val="ListParagraph"/>
        <w:numPr>
          <w:ilvl w:val="0"/>
          <w:numId w:val="18"/>
        </w:numPr>
        <w:spacing w:after="120" w:line="240" w:lineRule="auto"/>
        <w:jc w:val="both"/>
        <w:rPr>
          <w:rFonts w:cs="Times New Roman"/>
          <w:noProof/>
          <w:lang w:val="bg-BG"/>
        </w:rPr>
      </w:pPr>
      <w:r w:rsidRPr="00782BF9">
        <w:rPr>
          <w:noProof/>
          <w:lang w:val="bg-BG"/>
        </w:rPr>
        <w:t>до второто тримесечие на 4 2025 г. — нова информационна система за управление на преписките по делата, като по този начин се подпомага и улеснява разследващата работа на седем организационни звена, участващи в прокурорски разследвания.</w:t>
      </w:r>
    </w:p>
    <w:p w14:paraId="7146409D" w14:textId="6916DEDA" w:rsidR="00CE3BAD" w:rsidRPr="00782BF9" w:rsidRDefault="006B5475">
      <w:pPr>
        <w:pStyle w:val="P68B1DB1-Normal18"/>
        <w:spacing w:after="120" w:line="240" w:lineRule="auto"/>
        <w:jc w:val="both"/>
        <w:rPr>
          <w:rFonts w:cs="Times New Roman"/>
          <w:noProof/>
          <w:sz w:val="24"/>
          <w:lang w:val="bg-BG"/>
        </w:rPr>
      </w:pPr>
      <w:r w:rsidRPr="00782BF9">
        <w:rPr>
          <w:noProof/>
          <w:lang w:val="bg-BG"/>
        </w:rPr>
        <w:t>Изпълнението на реформата ще приключи до четвъртото тримесечие на 4 2025 г.</w:t>
      </w:r>
    </w:p>
    <w:p w14:paraId="456B4837" w14:textId="77777777" w:rsidR="00CE3BAD" w:rsidRPr="00782BF9" w:rsidRDefault="00CE3BAD">
      <w:pPr>
        <w:spacing w:after="120" w:line="240" w:lineRule="auto"/>
        <w:jc w:val="both"/>
        <w:rPr>
          <w:rFonts w:ascii="Times New Roman" w:hAnsi="Times New Roman" w:cs="Times New Roman"/>
          <w:noProof/>
          <w:sz w:val="24"/>
          <w:lang w:val="bg-BG"/>
        </w:rPr>
      </w:pPr>
    </w:p>
    <w:p w14:paraId="3FBE37BA" w14:textId="26B60556" w:rsidR="00CE3BAD" w:rsidRPr="00782BF9" w:rsidRDefault="006B5475">
      <w:pPr>
        <w:pStyle w:val="P68B1DB1-Normal2"/>
        <w:spacing w:after="120" w:line="240" w:lineRule="auto"/>
        <w:jc w:val="both"/>
        <w:rPr>
          <w:rFonts w:cs="Times New Roman"/>
          <w:noProof/>
          <w:lang w:val="bg-BG"/>
        </w:rPr>
      </w:pPr>
      <w:r w:rsidRPr="00782BF9">
        <w:rPr>
          <w:noProof/>
          <w:lang w:val="bg-BG"/>
        </w:rPr>
        <w:t>C9.R9: Повишаване на осведомеността за премахване на похарчните плащания в сектора на здравеопазването</w:t>
      </w:r>
    </w:p>
    <w:p w14:paraId="7F6CBAED"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Целта на тази реформа е да се повиши осведомеността сред гражданите относно инкриминирането на полагащите се стипендии в сектора на здравеопазването — включително чрез печатни, телевизионни и онлайн материали за кампании, разпространение на информация — и по този начин да се допринесе за тяхното изкореняване. </w:t>
      </w:r>
    </w:p>
    <w:p w14:paraId="094C0692" w14:textId="18040F20" w:rsidR="00CE3BAD" w:rsidRPr="00782BF9" w:rsidRDefault="006B5475">
      <w:pPr>
        <w:pStyle w:val="P68B1DB1-Normal4"/>
        <w:spacing w:after="120" w:line="240" w:lineRule="auto"/>
        <w:jc w:val="both"/>
        <w:rPr>
          <w:rFonts w:cs="Times New Roman"/>
          <w:noProof/>
          <w:lang w:val="bg-BG"/>
        </w:rPr>
      </w:pPr>
      <w:r w:rsidRPr="00782BF9">
        <w:rPr>
          <w:noProof/>
          <w:lang w:val="bg-BG"/>
        </w:rPr>
        <w:t xml:space="preserve">Тази мярка допълва правните промени за инкриминиране на похарчните плащания в сектора на здравеопазването и на законодателството за </w:t>
      </w:r>
      <w:r w:rsidRPr="00782BF9">
        <w:rPr>
          <w:noProof/>
          <w:color w:val="000000" w:themeColor="text1"/>
          <w:lang w:val="bg-BG"/>
        </w:rPr>
        <w:t>въвеждане на нов трудов договор за лекари с цел премахване на полагащите се стипендии и, във връзка с това, увеличаване на заплатите на лекарите и пребиваващите лица, наети съгласно разпоредбите на този договор</w:t>
      </w:r>
      <w:r w:rsidRPr="00782BF9">
        <w:rPr>
          <w:noProof/>
          <w:lang w:val="bg-BG"/>
        </w:rPr>
        <w:t xml:space="preserve">. </w:t>
      </w:r>
    </w:p>
    <w:p w14:paraId="44A4B4E1"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Мярката се състои в провеждането на всеобхватна информационна кампания и кампания за повишаване на осведомеността, която да достигне до най-малко пет милиона граждани. До четвъртото тримесечие на 3 2023 г. ще бъде публикувана междинна оценка на първите резултати от кампанията, в която се определят броят на достигнатите граждани, промяната във възприятието на гражданите относно приемливостта на полагащите се плащания в здравеопазването в сравнение със ситуацията преди стартирането на кампанията за повишаване на осведомеността, определянето на извлечените поуки и изготвянето на препоръки за останалата част от кампанията.</w:t>
      </w:r>
    </w:p>
    <w:p w14:paraId="7DBBEB29" w14:textId="788E454F" w:rsidR="00CE3BAD" w:rsidRPr="00782BF9" w:rsidRDefault="006B5475">
      <w:pPr>
        <w:pStyle w:val="P68B1DB1-Normal4"/>
        <w:spacing w:after="120" w:line="240" w:lineRule="auto"/>
        <w:jc w:val="both"/>
        <w:rPr>
          <w:rFonts w:cs="Times New Roman"/>
          <w:noProof/>
          <w:lang w:val="bg-BG"/>
        </w:rPr>
      </w:pPr>
      <w:r w:rsidRPr="00782BF9">
        <w:rPr>
          <w:noProof/>
          <w:lang w:val="bg-BG"/>
        </w:rPr>
        <w:t>Изпълнението на реформата ще приключи до четвъртото тримесечие на 4 2024 г.</w:t>
      </w:r>
    </w:p>
    <w:p w14:paraId="0505EFC6" w14:textId="77777777" w:rsidR="00CE3BAD" w:rsidRPr="00782BF9" w:rsidRDefault="00CE3BAD">
      <w:pPr>
        <w:spacing w:after="120" w:line="240" w:lineRule="auto"/>
        <w:jc w:val="both"/>
        <w:rPr>
          <w:rFonts w:ascii="Times New Roman" w:hAnsi="Times New Roman" w:cs="Times New Roman"/>
          <w:noProof/>
          <w:sz w:val="24"/>
          <w:lang w:val="bg-BG"/>
        </w:rPr>
      </w:pPr>
    </w:p>
    <w:p w14:paraId="3ADA8EC7" w14:textId="65089A7D"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C9.R10: Намаляване на дела на процедурите за възлагане на обществени поръчки с една оферта</w:t>
      </w:r>
    </w:p>
    <w:p w14:paraId="6DA42F2C" w14:textId="77777777" w:rsidR="00CE3BAD" w:rsidRPr="00782BF9" w:rsidRDefault="006B5475">
      <w:pPr>
        <w:pStyle w:val="P68B1DB1-Normal4"/>
        <w:spacing w:after="120" w:line="240" w:lineRule="auto"/>
        <w:jc w:val="both"/>
        <w:rPr>
          <w:rFonts w:eastAsia="Times New Roman" w:cs="Times New Roman"/>
          <w:noProof/>
          <w:color w:val="006100"/>
          <w:lang w:val="bg-BG"/>
        </w:rPr>
      </w:pPr>
      <w:r w:rsidRPr="00782BF9">
        <w:rPr>
          <w:noProof/>
          <w:lang w:val="bg-BG"/>
        </w:rPr>
        <w:t>Целта на реформата е да се подобри конкуренцията в областта на обществените поръчки и да се повиши прозрачността, ефективността и стабилността на свързаните с тях процеси чрез намаляване на дела на процедурите за възлагане на обществени поръчки с една оферта, финансирани със средства на Съюза или от националния бюджет.</w:t>
      </w:r>
    </w:p>
    <w:p w14:paraId="4EB2A4BE"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Тази реформа включва всеобхватен набор от действия, насочени към увеличаване на конкуренцията при обществените поръчки. </w:t>
      </w:r>
    </w:p>
    <w:p w14:paraId="3666ED4F"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Делът на тръжните процедури за възлагане на обществени поръчки — както над, така и под праговете на ЕС за възлагане на обществени поръчки — с една оферта — се намалява и след това се поддържа под 15 % i) за обществени поръчки, финансирани изцяло или частично с подкрепа от Съюза; и ii) за обществени поръчки, финансирани съответно с национални ресурси, в съответствие с графика, посочен в целите по-долу. Изчисляването на дела на отделните оферти се извършва в съответствие с методиката на информационното табло за единния пазар. Окончателните одитни доклади с одитни становища без резерви на EUTAF също потвърждават, че делът на отделните оферти е под съответните цели. </w:t>
      </w:r>
    </w:p>
    <w:p w14:paraId="25AAB2D6"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Създава се инструмент за мониторинг и докладване („инструмент за докладване с една оферта“), който се въвежда в действие преди подаването на първото искане за плащане съгласно плана за възстановяване и устойчивост, за да се даде възможност за мониторинг и докладване на напредъка към постигането на целите, свързани с тази мярка. Съответствието на този инструмент с методиката на информационното табло за единния пазар, че данните в инструмента са точни и пълни, включително за нивото на базовите стойности, се потвърждават от окончателен одитен доклад с одитно становище без резерви от EUTAF. До четвъртото тримесечие на 4 2022 г. инструментът включва и данни за географските означения. Първият писмен доклад, основан на информация от инструмента за докладване с една оферта, включително абсолютни стойности и дялове, географски означения и идентификация на услуги и продукти, се изготвя от министерството, отговарящо за обществените поръчки, и се оповестява публично на уебсайта на ЕОС до четвъртото тримесечие на 1 2023 г. и след това ежегодно.</w:t>
      </w:r>
    </w:p>
    <w:p w14:paraId="0A56575C" w14:textId="77DBB4A1"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1 2023 г.</w:t>
      </w:r>
    </w:p>
    <w:p w14:paraId="02CF889F" w14:textId="77777777" w:rsidR="00CE3BAD" w:rsidRPr="00782BF9" w:rsidRDefault="00CE3BAD">
      <w:pPr>
        <w:spacing w:after="120" w:line="240" w:lineRule="auto"/>
        <w:jc w:val="both"/>
        <w:rPr>
          <w:rFonts w:ascii="Times New Roman" w:hAnsi="Times New Roman" w:cs="Times New Roman"/>
          <w:noProof/>
          <w:sz w:val="24"/>
          <w:lang w:val="bg-BG"/>
        </w:rPr>
      </w:pPr>
    </w:p>
    <w:p w14:paraId="0FE7235A" w14:textId="32D28DA4" w:rsidR="00CE3BAD" w:rsidRPr="00782BF9" w:rsidRDefault="006B5475">
      <w:pPr>
        <w:pStyle w:val="P68B1DB1-Normal2"/>
        <w:spacing w:after="120" w:line="240" w:lineRule="auto"/>
        <w:jc w:val="both"/>
        <w:rPr>
          <w:rFonts w:cs="Times New Roman"/>
          <w:noProof/>
          <w:lang w:val="bg-BG"/>
        </w:rPr>
      </w:pPr>
      <w:r w:rsidRPr="00782BF9">
        <w:rPr>
          <w:noProof/>
          <w:lang w:val="bg-BG"/>
        </w:rPr>
        <w:t>C9.R11: Разработване на електронна система за обществени поръчки (ЕСОП) с цел повишаване на прозрачността</w:t>
      </w:r>
    </w:p>
    <w:p w14:paraId="3143FB2E"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Целта на тази реформа е</w:t>
      </w:r>
      <w:r w:rsidRPr="00782BF9">
        <w:rPr>
          <w:b/>
          <w:noProof/>
          <w:lang w:val="bg-BG"/>
        </w:rPr>
        <w:t xml:space="preserve"> </w:t>
      </w:r>
      <w:r w:rsidRPr="00782BF9">
        <w:rPr>
          <w:noProof/>
          <w:lang w:val="bg-BG"/>
        </w:rPr>
        <w:t xml:space="preserve">да се повиши прозрачността на обществените поръчки и да се улесни независимият надзор и анализ на конкуренцията при обществените поръчки чрез предоставяне на безплатен публичен достъп до всички тръжни данни в масирано изтегляне и машинночетим формат чрез разработването на електронната система за обществени поръчки (ЕОП). </w:t>
      </w:r>
    </w:p>
    <w:p w14:paraId="1807D221"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ЕЗС се актуализира преди подаването на първото искане за плащане съгласно плана за възстановяване и устойчивост, за да се даде възможност за редовно актуализиране на публикуването на всички обявления за възлагане на обществени поръчки в структурирана форма, която дава възможност за търсене, масов износ и машинна обработка на всички данни, свързани с обявленията за възложени поръчки. В тази база данни всички икономически оператори, включително отделните членове на консорциуми, се идентифицират чрез уникален идентификатор. Редовно актуализираната база данни е достъпна и може да бъде изтеглена от всеки от началната страница на EPS без регистрация. </w:t>
      </w:r>
    </w:p>
    <w:p w14:paraId="7F14FB39" w14:textId="0FCB6AD2"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Преди подаването на първото искане за плащане съгласно плана за възстановяване и устойчивост информацията, свързана с подизпълнителите, също се предоставя в ЕЗУ в структуриран формат. До четвъртото тримесечие на 1 2023 г. базата данни съдържа също така всички обявления за възложени поръчки от 1 януари 2014 г. нататък, заедно с цялата необходима информация, включително относно подизпълнителите.</w:t>
      </w:r>
    </w:p>
    <w:p w14:paraId="62F6C599"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1 2023 г.</w:t>
      </w:r>
    </w:p>
    <w:p w14:paraId="30075D38" w14:textId="77777777" w:rsidR="00CE3BAD" w:rsidRPr="00782BF9" w:rsidRDefault="00CE3BAD">
      <w:pPr>
        <w:pStyle w:val="Text1"/>
        <w:spacing w:before="0" w:after="120" w:line="240" w:lineRule="auto"/>
        <w:rPr>
          <w:noProof/>
          <w:lang w:val="bg-BG"/>
        </w:rPr>
      </w:pPr>
    </w:p>
    <w:p w14:paraId="795EB441" w14:textId="0C64936A" w:rsidR="00CE3BAD" w:rsidRPr="00782BF9" w:rsidRDefault="006B5475">
      <w:pPr>
        <w:pStyle w:val="P68B1DB1-Normal2"/>
        <w:keepNext/>
        <w:spacing w:after="120" w:line="240" w:lineRule="auto"/>
        <w:jc w:val="both"/>
        <w:rPr>
          <w:rFonts w:eastAsia="Times New Roman" w:cs="Times New Roman"/>
          <w:noProof/>
          <w:lang w:val="bg-BG"/>
        </w:rPr>
      </w:pPr>
      <w:r w:rsidRPr="00782BF9">
        <w:rPr>
          <w:noProof/>
          <w:lang w:val="bg-BG"/>
        </w:rPr>
        <w:t>C9.R12: Рамка за измерване на изпълнението при обществените поръчки</w:t>
      </w:r>
    </w:p>
    <w:p w14:paraId="41361ED2"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тази реформа е да се създаде всеобхватна рамка за измерване на изпълнението с цел непрекъснато наблюдение и оценка на ефикасността и разходната ефективност на обществените поръчки в Унгария. </w:t>
      </w:r>
    </w:p>
    <w:p w14:paraId="544925D8"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Рамката за измерване на изпълнението се разработва с пълното и ефективно участие на независими неправителствени организации, работещи в областта на обществените поръчки, и експерти в областта на обществените поръчки. Независимите неправителствени организации се избират чрез открита, прозрачна и недискриминационна процедура за подбор въз основа на обективни критерии, свързани с експертния опит и заслугите.</w:t>
      </w:r>
    </w:p>
    <w:p w14:paraId="153DBB38"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Рамката за измерване на качеството на изпълнението влиза в действие</w:t>
      </w:r>
      <w:r w:rsidRPr="00782BF9">
        <w:rPr>
          <w:noProof/>
          <w:color w:val="2B579A"/>
          <w:shd w:val="clear" w:color="auto" w:fill="E6E6E6"/>
          <w:lang w:val="bg-BG"/>
        </w:rPr>
        <w:t xml:space="preserve"> </w:t>
      </w:r>
      <w:r w:rsidRPr="00782BF9">
        <w:rPr>
          <w:noProof/>
          <w:lang w:val="bg-BG"/>
        </w:rPr>
        <w:t xml:space="preserve">преди подаването на първото искане за плащане съгласно плана за възстановяване и устойчивост. Дава възможност по-специално за годишен анализ на равнището на неуспешните процедури за възлагане на обществени поръчки и на причините за тях; дела на договорите, които са изцяло отменени по време на изпълнението на договора; дела на случаите на закъснения при изпълнението на договорите; дела на случаите на превишаване на разходите (включително техния дял и обем); дела на възложените договори за обществени поръчки, при които изрично се взема предвид целият жизнен цикъл или оценката на разходите за целия жизнен цикъл; дела на успешното участие на микро- и малките предприятия в обществените поръчки; стойността и делът на процедурите за възлагане на обществени поръчки с една оферта, финансирани поотделно от национални ресурси и от подкрепа от Съюза и/или и двете. </w:t>
      </w:r>
    </w:p>
    <w:p w14:paraId="7C440E75"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Анализът въз основа на гореизложеното се извършва с пълното и ефективно участие на избрани независими неправителствени организации и независими експерти в областта на обществените поръчки и резултатите от него се оповестяват публично до четвъртото тримесечие на 1 2023 г. за първи път за 2022 г. и всяка година след това. </w:t>
      </w:r>
    </w:p>
    <w:p w14:paraId="59EBAAC5"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1 2023 г.</w:t>
      </w:r>
    </w:p>
    <w:p w14:paraId="3CD8C3CC" w14:textId="668EED25" w:rsidR="00CE3BAD" w:rsidRPr="00782BF9" w:rsidRDefault="00CE3BAD">
      <w:pPr>
        <w:spacing w:after="120" w:line="240" w:lineRule="auto"/>
        <w:jc w:val="both"/>
        <w:rPr>
          <w:rFonts w:ascii="Times New Roman" w:eastAsia="Times New Roman" w:hAnsi="Times New Roman" w:cs="Times New Roman"/>
          <w:noProof/>
          <w:sz w:val="24"/>
          <w:lang w:val="bg-BG"/>
        </w:rPr>
      </w:pPr>
    </w:p>
    <w:p w14:paraId="3E09F368" w14:textId="445BB65C" w:rsidR="00CE3BAD" w:rsidRPr="00782BF9" w:rsidRDefault="006B5475">
      <w:pPr>
        <w:pStyle w:val="P68B1DB1-Normal2"/>
        <w:spacing w:after="120" w:line="240" w:lineRule="auto"/>
        <w:jc w:val="both"/>
        <w:rPr>
          <w:rFonts w:eastAsia="Calibri" w:cs="Times New Roman"/>
          <w:noProof/>
          <w:lang w:val="bg-BG"/>
        </w:rPr>
      </w:pPr>
      <w:r w:rsidRPr="00782BF9">
        <w:rPr>
          <w:noProof/>
          <w:lang w:val="bg-BG"/>
        </w:rPr>
        <w:t>C9.R13: План за действие за повишаване на равнището на конкуренция в областта на обществените поръчки</w:t>
      </w:r>
    </w:p>
    <w:p w14:paraId="1ECBBFD7"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тази реформа е да се повиши равнището на конкуренция в областта на обществените поръчки чрез приемането и изпълнението на всеобхватен план за действие. </w:t>
      </w:r>
    </w:p>
    <w:p w14:paraId="098B5388" w14:textId="3F695EA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Действията в плана за действие се основават на оценка на добрите практики за улесняване на конкуренцията в областта на обществените поръчки; първите резултати от рамката за измерване на изпълнението (вж. реформа C9.R12) и изготвените въз основа на нея предложения за улесняване на конкуренцията в областта на обществените поръчки; налични констатации, решения и препоръки на Органа по интегритета (вж. реформа C9.R1), които са от значение за конкуренцията в областта на обществените поръчки.</w:t>
      </w:r>
    </w:p>
    <w:p w14:paraId="41103344"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В плана за действие се определят конкретни и измерими цели, които трябва да бъдат постигнати всяка година; определяне на мерки, които са от значение за постигане на съответните цели; определяне на точни срокове за изпълнение на мерките и определяне на съответни показатели за всяка мярка за мониторинг на напредъка по изпълнението ѝ; определя съответния орган или институция, отговорни за изпълнението на всяка мярка; създава механизъм за мониторинг за оценка на напредъка към постигането на целите в плана за действие; включва специална разпоредба за ежегоден преглед на плана за действие и при необходимост за преразглеждането му; и да гарантира, че годишното актуално състояние на изпълнението на действията в плана за действие или неговото преразглеждане се оповестява публично без забавяне.</w:t>
      </w:r>
    </w:p>
    <w:p w14:paraId="258B8DA6"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Планът за действие се приема до четвъртото тримесечие на 1 2023 г. След първия годишен преглед до четвъртото тримесечие на 1 2024 г. правителството приема и оповестява публично преразгледания план за действие, включително актуалното състояние на изпълнението на всяка от мерките в него.</w:t>
      </w:r>
    </w:p>
    <w:p w14:paraId="75C5D9E4"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1 2024 г.</w:t>
      </w:r>
    </w:p>
    <w:p w14:paraId="4244EFB2"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5A328673" w14:textId="53629649"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C9.R14: Схема за обучение и схема за подпомагане на микро-, малки и средни предприятия с цел улесняване на участието им в процедури за възлагане на обществени поръчки</w:t>
      </w:r>
    </w:p>
    <w:p w14:paraId="5F5CDEE4"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тази реформа е да се улесни участието на микро-, малки и средни предприятия (с акцент върху микропредприятията и малките предприятия) в процедурите за възлагане на обществени поръчки. </w:t>
      </w:r>
    </w:p>
    <w:p w14:paraId="08DFA700" w14:textId="045C2F80"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За тази цел Унгария разработва и прилага схема за обучение, предоставяща безплатно най-важната теоретична и практическа информация за микро-, малките и средните предприятия за това как те могат успешно да участват в процедури за възлагане на обществени поръчки. Обучението се основава на новоразработени обучения и материали за електронно обучение. Новоразработените учебни материали обхващат най-малко въпроси, свързани с процедурите за възлагане на обществени поръчки и етапа на тяхната подготовка, ефективното използване на средствата за правна защита и особеностите, възникващи при изпълнението на обществена поръчка. Гарантира се оценката на ефективността на обученията. Обученията се предоставят на най-малко 1 000 микро-, малки и средни предприятия до третото тримесечие на 1 2024 г. и на най-малко 2 200 микро-, малки и средни предприятия до четвъртото тримесечие на 2 2026 г. Доклад за оценка на ефективността и ефикасността на мярката за обучение се оповестява публично до четвъртото тримесечие на 2 2026 г. </w:t>
      </w:r>
    </w:p>
    <w:p w14:paraId="07165A22"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Унгария също така създава до четвъртото тримесечие на 1 2023 г. и прилага схема за подпомагане, която предоставя еднократна компенсация въз основа на обективни, недискриминационни и прозрачни критерии за подбор, която се изплаща пряко на най-малко 1 800 микро-, малки и средни предприятия (с акцент върху микро- и малките предприятия) до четвъртото тримесечие на 2 2026 г. за техните разходи, свързани с участието им в процедури за възлагане на обществени поръчки. До четвъртото тримесечие на 3 2024 г. се извършва междинна оценка на схемата за подпомагане, а до второто тримесечие на 2 2026 г. — окончателна оценка на схемата за подпомагане относно добавената стойност и ефективността на програмата. </w:t>
      </w:r>
    </w:p>
    <w:p w14:paraId="7F8C877D"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2 2026 г.</w:t>
      </w:r>
    </w:p>
    <w:p w14:paraId="4D36CF01"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2EAF4EB5" w14:textId="05880181" w:rsidR="00CE3BAD" w:rsidRPr="00782BF9" w:rsidRDefault="006B5475">
      <w:pPr>
        <w:pStyle w:val="P68B1DB1-Normal2"/>
        <w:spacing w:after="120" w:line="240" w:lineRule="auto"/>
        <w:jc w:val="both"/>
        <w:rPr>
          <w:rFonts w:eastAsia="Calibri" w:cs="Times New Roman"/>
          <w:noProof/>
          <w:lang w:val="bg-BG"/>
        </w:rPr>
      </w:pPr>
      <w:r w:rsidRPr="00782BF9">
        <w:rPr>
          <w:noProof/>
          <w:lang w:val="bg-BG"/>
        </w:rPr>
        <w:t>C9.R15: Засилване на ролята и правомощията на Националния съдебен съвет за противодействие на правомощията на председателя на Националната съдебна служба</w:t>
      </w:r>
    </w:p>
    <w:p w14:paraId="166B4003"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Целта на реформата е да се установят по-големи правомощия за Националния съдебен съвет, така че той да може ефективно да упражнява конституционната си роля в надзора на централната администрация на съдилищата, като същевременно се запази независимостта на Съвета въз основа на избирането на неговите членове от съдии. Реформата води до укрепване на независимостта и безпристрастността на съдилищата и съдиите, създадени със закон в съответствие с член 19 от Договора за Европейския съюз (ДЕС) и съответните достижения на правото на ЕС.</w:t>
      </w:r>
    </w:p>
    <w:p w14:paraId="2B8366CB"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Реформата установява по-големи правомощия за Националния съдебен съвет и включва законодателни изменения, за да се гарантира, че Националният съдебен съвет дава мотивирано обвързващо становище по редица въпроси, свързани както с индивидуалните решения, така и с регламентите.</w:t>
      </w:r>
    </w:p>
    <w:p w14:paraId="6B0B39F5"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Реформата също така гарантира, че Националният съдебен съвет разполага с достатъчно ресурси, включително персонал и офиси, за да изпълнява задачите си по ефективен начин. </w:t>
      </w:r>
    </w:p>
    <w:p w14:paraId="28BB5F65"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Преди внасянето на проектозаконите, необходими за прилагането на тази реформа, се организира консултация със заинтересованите страни, която позволява най-малко на Националния съдебен съвет, съдебните сдружения, унгарската адвокатска колегия, организациите на гражданското общество, </w:t>
      </w:r>
      <w:r w:rsidRPr="00782BF9">
        <w:rPr>
          <w:i/>
          <w:noProof/>
          <w:lang w:val="bg-BG"/>
        </w:rPr>
        <w:t>Kúria</w:t>
      </w:r>
      <w:r w:rsidRPr="00782BF9">
        <w:rPr>
          <w:noProof/>
          <w:lang w:val="bg-BG"/>
        </w:rPr>
        <w:t>, Националната служба на съдебната власт (NOJ), Конституционния съд и главния прокурор да представят коментари в рамките на не по-малко от 15 дни.</w:t>
      </w:r>
    </w:p>
    <w:p w14:paraId="3747750B" w14:textId="77777777" w:rsidR="00CE3BAD" w:rsidRPr="00782BF9" w:rsidRDefault="006B5475">
      <w:pPr>
        <w:pStyle w:val="Text1"/>
        <w:spacing w:before="0" w:after="120" w:line="240" w:lineRule="auto"/>
        <w:rPr>
          <w:rFonts w:eastAsia="Calibri"/>
          <w:noProof/>
          <w:lang w:val="bg-BG"/>
        </w:rPr>
      </w:pPr>
      <w:r w:rsidRPr="00782BF9">
        <w:rPr>
          <w:noProof/>
          <w:lang w:val="bg-BG"/>
        </w:rPr>
        <w:t>Изпълнението на реформата ще приключи до четвъртото тримесечие на 1 2023 г. и преди първото искане за плащане по плана за възстановяване и устойчивост.</w:t>
      </w:r>
    </w:p>
    <w:p w14:paraId="4B61E82F" w14:textId="77777777" w:rsidR="00CE3BAD" w:rsidRPr="00782BF9" w:rsidRDefault="00CE3BAD">
      <w:pPr>
        <w:spacing w:after="120" w:line="240" w:lineRule="auto"/>
        <w:ind w:left="850"/>
        <w:jc w:val="both"/>
        <w:rPr>
          <w:rFonts w:ascii="Times New Roman" w:eastAsia="Calibri" w:hAnsi="Times New Roman" w:cs="Times New Roman"/>
          <w:b/>
          <w:noProof/>
          <w:sz w:val="24"/>
          <w:lang w:val="bg-BG"/>
        </w:rPr>
      </w:pPr>
    </w:p>
    <w:p w14:paraId="06152DF7" w14:textId="0AA7D27F" w:rsidR="00CE3BAD" w:rsidRPr="00782BF9" w:rsidRDefault="006B5475">
      <w:pPr>
        <w:pStyle w:val="P68B1DB1-Normal2"/>
        <w:spacing w:after="120" w:line="240" w:lineRule="auto"/>
        <w:jc w:val="both"/>
        <w:rPr>
          <w:rFonts w:eastAsia="Calibri" w:cs="Times New Roman"/>
          <w:noProof/>
          <w:lang w:val="bg-BG"/>
        </w:rPr>
      </w:pPr>
      <w:r w:rsidRPr="00782BF9">
        <w:rPr>
          <w:noProof/>
          <w:lang w:val="bg-BG"/>
        </w:rPr>
        <w:t>C9.R16: Укрепване на независимостта на съдебната власт на Върховния съд (</w:t>
      </w:r>
      <w:r w:rsidRPr="00782BF9">
        <w:rPr>
          <w:i/>
          <w:noProof/>
          <w:lang w:val="bg-BG"/>
        </w:rPr>
        <w:t>Kúria</w:t>
      </w:r>
      <w:r w:rsidRPr="00782BF9">
        <w:rPr>
          <w:noProof/>
          <w:lang w:val="bg-BG"/>
        </w:rPr>
        <w:t>)</w:t>
      </w:r>
    </w:p>
    <w:p w14:paraId="75911CDE"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Целта на реформата е да се засили независимостта на съдебната власт на Върховния съд (</w:t>
      </w:r>
      <w:r w:rsidRPr="00782BF9">
        <w:rPr>
          <w:i/>
          <w:noProof/>
          <w:lang w:val="bg-BG"/>
        </w:rPr>
        <w:t>Kúria</w:t>
      </w:r>
      <w:r w:rsidRPr="00782BF9">
        <w:rPr>
          <w:noProof/>
          <w:lang w:val="bg-BG"/>
        </w:rPr>
        <w:t xml:space="preserve">). Реформата води до укрепване на независимостта и безпристрастността на съдилищата и съдиите, създадени със закон в съответствие с член 19 от ДЕС и съответните достижения на правото на ЕС. </w:t>
      </w:r>
    </w:p>
    <w:p w14:paraId="5B0D5D11"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Реформата се състои в изменение на правилата за избор на председател на </w:t>
      </w:r>
      <w:r w:rsidRPr="00782BF9">
        <w:rPr>
          <w:i/>
          <w:noProof/>
          <w:lang w:val="bg-BG"/>
        </w:rPr>
        <w:t>Kúria</w:t>
      </w:r>
      <w:r w:rsidRPr="00782BF9">
        <w:rPr>
          <w:noProof/>
          <w:lang w:val="bg-BG"/>
        </w:rPr>
        <w:t xml:space="preserve">; правилата относно схемата за разпределение на делата на </w:t>
      </w:r>
      <w:r w:rsidRPr="00782BF9">
        <w:rPr>
          <w:i/>
          <w:noProof/>
          <w:lang w:val="bg-BG"/>
        </w:rPr>
        <w:t>Kúria</w:t>
      </w:r>
      <w:r w:rsidRPr="00782BF9">
        <w:rPr>
          <w:noProof/>
          <w:lang w:val="bg-BG"/>
        </w:rPr>
        <w:t xml:space="preserve">; и правилата относно функционирането на </w:t>
      </w:r>
      <w:r w:rsidRPr="00782BF9">
        <w:rPr>
          <w:i/>
          <w:noProof/>
          <w:lang w:val="bg-BG"/>
        </w:rPr>
        <w:t>Kúria</w:t>
      </w:r>
      <w:r w:rsidRPr="00782BF9">
        <w:rPr>
          <w:noProof/>
          <w:lang w:val="bg-BG"/>
        </w:rPr>
        <w:t xml:space="preserve"> (i) установяване на по-големи правомощия за съответния съдебен съвет на </w:t>
      </w:r>
      <w:r w:rsidRPr="00782BF9">
        <w:rPr>
          <w:i/>
          <w:noProof/>
          <w:lang w:val="bg-BG"/>
        </w:rPr>
        <w:t>Kúria</w:t>
      </w:r>
      <w:r w:rsidRPr="00782BF9">
        <w:rPr>
          <w:noProof/>
          <w:lang w:val="bg-BG"/>
        </w:rPr>
        <w:t xml:space="preserve"> и съответните отдели на съдиите („kollégium“), (ii) премахване на възможността членовете на Конституционния съд да стават съдии и след това да бъдат назначавани в </w:t>
      </w:r>
      <w:r w:rsidRPr="00782BF9">
        <w:rPr>
          <w:i/>
          <w:noProof/>
          <w:lang w:val="bg-BG"/>
        </w:rPr>
        <w:t>Kúria</w:t>
      </w:r>
      <w:r w:rsidRPr="00782BF9">
        <w:rPr>
          <w:noProof/>
          <w:lang w:val="bg-BG"/>
        </w:rPr>
        <w:t xml:space="preserve">, без да се следва обичайната процедура за кандидатстване, и (iii) да се гарантира, че Националният съдебен съвет дава мотивирано обвързващо становище относно годността на кандидатите за длъжностите председател и заместник-председател на </w:t>
      </w:r>
      <w:r w:rsidRPr="00782BF9">
        <w:rPr>
          <w:i/>
          <w:noProof/>
          <w:lang w:val="bg-BG"/>
        </w:rPr>
        <w:t>Kúria</w:t>
      </w:r>
      <w:r w:rsidRPr="00782BF9">
        <w:rPr>
          <w:noProof/>
          <w:lang w:val="bg-BG"/>
        </w:rPr>
        <w:t>; критериите за пригодност, включително независимост, безпристрастност, почтеност и почтеност, се определят от закона. Кандидатите, които са счетени за неподходящи от Националния съдебен съвет, имат достъп до ускорен съдебен контрол пред компетентния съд.</w:t>
      </w:r>
    </w:p>
    <w:p w14:paraId="2AB84F16" w14:textId="5C1BC234"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Реформата също така гарантира, че засилените правомощия на Националния съдебен съвет, посочени в реформа C9.R15, се прилагат и по отношение на председателя на </w:t>
      </w:r>
      <w:r w:rsidRPr="00782BF9">
        <w:rPr>
          <w:i/>
          <w:noProof/>
          <w:lang w:val="bg-BG"/>
        </w:rPr>
        <w:t>Kúria</w:t>
      </w:r>
      <w:r w:rsidRPr="00782BF9">
        <w:rPr>
          <w:noProof/>
          <w:lang w:val="bg-BG"/>
        </w:rPr>
        <w:t>, когато той действа като орган по назначаването (в съответствие със Закон CLXII от 2011 г.).</w:t>
      </w:r>
    </w:p>
    <w:p w14:paraId="7BBEC6C5"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Преди внасянето на проектоизмененията, необходими за прилагането на тази реформа, се организира консултация със заинтересованите страни, която позволява най-малко на Националния съдебен съвет, съдебните сдружения, унгарската адвокатска колегия, организациите на гражданското общество, </w:t>
      </w:r>
      <w:r w:rsidRPr="00782BF9">
        <w:rPr>
          <w:i/>
          <w:noProof/>
          <w:lang w:val="bg-BG"/>
        </w:rPr>
        <w:t>Kúria</w:t>
      </w:r>
      <w:r w:rsidRPr="00782BF9">
        <w:rPr>
          <w:noProof/>
          <w:lang w:val="bg-BG"/>
        </w:rPr>
        <w:t>, NOJ, Конституционния съд и главния прокурор да представят коментари в рамките на не по-малко от 15 дни.</w:t>
      </w:r>
    </w:p>
    <w:p w14:paraId="60DC7437" w14:textId="77777777" w:rsidR="00CE3BAD" w:rsidRPr="00782BF9" w:rsidRDefault="006B5475">
      <w:pPr>
        <w:pStyle w:val="Text1"/>
        <w:spacing w:before="0" w:after="120" w:line="240" w:lineRule="auto"/>
        <w:rPr>
          <w:rFonts w:eastAsia="Calibri"/>
          <w:noProof/>
          <w:lang w:val="bg-BG"/>
        </w:rPr>
      </w:pPr>
      <w:r w:rsidRPr="00782BF9">
        <w:rPr>
          <w:noProof/>
          <w:lang w:val="bg-BG"/>
        </w:rPr>
        <w:t>Изпълнението на реформата ще приключи до четвъртото тримесечие на 1 2023 г. и преди първото искане за плащане по плана за възстановяване и устойчивост.</w:t>
      </w:r>
    </w:p>
    <w:p w14:paraId="2FD15D8B" w14:textId="77777777" w:rsidR="00CE3BAD" w:rsidRPr="00782BF9" w:rsidRDefault="00CE3BAD">
      <w:pPr>
        <w:spacing w:after="120" w:line="240" w:lineRule="auto"/>
        <w:ind w:left="708"/>
        <w:jc w:val="both"/>
        <w:rPr>
          <w:rFonts w:ascii="Times New Roman" w:eastAsia="Calibri" w:hAnsi="Times New Roman" w:cs="Times New Roman"/>
          <w:b/>
          <w:noProof/>
          <w:sz w:val="24"/>
          <w:lang w:val="bg-BG"/>
        </w:rPr>
      </w:pPr>
    </w:p>
    <w:p w14:paraId="73083EC3" w14:textId="6AD21467" w:rsidR="00CE3BAD" w:rsidRPr="00782BF9" w:rsidRDefault="006B5475">
      <w:pPr>
        <w:pStyle w:val="P68B1DB1-Normal2"/>
        <w:spacing w:after="120" w:line="240" w:lineRule="auto"/>
        <w:jc w:val="both"/>
        <w:rPr>
          <w:rFonts w:eastAsia="Calibri" w:cs="Times New Roman"/>
          <w:noProof/>
          <w:lang w:val="bg-BG"/>
        </w:rPr>
      </w:pPr>
      <w:r w:rsidRPr="00782BF9">
        <w:rPr>
          <w:noProof/>
          <w:lang w:val="bg-BG"/>
        </w:rPr>
        <w:t>C9.R17: Премахване на пречките пред отправянето на преюдициални запитвания до Съда на Европейския съюз</w:t>
      </w:r>
    </w:p>
    <w:p w14:paraId="1E5CB18F"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Целта на реформата е да се премахнат пречките пред съдилищата да отнасят самостоятелно дела за преюдициални заключения до Съда на Европейския съюз (СЕС), като по този начин се гарантира спазването на съдебната практика на Съда на ЕС. Реформата води до укрепване на независимостта и безпристрастността на съдилищата и съдиите, създадени със закон в съответствие с член 19 от ДЕС и съответните достижения на правото на ЕС. </w:t>
      </w:r>
    </w:p>
    <w:p w14:paraId="65147205"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Реформата се състои в изменение на член 666 и сл. от Наказателно-процесуалния кодекс, за да се премахне възможността </w:t>
      </w:r>
      <w:r w:rsidRPr="00782BF9">
        <w:rPr>
          <w:i/>
          <w:noProof/>
          <w:lang w:val="bg-BG"/>
        </w:rPr>
        <w:t>Kúria</w:t>
      </w:r>
      <w:r w:rsidRPr="00782BF9">
        <w:rPr>
          <w:noProof/>
          <w:lang w:val="bg-BG"/>
        </w:rPr>
        <w:t xml:space="preserve"> да упражнява контрол за законосъобразност на решението на съдия да отправи преюдициално запитване до Съда на ЕС, и на член 490 от Наказателно-процесуалния кодекс за спиране на производството, за да се премахнат всички пречки пред съда да отправи преюдициално запитване в съответствие с член 267 от ДФЕС.</w:t>
      </w:r>
    </w:p>
    <w:p w14:paraId="5C67170F"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Преди внасянето на проектозаконите, необходими за прилагането на тази реформа, се организира консултация със заинтересованите страни, която позволява най-малко на Националния съдебен съвет, съдебните сдружения, унгарската адвокатска колегия, организациите на гражданското общество, </w:t>
      </w:r>
      <w:r w:rsidRPr="00782BF9">
        <w:rPr>
          <w:i/>
          <w:noProof/>
          <w:lang w:val="bg-BG"/>
        </w:rPr>
        <w:t>Kúria</w:t>
      </w:r>
      <w:r w:rsidRPr="00782BF9">
        <w:rPr>
          <w:noProof/>
          <w:lang w:val="bg-BG"/>
        </w:rPr>
        <w:t>, NOJ, Конституционния съд и главния прокурор да представят коментари в рамките на не по-малко от 15 дни.</w:t>
      </w:r>
    </w:p>
    <w:p w14:paraId="79EC9434" w14:textId="77777777" w:rsidR="00CE3BAD" w:rsidRPr="00782BF9" w:rsidRDefault="006B5475">
      <w:pPr>
        <w:pStyle w:val="Text1"/>
        <w:spacing w:before="0" w:after="120" w:line="240" w:lineRule="auto"/>
        <w:rPr>
          <w:rFonts w:eastAsia="Calibri"/>
          <w:noProof/>
          <w:lang w:val="bg-BG"/>
        </w:rPr>
      </w:pPr>
      <w:r w:rsidRPr="00782BF9">
        <w:rPr>
          <w:noProof/>
          <w:lang w:val="bg-BG"/>
        </w:rPr>
        <w:t>Изпълнението на реформата ще приключи до четвъртото тримесечие на 1 2023 г. и преди първото искане за плащане по плана за възстановяване и устойчивост.</w:t>
      </w:r>
    </w:p>
    <w:p w14:paraId="03FE9577" w14:textId="77777777" w:rsidR="00CE3BAD" w:rsidRPr="00782BF9" w:rsidRDefault="00CE3BAD">
      <w:pPr>
        <w:spacing w:after="120" w:line="240" w:lineRule="auto"/>
        <w:jc w:val="both"/>
        <w:rPr>
          <w:rFonts w:ascii="Times New Roman" w:eastAsia="Calibri" w:hAnsi="Times New Roman" w:cs="Times New Roman"/>
          <w:b/>
          <w:noProof/>
          <w:sz w:val="24"/>
          <w:lang w:val="bg-BG"/>
        </w:rPr>
      </w:pPr>
    </w:p>
    <w:p w14:paraId="58B8B266" w14:textId="6FDB1161" w:rsidR="00CE3BAD" w:rsidRPr="00782BF9" w:rsidRDefault="006B5475">
      <w:pPr>
        <w:pStyle w:val="P68B1DB1-Normal2"/>
        <w:spacing w:after="120" w:line="240" w:lineRule="auto"/>
        <w:jc w:val="both"/>
        <w:rPr>
          <w:rFonts w:eastAsia="Calibri" w:cs="Times New Roman"/>
          <w:noProof/>
          <w:lang w:val="bg-BG"/>
        </w:rPr>
      </w:pPr>
      <w:r w:rsidRPr="00782BF9">
        <w:rPr>
          <w:noProof/>
          <w:lang w:val="bg-BG"/>
        </w:rPr>
        <w:t>C9.R18: Реформа във връзка с преразглеждането на окончателните решения на Конституционния съд</w:t>
      </w:r>
    </w:p>
    <w:p w14:paraId="40A0C76D"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 xml:space="preserve">Реформата се състои в премахване на възможността, въведена през 2019 г. чрез изменение на член 27 от Закон CLI от 2011 г., публичните органи да оспорват пред Конституционния съд окончателни съдебни решения. Реформата води до укрепване на независимостта и безпристрастността на съдилищата и съдиите, създадени със закон в съответствие с член 19 от ДЕС и съответните достижения на правото на ЕС. </w:t>
      </w:r>
    </w:p>
    <w:p w14:paraId="730F684D" w14:textId="77777777" w:rsidR="00CE3BAD" w:rsidRPr="00782BF9" w:rsidRDefault="006B5475">
      <w:pPr>
        <w:pStyle w:val="P68B1DB1-Normal4"/>
        <w:spacing w:after="120" w:line="240" w:lineRule="auto"/>
        <w:jc w:val="both"/>
        <w:rPr>
          <w:rFonts w:eastAsia="Calibri" w:cs="Times New Roman"/>
          <w:noProof/>
          <w:lang w:val="bg-BG"/>
        </w:rPr>
      </w:pPr>
      <w:r w:rsidRPr="00782BF9">
        <w:rPr>
          <w:noProof/>
          <w:lang w:val="bg-BG"/>
        </w:rPr>
        <w:t>Преди внасянето на проектозаконите, необходими за прилагането на тази реформа, се организира консултация със заинтересованите страни, която позволява най-малко на Националния съдебен съвет, съдебните сдружения, унгарската адвокатска колегия, организациите на гражданското общество</w:t>
      </w:r>
      <w:r w:rsidRPr="00782BF9">
        <w:rPr>
          <w:i/>
          <w:noProof/>
          <w:lang w:val="bg-BG"/>
        </w:rPr>
        <w:t>, Kúria,</w:t>
      </w:r>
      <w:r w:rsidRPr="00782BF9">
        <w:rPr>
          <w:noProof/>
          <w:lang w:val="bg-BG"/>
        </w:rPr>
        <w:t xml:space="preserve"> NOJ, Конституционния съд и главния прокурор да представят коментари в рамките на не по-малко от 15 дни.</w:t>
      </w:r>
    </w:p>
    <w:p w14:paraId="31214BA8" w14:textId="2E9820E5" w:rsidR="00CE3BAD" w:rsidRPr="00782BF9" w:rsidRDefault="006B5475">
      <w:pPr>
        <w:pStyle w:val="Text1"/>
        <w:spacing w:before="0" w:after="120" w:line="240" w:lineRule="auto"/>
        <w:rPr>
          <w:rFonts w:eastAsia="Calibri"/>
          <w:noProof/>
          <w:lang w:val="bg-BG"/>
        </w:rPr>
      </w:pPr>
      <w:r w:rsidRPr="00782BF9">
        <w:rPr>
          <w:noProof/>
          <w:lang w:val="bg-BG"/>
        </w:rPr>
        <w:t>Изпълнението на реформата ще приключи до четвъртото тримесечие на 1 2023 г. и преди първото искане за плащане по плана за възстановяване и устойчивост.</w:t>
      </w:r>
    </w:p>
    <w:p w14:paraId="1D32B5C1" w14:textId="77777777" w:rsidR="00CE3BAD" w:rsidRPr="00782BF9" w:rsidRDefault="00CE3BAD">
      <w:pPr>
        <w:pStyle w:val="Text1"/>
        <w:spacing w:before="0" w:after="120" w:line="240" w:lineRule="auto"/>
        <w:rPr>
          <w:rFonts w:eastAsia="Calibri"/>
          <w:noProof/>
          <w:lang w:val="bg-BG"/>
        </w:rPr>
      </w:pPr>
    </w:p>
    <w:p w14:paraId="271C3296" w14:textId="4C90B965"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C9.R19: Засилени правни разпоредби, определящи мерки за изпълнение, мониторинг, одит и контрол, за да се гарантира правилното използване на подкрепата от Съюза</w:t>
      </w:r>
    </w:p>
    <w:p w14:paraId="7FCD5CC3"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реформата е да се гарантира ефективното изпълнение, наблюдение, контрол и одит на подкрепата от Съюза и защитата на финансовите интереси на Съюза. </w:t>
      </w:r>
    </w:p>
    <w:p w14:paraId="046C8E7E"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За тази цел преди подаването на първото искане за плащане съгласно плана за възстановяване и устойчивост влизат в сила правни разпоредби, определящи ролите и отговорностите на органите, участващи в изпълнението, мониторинга, контрола и одита на подкрепата от Съюза в Унгария, за да се гарантира:</w:t>
      </w:r>
    </w:p>
    <w:p w14:paraId="53A32FBE" w14:textId="77777777"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засилване на управлението на риска, предотвратяването, разкриването и коригирането на измами, корупция, конфликт на интереси и двойно финансиране;</w:t>
      </w:r>
    </w:p>
    <w:p w14:paraId="366B802A" w14:textId="77777777"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въвеждане на ефективни правила, процедури и механизми за контрол по отношение на декларациите за конфликт на интереси; и че</w:t>
      </w:r>
    </w:p>
    <w:p w14:paraId="55209390" w14:textId="77777777"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 xml:space="preserve">че служителите на чувствителни длъжности редовно се сменят на ротационен принцип и е осигурен ефективен надзор върху тях. </w:t>
      </w:r>
    </w:p>
    <w:p w14:paraId="5DC9E004" w14:textId="77777777" w:rsidR="00CE3BAD" w:rsidRPr="00782BF9" w:rsidRDefault="006B5475">
      <w:pPr>
        <w:pStyle w:val="P68B1DB1-Normal4"/>
        <w:spacing w:after="120" w:line="240" w:lineRule="auto"/>
        <w:jc w:val="both"/>
        <w:rPr>
          <w:rFonts w:eastAsiaTheme="minorEastAsia" w:cs="Times New Roman"/>
          <w:noProof/>
          <w:lang w:val="bg-BG"/>
        </w:rPr>
      </w:pPr>
      <w:r w:rsidRPr="00782BF9">
        <w:rPr>
          <w:noProof/>
          <w:lang w:val="bg-BG"/>
        </w:rPr>
        <w:t>По-специално във връзка с плана за възстановяване и устойчивост с горепосочените правни разпоредби се установява и правният мандат, като се определят подробно ролите и отговорностите на органите, участващи в изпълнението, одита и контрола на изпълнението на плана за възстановяване и устойчивост, определят се правила, свързани със събирането и надеждността на данните, свързани с мониторинга на постигането на ключовите етапи и целите в плана, процедурите за изготвяне и надеждността на декларациите за управлението, одитните обобщения и исканията за плащане, както и процедурите, гарантиращи събирането на всички данни в съответствие с член 22 от Регламента за МВУ.</w:t>
      </w:r>
    </w:p>
    <w:p w14:paraId="24A3D817"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В допълнение към горепосочените правни договорености Унгария разработва и започва да прилага всеобхватни насоки, гарантиращи ефективното предотвратяване, разкриване и коригиране на ситуации на конфликт на интереси преди подаването на първото искане за плащане. В насоките подробно се определят съответните задачи и задължения за всеки от органите, участващи в изпълнението, управлението и контрола на подкрепата от Съюза, като се гарантира ефективното предотвратяване, разкриване, контрол и коригиране на ситуации на конфликт на интереси.</w:t>
      </w:r>
    </w:p>
    <w:p w14:paraId="3CA5ADA4"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приключва преди подаването на първото искане за плащане съгласно плана за възстановяване и устойчивост.</w:t>
      </w:r>
    </w:p>
    <w:p w14:paraId="3B034AC3"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0858010C" w14:textId="79FC3441"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C9.R20: Ефективна стратегия за борба с измамите и корупцията за изпълнението, одита и контрола на подкрепата от Съюза</w:t>
      </w:r>
    </w:p>
    <w:p w14:paraId="332CD38C"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реформата е да се гарантира ефективното предотвратяване, разкриване и коригиране на измами и корупция, свързани с всяка подкрепа от Съюза в Унгария, чрез въвеждане на всеобхватна стратегия за борба с корупцията и борба с измамите и нейното изпълнение. </w:t>
      </w:r>
    </w:p>
    <w:p w14:paraId="59BC5F73"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Стратегията за борба с измамите и корупцията се допълва от план за действие, в който се определят ясни и всеобхватни действия, съответстващи на целите, определени в стратегията. За всяко от действията се определят ясни срокове за изпълнение, отговорни органи и специфични показатели за измерване на напредъка.</w:t>
      </w:r>
    </w:p>
    <w:p w14:paraId="2AA6A475"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Стратегията и планът за действие се приемат преди подаването на първото искане за плащане съгласно плана за възстановяване и устойчивост.</w:t>
      </w:r>
    </w:p>
    <w:p w14:paraId="55FFE2A3"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54A661A7" w14:textId="0713D10E"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 xml:space="preserve">C9.R21: Пълно и ефективно използване на системата Arachne за цялата подкрепа от Съюза </w:t>
      </w:r>
    </w:p>
    <w:p w14:paraId="0DFD26BA"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Целта на реформата е да се гарантира ефективното предотвратяване, разкриване и коригиране на измами, корупция, конфликт на интереси, двойно финансиране и други нередности, свързани с всяка подкрепа от Съюза в Унгария, чрез пълното и ефективно използване на инструмента на Комисията за извличане на данни и оценка на риска Arachne.</w:t>
      </w:r>
    </w:p>
    <w:p w14:paraId="43C365FE"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За тази цел правителството одобрява и започва да прилага процедури, които гарантират, че съответните национални органи качват всички съответни данни в системата Arachne на всеки два месеца, като осигуряват редовно и ефективно проследяване на оценката на риска, генерирана от системата Arachne. Окончателният одитен доклад на EUTAF с одитно становище без резерви потвърждава уместността на процедурите и механизмите и пълнотата на качените данни.</w:t>
      </w:r>
    </w:p>
    <w:p w14:paraId="3A2C927F"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Реформата се изпълнява преди подаването на първото искане за плащане съгласно плана за възстановяване и устойчивост.</w:t>
      </w:r>
    </w:p>
    <w:p w14:paraId="5AFCE814"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33602E38" w14:textId="43D64A69"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C9.R22: Създаване на Дирекция за вътрешен одит и почтеност с цел засилване на контрола върху конфликтите на интереси при изпълнението на подкрепата от Съюза</w:t>
      </w:r>
    </w:p>
    <w:p w14:paraId="0BD9E3DA"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реформата е да се гарантира ефективното предотвратяване, разкриване и коригиране на конфликти на интереси при изпълнението на подкрепата от Съюза чрез създаване на Дирекция за вътрешен одит и почтеност (DIAI) към министерството, отговарящо за изпълнението на подкрепата от Съюза в Унгария. </w:t>
      </w:r>
    </w:p>
    <w:p w14:paraId="4106DCF0" w14:textId="5FC87CAA"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DIAI извършва редовен и ефективен контрол на декларациите за конфликт на интереси и разследва докладваните подозрения за конфликт на интереси. При поискване DIAI предоставя незабавно пълен достъп до всички декларации за конфликт на интереси и до всички свои досиета на Органа по интегритета (създаден съгласно реформа C9.R1). Законът за създаване на DIAI гарантира пълната му независимост и подходящите правомощия за действие по отношение на всеки национален орган или структура, участващи в изпълнението на подкрепата от Съюза в Унгария. DIAI изготвя годишен доклад за своята работа и го представя на Органа по интегритета.</w:t>
      </w:r>
    </w:p>
    <w:p w14:paraId="3F56CC9D"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Реформата се изпълнява преди подаването на първото искане за плащане съгласно плана за възстановяване и устойчивост.</w:t>
      </w:r>
    </w:p>
    <w:p w14:paraId="7FF46C50"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7D890AB3" w14:textId="152DA9F1"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C9.R23: Осигуряване на капацитет за ефективно изпълнение на задачите на EUTAF</w:t>
      </w:r>
    </w:p>
    <w:p w14:paraId="0D6C7528"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Целта на тази реформа е да се гарантира ефективното предотвратяване, разкриване и коригиране на измами и корупция при изпълнението на подкрепата от Съюза, като се гарантира, че одитният орган (EUTAF) разполага с необходимите финансови и човешки ресурси, за да запази своята независимост и да му даде възможност да изпълнява задачите си ефективно и своевременно.</w:t>
      </w:r>
    </w:p>
    <w:p w14:paraId="14D74A63"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Реформата гарантира, че годишният бюджет на EUTAF се определя въз основа на първоначално предложение от EUTAF и се изменя само ако е публично обосновано, а не по начин, който би накърнил способността на EUTAF да изпълнява задачите си ефективно и своевременно; възнаграждението на персонала на EUTAF е определено на 70 % от възнаграждението, приложимо за служителите на Държавната сметна палата; че ръководителят на EUTAF има същите правомощия да взема решения относно основните принципи на заплащане, обезщетения и условия на труд като тези, с които разполага председателят на Държавната сметна палата, и че всяка договореност, която се отклонява от приложимите за Държавната сметна палата, е възможна само след писмено и надлежно обосновано предложение от ръководителя на EUTAF; както и че функционалната и професионалната независимост на EUTAF се запазва и персоналът на EUTAF продължава да не търси или приема указания във връзка с одитната си дейност.</w:t>
      </w:r>
    </w:p>
    <w:p w14:paraId="224D7D0D"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Реформата се изпълнява преди подаването на първото искане за плащане съгласно плана за възстановяване и устойчивост.</w:t>
      </w:r>
    </w:p>
    <w:p w14:paraId="65C599F1"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5EEC2BA0" w14:textId="4B070788" w:rsidR="00CE3BAD" w:rsidRPr="00782BF9" w:rsidRDefault="006B5475">
      <w:pPr>
        <w:pStyle w:val="P68B1DB1-Normal2"/>
        <w:keepNext/>
        <w:spacing w:after="120" w:line="240" w:lineRule="auto"/>
        <w:jc w:val="both"/>
        <w:rPr>
          <w:rFonts w:eastAsia="Times New Roman" w:cs="Times New Roman"/>
          <w:noProof/>
          <w:lang w:val="bg-BG"/>
        </w:rPr>
      </w:pPr>
      <w:r w:rsidRPr="00782BF9">
        <w:rPr>
          <w:noProof/>
          <w:lang w:val="bg-BG"/>
        </w:rPr>
        <w:t>C9.R24: Засилване на сътрудничеството с OLAF с цел засилване на разкриването на измами, свързани с изпълнението на подкрепата на Съюза</w:t>
      </w:r>
    </w:p>
    <w:p w14:paraId="25528EFD"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реформата е да се засилят договореностите, свързани с разкриването на измами във връзка с използването на финансиране от Съюза, и да се засили сътрудничеството с OLAF. </w:t>
      </w:r>
    </w:p>
    <w:p w14:paraId="6B444F08"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За тази цел влиза в сила законодателство за определяне на компетентен национален орган, който да подпомага OLAF при проверките на място в Унгария и за въвеждане на възможността за налагане на финансови санкции на икономически субекти, които не сътрудничат на OLAF по време на нейните проверки и инспекции на място.</w:t>
      </w:r>
    </w:p>
    <w:p w14:paraId="3698DEEB"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Законодателството влиза в сила преди подаването на първото искане за плащане съгласно плана за възстановяване и устойчивост.</w:t>
      </w:r>
    </w:p>
    <w:p w14:paraId="21AC9E56"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2BA9EB9B" w14:textId="7E2E4E86"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C9.R25: Ефективно изпълнение, контрол и одит на плана за възстановяване и устойчивост и защита на финансовите интереси на Съюза</w:t>
      </w:r>
    </w:p>
    <w:p w14:paraId="30C05A6C"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Целта на тази реформа е да се гарантира ефективното изпълнение, контрол и одит на плана за възстановяване и устойчивост и защитата на финансовите интереси на Съюза, като се въведе подходяща система от регистри за записване и съхранение на данни при изпълнението на плана за възстановяване и устойчивост и като се гарантира, че EUTAF разполага с ефективна одитна стратегия за одита на изпълнението на плана за възстановяване и устойчивост.</w:t>
      </w:r>
    </w:p>
    <w:p w14:paraId="5E59B527"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За тази цел:</w:t>
      </w:r>
    </w:p>
    <w:p w14:paraId="328783CB" w14:textId="113D9AAB"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системата от регистри за записване и съхранение на всички съответни данни, свързани с изпълнението на плана за възстановяване и устойчивост — постигането на ключовите етапи и целите, данните за крайните получатели, изпълнителите, подизпълнителите и действителните собственици — е напълно функционираща и оперативна. Окончателният одитен доклад на EUTAF с одитно становище без резерви потвърждава функционалните възможности на системата от регистри и че системата е напълно функционална и функционира;</w:t>
      </w:r>
    </w:p>
    <w:p w14:paraId="13D7C86F" w14:textId="77777777"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за да гарантира надеждността и увереността, получена от неговите одитни обобщения, одитният орган на унгарския план за възстановяване и устойчивост (EUTAF) приема одитна стратегия, която гарантира ефективен одит на изпълнението на унгарския план за възстановяване и устойчивост в съответствие с международно приетите одитни стандарти.</w:t>
      </w:r>
    </w:p>
    <w:p w14:paraId="5830FAF4"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Реформата се изпълнява, преди на Комисията да бъде представено първото искане за плащане съгласно плана за възстановяване и устойчивост.</w:t>
      </w:r>
    </w:p>
    <w:p w14:paraId="4B482980" w14:textId="3A2BE508" w:rsidR="00CE3BAD" w:rsidRPr="00782BF9" w:rsidRDefault="00CE3BAD">
      <w:pPr>
        <w:spacing w:after="120" w:line="240" w:lineRule="auto"/>
        <w:jc w:val="both"/>
        <w:rPr>
          <w:rFonts w:ascii="Times New Roman" w:eastAsia="Times New Roman" w:hAnsi="Times New Roman" w:cs="Times New Roman"/>
          <w:noProof/>
          <w:sz w:val="24"/>
          <w:lang w:val="bg-BG"/>
        </w:rPr>
      </w:pPr>
    </w:p>
    <w:p w14:paraId="36E5FEBE" w14:textId="0416FF5F" w:rsidR="00CE3BAD" w:rsidRPr="00782BF9" w:rsidRDefault="006B5475">
      <w:pPr>
        <w:pStyle w:val="P68B1DB1-Normal2"/>
        <w:keepNext/>
        <w:spacing w:after="120" w:line="240" w:lineRule="auto"/>
        <w:jc w:val="both"/>
        <w:rPr>
          <w:rFonts w:eastAsia="Times New Roman" w:cs="Times New Roman"/>
          <w:noProof/>
          <w:lang w:val="bg-BG"/>
        </w:rPr>
      </w:pPr>
      <w:r w:rsidRPr="00782BF9">
        <w:rPr>
          <w:noProof/>
          <w:lang w:val="bg-BG"/>
        </w:rPr>
        <w:t>C9.R26: Подобряване на прозрачността и достъпа до публична информация </w:t>
      </w:r>
    </w:p>
    <w:p w14:paraId="306A9E09"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Целта на реформата е да се повиши прозрачността и да се подобри достъпът до публична информация.</w:t>
      </w:r>
    </w:p>
    <w:p w14:paraId="053D7F0A" w14:textId="23595EB4"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Първата подмярка улеснява достъпа до публична информация, като гарантира, че публичните данни по принцип се предоставят безплатно. В изключителни случаи, когато могат да се начисляват такси за достъп до публична информация, тези такси са разумни и достатъчно ниски и не включват свързаните с това разходи за труд. За тази цел законодателните изменения влизат в сила и започват да се прилагат, с които i) се премахва възможността притежателят на публична информация да начислява разходи за труд за изпълнение на искане за достъп до обществена информация; II) да въведе общ таван от 190 000 HUF за таксите, които могат да бъдат начислени на заявител на данни, за да изпълни искането си за достъп до публична информация; III) начисляваните такси не надвишават действителните разходи, направени от държателите на данни, и се отнасят само до разходите за копиране и предоставяне на информация могат да бъдат начислявани от държателя на публична информация и само ако тези разходи надвишават 10 000 HUF. Преди да внесе горепосочените изменения, правителството взема предвид предложенията на Националния орган за защита на данните и свобода на информацията (NAIH), свързани с единичните разходи във връзка с разходите за копиране и предаване на данни, както и метода за изчисляване на таксите, които могат да бъдат начислявани за достъп до искания за информация. Правителството също така гарантира, че всяка информация, предоставена при искане за достъп до информация, се предоставя едновременно в централния регистър, посочен в реформа C9.R6.</w:t>
      </w:r>
    </w:p>
    <w:p w14:paraId="233F45DA" w14:textId="0EFC7AB9"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Втората подмярка гарантира, че NAIH извършва редовен преглед на спазването от страна на публичните органи на правилата за достъп до публична информация. NAIH извършва цялостни и подробни проверки на всички публични органи поне два пъти годишно, за да прецени дали те спазват съответните си изисквания за прозрачност на публичните данни и за предоставяне на достъп до данни от обществен интерес. Констатациите от тези проверки се излагат в публично достъпен подробен доклад, в който се посочват недостатъците за всеки съответен публичен орган (като се посочва най-малко броят на получените искания за достъп до публични данни, броят на жалбите, свързани със споделянето на публични данни, броят на изпълнените искания и броят на дните, необходими за тяхното изпълнение), как тези недостатъци се отстраняват и проследяват, както и препоръки за подобряване на достъпа до публични данни. Първият такъв доклад се публикува до четвъртото тримесечие на 4 2022 г., последван от последващи доклади на всеки половин година до четвъртото тримесечие на 2 2026 г.</w:t>
      </w:r>
    </w:p>
    <w:p w14:paraId="4D677DE8" w14:textId="2284B12F"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Накрая, трета подмярка улеснява достъпа до публична информация и ограничава продължителността на съдебните производства чрез въвеждане на извънредна процедура за съдебни дела, свързани с достъпа до публична информация. За тази цел в законодателен акт, в който се определя тази извънредна процедура, се определят същите процесуални стъпки и срокове като тези, които се прилагат в случаите на коригиране на печата, както е посочено в Закон CXXX от 2016 г. относно гражданските производства, с единственото изключение, че срокът за призоваване в раздел 497 (1) от Закон CXXX от 2016 г. е най-малко три работни дни. </w:t>
      </w:r>
    </w:p>
    <w:p w14:paraId="16561296"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4 2022 г.</w:t>
      </w:r>
    </w:p>
    <w:p w14:paraId="40FE3175" w14:textId="2377FD1E" w:rsidR="00CE3BAD" w:rsidRPr="00782BF9" w:rsidRDefault="00CE3BAD">
      <w:pPr>
        <w:spacing w:after="120" w:line="240" w:lineRule="auto"/>
        <w:jc w:val="both"/>
        <w:rPr>
          <w:rFonts w:ascii="Times New Roman" w:eastAsia="Times New Roman" w:hAnsi="Times New Roman" w:cs="Times New Roman"/>
          <w:noProof/>
          <w:sz w:val="24"/>
          <w:lang w:val="bg-BG"/>
        </w:rPr>
      </w:pPr>
    </w:p>
    <w:p w14:paraId="22DFAD95" w14:textId="6641C99A"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p w14:paraId="7A130491"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Тази реформа има за цел да повиши качеството и предвидимостта на законотворчеството, като гарантира системното използване на оценки на въздействието и ефективното участие на социалните партньори, заинтересованите страни и неправителствените експерти в законотворчеството. С него също така се цели създаването на рамка за системни и ефективни консултации със социалните партньори и заинтересованите страни, които са от значение за изпълнението на мерките от плана за възстановяване и устойчивост, за да се допринесе за подобряване на качеството на законодателството, намаляване на риска от грешки в политиката и засилване на надзора върху изпълнението на плана за възстановяване и устойчивост като цяло. </w:t>
      </w:r>
    </w:p>
    <w:p w14:paraId="46A32DE7"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За тази цел:</w:t>
      </w:r>
    </w:p>
    <w:p w14:paraId="7D24E13D" w14:textId="77777777"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Законодателните изменения влизат в сила, с които се въвежда по-специално задължителен минимален срок за консултации от осем дни за всички законодателни актове, приети или внесени за приемане от правителството; да въведе минимален срок от пет дни, за да може правителството да разгледа получените по време на консултацията становища, преди да финализира предложението си за законодателен акт; въвеждане на задължението правителствената служба за контрол (KEHI) ежегодно да оценява спазването от страна на правителството и министерствата на задълженията, определени в Закон CXXXI от 2010 г. относно социалното участие в законотворчеството (включително дали изключенията са надлежно обосновани); и въвеждане на задължение за правителствената служба за контрол да наложи глоба на министерството, отговарящо за изготвянето на законодателния акт, в случай на неспазване на разпоредбите на Закон CXXXI от 2010 г. относно социалното участие в законотворчеството.</w:t>
      </w:r>
    </w:p>
    <w:p w14:paraId="0AE1D7B3" w14:textId="77777777"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За да се гарантира, че горепосочените задължения се спазват ефективно на практика, и да се ограничи обхватът на изключенията от прилагането на тези правила, се гарантира, че всяка календарна година най-малко 90 % от всички правителствени постановления, министерски постановления, приети от правителството, и всички законопроекти, внесени от правителството в парламента, са предмет на обществена консултация, както и че всички обобщени оценки на въздействието, които се изисква да бъдат публикувани, се оповестяват публично. Окончателният одитен доклад с одитно становище без резерви на EUTAF потвърждава всяка от годишните цели.</w:t>
      </w:r>
    </w:p>
    <w:p w14:paraId="151CAF4B" w14:textId="77777777"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За да се осигури възможност за по-систематично и ефективно участие на социалните партньори и заинтересованите страни и експертите в законотворчеството, както и за изготвянето на оценки на въздействието за изменения на законопроекти или законопроекти, предложени от членовете и комисиите на Народното събрание, в кабинета на Народното събрание се създава допълнителен административен капацитет. Членовете или комисиите на Народното събрание имат възможност да се обърнат към кабинета на Народното събрание за изготвяне на ефективни оценки на въздействието и провеждане на ефективни консултации със заинтересованите страни относно предложените от тях законопроекти или измененията на законопроектите, които възнамеряват да внесат за разглеждане. За да се улесни качеството на оценките на въздействието, които трябва да се извършват от Службата на Народното събрание, се гарантира системното предоставяне на данни от унгарската статистическа служба за целите на тези оценки на въздействието.</w:t>
      </w:r>
    </w:p>
    <w:p w14:paraId="087D8BBE" w14:textId="77777777"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За да се улесни изготвянето на оценки на регулаторното въздействие и да се оценят по подходящ начин различните видове въздействия на законодателството, правителството приема и започва да прилага нова методология за систематична оценка на въздействието на всички законодателни предложения. Новата методика се изготвя с ефективното участие на международни организации с широко признат експертен опит в областта на оценката на регулаторното въздействие (като ОИСР) и социалните партньори и заинтересованите страни от неправителствения сектор, като надлежно се вземат предвид най-добрите практики на други държави членки и международни институции. Новата методика започва да се прилага систематично за извършване на оценки на въздействието на всички законодателни предложения от четвъртото тримесечие на 4 2023 г.</w:t>
      </w:r>
    </w:p>
    <w:p w14:paraId="5366B40A" w14:textId="77777777"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За да се гарантира ефективното и пълноценно участие на социалните партньори и заинтересованите страни в изпълнението на плана за възстановяване и устойчивост, в законодателен акт се определя ясно задължение съответните социални партньори и заинтересовани страни да бъдат консултирани по време на изпълнението на плана; изготвя обвързваща стратегия, в която се определят задачите и отговорностите за това как основните заинтересовани страни да бъдат включени в изпълнението на мерките по плана; и да създаде мониторингов комитет, натоварен с непрекъснатото наблюдение на ефективното изпълнение на плана, съставен от заинтересовани страни и социални партньори, които са от значение за изпълнението на компонентите на плана, като най-малко 50 % от членовете на мониторинговия комитет представляват организации на гражданското общество, независими от правителството и публичните органи. Членовете на мониторинговия комитет, представляващи гражданското общество, се избират чрез открит, прозрачен и недискриминационен процес на подбор въз основа на обективни критерии, свързани с експертния опит и заслугите.</w:t>
      </w:r>
    </w:p>
    <w:p w14:paraId="2615D06E" w14:textId="77777777" w:rsidR="00CE3BAD" w:rsidRPr="00782BF9" w:rsidRDefault="006B5475">
      <w:pPr>
        <w:pStyle w:val="Text1"/>
        <w:spacing w:before="0" w:after="120" w:line="240" w:lineRule="auto"/>
        <w:rPr>
          <w:noProof/>
          <w:lang w:val="bg-BG"/>
        </w:rPr>
      </w:pPr>
      <w:r w:rsidRPr="00782BF9">
        <w:rPr>
          <w:noProof/>
          <w:lang w:val="bg-BG"/>
        </w:rPr>
        <w:t>Изпълнението на реформата ще приключи до четвъртото тримесечие на 4 2023 г.</w:t>
      </w:r>
    </w:p>
    <w:p w14:paraId="4DFFADE0"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64BE578B" w14:textId="04DAC5FA"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C9.R28: Подкрепа за процеса на вземане на решения и законодателния процес, основан на данни, с оглед повишаване на ефикасността, прозрачността и намаляване на рисковете от нередности</w:t>
      </w:r>
    </w:p>
    <w:p w14:paraId="75316249"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тази реформа е да се подобри визуализирането и обясняването на последиците от законодателството за обществеността по прозрачен и обективен начин. </w:t>
      </w:r>
    </w:p>
    <w:p w14:paraId="02946EDA"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За тази цел се създават платформа за данни и инструмент за моделиране на данни, за да се гарантира свързването на базите данни — при пълно спазване на правилата за защита на данните — и да се развие капацитетът за моделиране на данните въз основа на тези данни. Освен това най-малко 200 души от персонала на ресорни министерства, правителствени институции и представители на социалните партньори, участващи в стратегическото планиране и законодателната подготвителна работа, завършват курс на обучение относно инструментите и практиките за визуализиране на данни.</w:t>
      </w:r>
    </w:p>
    <w:p w14:paraId="136D5D11"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Платформата за данни и инструментът за моделиране на данни се създават до Q2 2024, а обучението се провежда до Q1 2025.</w:t>
      </w:r>
    </w:p>
    <w:p w14:paraId="65980DAC"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1 2025 г.</w:t>
      </w:r>
    </w:p>
    <w:p w14:paraId="15516EAE"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700FD1F7" w14:textId="68F920C9"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C9.R29: Разширяване на автоматичната система за вземане на административни решения с оглед повишаване на ефикасността, прозрачността и намаляване на рисковете от нередности</w:t>
      </w:r>
    </w:p>
    <w:p w14:paraId="29F6D8E2"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Целта на реформата е да се разшири автоматичната административна система за вземане на решения с оглед повишаване на нейната ефикасност и прозрачност и намаляване на рисковете от нередности като корупция, грешки и несъответствия при вземането на решения.</w:t>
      </w:r>
    </w:p>
    <w:p w14:paraId="7DEB1C28" w14:textId="3FF00B5F"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За тази цел до четвъртото тримесечие на 2 2025 г. в автоматичната система за вземане на административни решения се въвеждат три вида нови случаи — администриране на превозни средства, транспорт и паркиране за хора с намалена подвижност и проверка на доказателствата за допустимост за получаване на държавни обезщетения и права — с напълно оперативни функции.</w:t>
      </w:r>
    </w:p>
    <w:p w14:paraId="3FA4245D" w14:textId="1BC6D89C"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2 2025 г.</w:t>
      </w:r>
    </w:p>
    <w:p w14:paraId="1713EB1D" w14:textId="77777777" w:rsidR="00CE3BAD" w:rsidRPr="00782BF9" w:rsidRDefault="00CE3BAD">
      <w:pPr>
        <w:spacing w:after="120" w:line="240" w:lineRule="auto"/>
        <w:jc w:val="both"/>
        <w:rPr>
          <w:rFonts w:eastAsia="Times New Roman" w:cs="Times New Roman"/>
          <w:noProof/>
          <w:lang w:val="bg-BG"/>
        </w:rPr>
      </w:pPr>
    </w:p>
    <w:p w14:paraId="722F7D84" w14:textId="4ECCAF90"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C9.R30: Укрепване на националната система за управление на ИТ оборудване с цел повишаване на ефективността на обществените услуги </w:t>
      </w:r>
    </w:p>
    <w:p w14:paraId="22EF23D2"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Целта на реформата е да се укрепи националната система за управление на ИТ оборудване, за да се повиши ефективността на обществените услуги.</w:t>
      </w:r>
    </w:p>
    <w:p w14:paraId="4B3DF44C"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За тази цел се създава централна система за управление на ИТ оборудването и лицензиране на софтуера. До четвъртото тримесечие на 3 000 г. тази система осигурява всеобхватен регистър и наблюдение на жизнения цикъл на ИТ оборудването, както и гъвкава и удобна за клиента централна услуга, за да се гарантира доставката, модернизирането, ремонта, промяната, бракуването, инсталирането и свързаните с това услуги за ИТ оборудване за най-малко 4 2025 публични органа в областта на здравеопазването, общественото образование и социалните грижи.</w:t>
      </w:r>
    </w:p>
    <w:p w14:paraId="22D1EC9D"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ще приключи до четвъртото тримесечие на 4 2025 г.</w:t>
      </w:r>
    </w:p>
    <w:p w14:paraId="5B83409C" w14:textId="77777777" w:rsidR="00CE3BAD" w:rsidRPr="00782BF9" w:rsidRDefault="00CE3BAD">
      <w:pPr>
        <w:spacing w:after="120" w:line="240" w:lineRule="auto"/>
        <w:jc w:val="both"/>
        <w:rPr>
          <w:rFonts w:ascii="Times New Roman" w:eastAsia="Times New Roman" w:hAnsi="Times New Roman" w:cs="Times New Roman"/>
          <w:noProof/>
          <w:sz w:val="24"/>
          <w:highlight w:val="yellow"/>
          <w:lang w:val="bg-BG"/>
        </w:rPr>
      </w:pPr>
    </w:p>
    <w:p w14:paraId="040B54B3" w14:textId="02EB0081"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C9.R31: Въвеждане на минимални изисквания по отношение на съдържанието за целите на корпоративното подоходно облагане</w:t>
      </w:r>
    </w:p>
    <w:p w14:paraId="41BD0F00"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тази реформа е да се гарантира, че дружествата няма да бъдат установени в Унгария изключително за целите на данъчното планиране и без да извършват реална икономическа дейност. Реформата ще допринесе за борбата срещу използването на дружества — пощенски кутии и фиктивни дружества, като същевременно допринася за създаването на повече работни места и по-високи държавни приходи. </w:t>
      </w:r>
    </w:p>
    <w:p w14:paraId="0CF540C7"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Реформата се състои в влизането в сила на ново законодателство, с което се установяват минимални изисквания по отношение на съдържанието за целите на корпоративното подоходно облагане и данъчните последици, в случай че изискванията не са изпълнени. Законодателството се основава на препоръките на независим международен експертен преглед.</w:t>
      </w:r>
    </w:p>
    <w:p w14:paraId="37C2DA99"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Изпълнението на реформата трябва да приключи до 31 декември 2023 г.</w:t>
      </w:r>
    </w:p>
    <w:p w14:paraId="49490449"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11364328" w14:textId="65168371"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C9.R32: Засилване на регулирането на трансферното ценообразуване</w:t>
      </w:r>
    </w:p>
    <w:p w14:paraId="69BB18D1"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Целта на тази реформа е да се противодейства на отклонението от данъчно облагане и да се подобри международната прозрачност на унгарската данъчна система чрез засилване на задълженията за докладване на данни за сделки със свързани лица за целите на трансферното ценообразуване.</w:t>
      </w:r>
    </w:p>
    <w:p w14:paraId="49B3E81C"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Реформата се състои в влизането в сила на ново законодателство, в което се определят подробни изисквания за ново докладване на данни за трансферното ценообразуване. Приложното поле на законодателните разпоредби обхваща сделките между свързани предприятия, достигащи най-малко 100 милиона унгарски форинта. Очаква се това да подобри анализа на риска на данъчната администрация и да ѝ позволи да извършва по-целенасочени одити и да се съсредоточи върху потенциалните лица, укриващи данъци. </w:t>
      </w:r>
    </w:p>
    <w:p w14:paraId="15DC6061"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Изпълнението на реформата трябва да приключи до 31 декември 2023 г.</w:t>
      </w:r>
    </w:p>
    <w:p w14:paraId="426A136C" w14:textId="77777777" w:rsidR="00CE3BAD" w:rsidRPr="00782BF9" w:rsidRDefault="00CE3BAD">
      <w:pPr>
        <w:spacing w:after="120" w:line="240" w:lineRule="auto"/>
        <w:jc w:val="both"/>
        <w:rPr>
          <w:rFonts w:ascii="Times New Roman" w:eastAsia="Times New Roman" w:hAnsi="Times New Roman" w:cs="Times New Roman"/>
          <w:noProof/>
          <w:sz w:val="24"/>
          <w:lang w:val="bg-BG"/>
        </w:rPr>
      </w:pPr>
    </w:p>
    <w:p w14:paraId="7A77FA2F" w14:textId="2570217F" w:rsidR="00CE3BAD" w:rsidRPr="00782BF9" w:rsidRDefault="006B5475">
      <w:pPr>
        <w:pStyle w:val="P68B1DB1-Normal2"/>
        <w:tabs>
          <w:tab w:val="center" w:pos="4535"/>
        </w:tabs>
        <w:spacing w:after="120" w:line="240" w:lineRule="auto"/>
        <w:jc w:val="both"/>
        <w:rPr>
          <w:rFonts w:eastAsia="Times New Roman" w:cs="Times New Roman"/>
          <w:noProof/>
          <w:lang w:val="bg-BG"/>
        </w:rPr>
      </w:pPr>
      <w:r w:rsidRPr="00782BF9">
        <w:rPr>
          <w:noProof/>
          <w:lang w:val="bg-BG"/>
        </w:rPr>
        <w:t>C9.R33: Разширяване на обхвата на правилата за неприспадане за изходящи плащания</w:t>
      </w:r>
    </w:p>
    <w:p w14:paraId="67C5E91D"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 xml:space="preserve">Целта на тази реформа е да се преодолее рискът от двойно необлагане на изходящите плащания, произтичащи от Унгария към юрисдикции с нулеви или ниски данъци, като по този начин се ограничат възможностите за агресивно данъчно планиране. </w:t>
      </w:r>
    </w:p>
    <w:p w14:paraId="2E8CEA1C"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Реформата ще разшири обхвата на правилата за неприспадане за целите на корпоративния данък в Унгария. Законодателни изменения, обхващащи най-малко следните елементи, влизат в сила:</w:t>
      </w:r>
    </w:p>
    <w:p w14:paraId="6EFDEF36" w14:textId="2EA87A2E"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всички сделки с изходящи плащания на авторски и лицензионни възнаграждения и лихви към юрисдикции, които i) са включени в списъка на ЕС на юрисдикциите, неоказващи съдействие, или ii) се считат за юрисдикции с нулеви или ниски данъци, попадат в обхвата на разширените правила за неприспадане;</w:t>
      </w:r>
    </w:p>
    <w:p w14:paraId="1ECEEFEB" w14:textId="29386345"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определят се критерии за прилагането на данъчни последици, като се вземат предвид стопанските причини за сделката и данъчното третиране на сделката; и че</w:t>
      </w:r>
    </w:p>
    <w:p w14:paraId="03D6C33F" w14:textId="00E92651"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установява се данъчна последица за намаляване на риска от агресивно данъчно планиране.</w:t>
      </w:r>
    </w:p>
    <w:p w14:paraId="610CF631"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Извършва се и независима оценка на правилата, свързани с агресивното данъчно планиране, с цялостна оценка на унгарската данъчна рамка. Въз основа на това се приемат и влизат в сила допълнителни законодателни изменения за подобряване на ефективността на мерките за борба с агресивното данъчно планиране.</w:t>
      </w:r>
    </w:p>
    <w:p w14:paraId="494D9961" w14:textId="77777777" w:rsidR="00CE3BAD" w:rsidRPr="00782BF9" w:rsidRDefault="006B5475">
      <w:pPr>
        <w:pStyle w:val="P68B1DB1-Normal4"/>
        <w:spacing w:after="120" w:line="240" w:lineRule="auto"/>
        <w:jc w:val="both"/>
        <w:rPr>
          <w:rFonts w:eastAsia="Times New Roman" w:cs="Times New Roman"/>
          <w:noProof/>
          <w:lang w:val="bg-BG"/>
        </w:rPr>
      </w:pPr>
      <w:r w:rsidRPr="00782BF9">
        <w:rPr>
          <w:noProof/>
          <w:lang w:val="bg-BG"/>
        </w:rPr>
        <w:t>Изпълнението на реформата трябва да приключи до 30 юни 2026 г.</w:t>
      </w:r>
    </w:p>
    <w:p w14:paraId="03C249F9" w14:textId="77777777" w:rsidR="00CE3BAD" w:rsidRPr="00782BF9" w:rsidRDefault="00CE3BAD">
      <w:pPr>
        <w:spacing w:after="120" w:line="240" w:lineRule="auto"/>
        <w:jc w:val="both"/>
        <w:rPr>
          <w:rFonts w:ascii="Times New Roman" w:eastAsia="Times New Roman" w:hAnsi="Times New Roman" w:cs="Times New Roman"/>
          <w:b/>
          <w:noProof/>
          <w:sz w:val="24"/>
          <w:lang w:val="bg-BG"/>
        </w:rPr>
      </w:pPr>
    </w:p>
    <w:p w14:paraId="05E42E6E" w14:textId="4BC7D9B0" w:rsidR="00CE3BAD" w:rsidRPr="00782BF9" w:rsidRDefault="006B5475">
      <w:pPr>
        <w:pStyle w:val="P68B1DB1-Normal2"/>
        <w:keepNext/>
        <w:spacing w:after="120" w:line="240" w:lineRule="auto"/>
        <w:jc w:val="both"/>
        <w:rPr>
          <w:rFonts w:eastAsia="Times New Roman" w:cs="Times New Roman"/>
          <w:noProof/>
          <w:lang w:val="bg-BG"/>
        </w:rPr>
      </w:pPr>
      <w:r w:rsidRPr="00782BF9">
        <w:rPr>
          <w:noProof/>
          <w:lang w:val="bg-BG"/>
        </w:rPr>
        <w:t>C9.R34: Цифрова трансформация на процедурите за спазване на данъчното законодателство</w:t>
      </w:r>
    </w:p>
    <w:p w14:paraId="1DD5E42A" w14:textId="77777777" w:rsidR="00CE3BAD" w:rsidRPr="00782BF9" w:rsidRDefault="006B5475">
      <w:pPr>
        <w:pStyle w:val="Text1"/>
        <w:spacing w:before="0" w:after="120" w:line="240" w:lineRule="auto"/>
        <w:rPr>
          <w:noProof/>
          <w:lang w:val="bg-BG"/>
        </w:rPr>
      </w:pPr>
      <w:r w:rsidRPr="00782BF9">
        <w:rPr>
          <w:noProof/>
          <w:lang w:val="bg-BG"/>
        </w:rPr>
        <w:t>Целта на тази реформа е да се рационализират процедурите за спазване на данъчното законодателство и да се намалят разходите за привеждане в съответствие чрез създаване на нови, лесни за ползване цифрови услуги за данъкоплатците и финансовите посредници.</w:t>
      </w:r>
    </w:p>
    <w:p w14:paraId="319EED8F" w14:textId="77777777" w:rsidR="00CE3BAD" w:rsidRPr="00782BF9" w:rsidRDefault="006B5475">
      <w:pPr>
        <w:pStyle w:val="Text1"/>
        <w:spacing w:before="0" w:after="120" w:line="240" w:lineRule="auto"/>
        <w:rPr>
          <w:noProof/>
          <w:lang w:val="bg-BG"/>
        </w:rPr>
      </w:pPr>
      <w:r w:rsidRPr="00782BF9">
        <w:rPr>
          <w:noProof/>
          <w:lang w:val="bg-BG"/>
        </w:rPr>
        <w:t>Реформата се състои в създаването на следните цифрови услуги:</w:t>
      </w:r>
    </w:p>
    <w:p w14:paraId="390C59AC" w14:textId="63CA169B"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 xml:space="preserve">„ePayroll“ (Платформа за предоставяне на данни за заетостта). Тази платформа позволява на работодателите да рационализират докладването на данни за заетостта пред администрацията; </w:t>
      </w:r>
    </w:p>
    <w:p w14:paraId="29D8E358" w14:textId="218F287E"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 xml:space="preserve">„eReceipt“. Тази услуга постепенно ще замени настоящата система на онлайн касовите апарати чрез създаването на напълно независима от платформата услуга за събиране на разписки; </w:t>
      </w:r>
    </w:p>
    <w:p w14:paraId="009661DE" w14:textId="77777777" w:rsidR="00CE3BAD" w:rsidRPr="00782BF9" w:rsidRDefault="006B5475">
      <w:pPr>
        <w:pStyle w:val="ListParagraph"/>
        <w:numPr>
          <w:ilvl w:val="0"/>
          <w:numId w:val="18"/>
        </w:numPr>
        <w:spacing w:after="120" w:line="240" w:lineRule="auto"/>
        <w:jc w:val="both"/>
        <w:rPr>
          <w:rFonts w:eastAsia="Times New Roman" w:cs="Times New Roman"/>
          <w:noProof/>
          <w:lang w:val="bg-BG"/>
        </w:rPr>
      </w:pPr>
      <w:r w:rsidRPr="00782BF9">
        <w:rPr>
          <w:noProof/>
          <w:lang w:val="bg-BG"/>
        </w:rPr>
        <w:t xml:space="preserve">„eVAT“. Това се състои в създаването на онлайн платформа за предоставяне на предварително попълнени справки-декларации за ДДС. </w:t>
      </w:r>
    </w:p>
    <w:p w14:paraId="24352C49" w14:textId="77777777" w:rsidR="00CE3BAD" w:rsidRPr="00782BF9" w:rsidRDefault="006B5475">
      <w:pPr>
        <w:pStyle w:val="Text1"/>
        <w:spacing w:before="0" w:after="120" w:line="240" w:lineRule="auto"/>
        <w:rPr>
          <w:rFonts w:eastAsiaTheme="minorHAnsi"/>
          <w:noProof/>
          <w:lang w:val="bg-BG"/>
        </w:rPr>
      </w:pPr>
      <w:r w:rsidRPr="00782BF9">
        <w:rPr>
          <w:noProof/>
          <w:lang w:val="bg-BG"/>
        </w:rPr>
        <w:t>Изпълнението на реформата трябва да приключи до 30 юни 2026 г.</w:t>
      </w:r>
    </w:p>
    <w:p w14:paraId="26F0AD8F" w14:textId="77777777" w:rsidR="00CE3BAD" w:rsidRPr="00782BF9" w:rsidRDefault="00CE3BAD">
      <w:pPr>
        <w:pStyle w:val="Text1"/>
        <w:spacing w:before="0" w:after="120" w:line="240" w:lineRule="auto"/>
        <w:rPr>
          <w:noProof/>
          <w:lang w:val="bg-BG"/>
        </w:rPr>
      </w:pPr>
    </w:p>
    <w:p w14:paraId="7A3F1F66" w14:textId="2D9948FE"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C9.R35: Опростяване на данъчната система чрез намаляване на броя на данъците</w:t>
      </w:r>
    </w:p>
    <w:p w14:paraId="62A48972"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тази реформа е да се опрости данъчната система чрез намаляване на броя на данъците и консолидиране на данъчното облагане на доходите на физическите лица.</w:t>
      </w:r>
    </w:p>
    <w:p w14:paraId="5D39C689"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Реформата се състои от следните действия:</w:t>
      </w:r>
    </w:p>
    <w:p w14:paraId="0C8253BC" w14:textId="5143C050" w:rsidR="00CE3BAD" w:rsidRPr="00782BF9" w:rsidRDefault="006B5475">
      <w:pPr>
        <w:pStyle w:val="ListParagraph"/>
        <w:numPr>
          <w:ilvl w:val="0"/>
          <w:numId w:val="19"/>
        </w:numPr>
        <w:spacing w:after="120" w:line="240" w:lineRule="auto"/>
        <w:ind w:left="360"/>
        <w:jc w:val="both"/>
        <w:rPr>
          <w:rFonts w:cs="Times New Roman"/>
          <w:noProof/>
          <w:lang w:val="bg-BG"/>
        </w:rPr>
      </w:pPr>
      <w:r w:rsidRPr="00782BF9">
        <w:rPr>
          <w:noProof/>
          <w:lang w:val="bg-BG"/>
        </w:rPr>
        <w:t>временните данъчни мерки, въведени в контекста на пандемията от COVID-19 и енергийната криза, постепенно се премахват в съответствие с датата на забрана, определена в тяхното правно основание;</w:t>
      </w:r>
    </w:p>
    <w:p w14:paraId="7ED2FE3A" w14:textId="298F3181" w:rsidR="00CE3BAD" w:rsidRPr="00782BF9" w:rsidRDefault="006B5475">
      <w:pPr>
        <w:pStyle w:val="ListParagraph"/>
        <w:numPr>
          <w:ilvl w:val="0"/>
          <w:numId w:val="19"/>
        </w:numPr>
        <w:spacing w:after="120" w:line="240" w:lineRule="auto"/>
        <w:ind w:left="360"/>
        <w:jc w:val="both"/>
        <w:rPr>
          <w:rFonts w:cs="Times New Roman"/>
          <w:noProof/>
          <w:lang w:val="bg-BG"/>
        </w:rPr>
      </w:pPr>
      <w:r w:rsidRPr="00782BF9">
        <w:rPr>
          <w:noProof/>
          <w:lang w:val="bg-BG"/>
        </w:rPr>
        <w:t>броят на данъците в Унгария се намалява с 10 % в сравнение с броя, който е в сила към 1 януари 2023 г., въз основа на препоръките на специална работна група, създадена от органите;</w:t>
      </w:r>
    </w:p>
    <w:p w14:paraId="7F6FFA57" w14:textId="4AAD9204" w:rsidR="00CE3BAD" w:rsidRPr="00782BF9" w:rsidRDefault="006B5475">
      <w:pPr>
        <w:pStyle w:val="ListParagraph"/>
        <w:numPr>
          <w:ilvl w:val="0"/>
          <w:numId w:val="19"/>
        </w:numPr>
        <w:spacing w:after="120" w:line="240" w:lineRule="auto"/>
        <w:ind w:left="360"/>
        <w:jc w:val="both"/>
        <w:rPr>
          <w:rFonts w:cs="Times New Roman"/>
          <w:noProof/>
          <w:lang w:val="bg-BG"/>
        </w:rPr>
      </w:pPr>
      <w:r w:rsidRPr="00782BF9">
        <w:rPr>
          <w:noProof/>
          <w:lang w:val="bg-BG"/>
        </w:rPr>
        <w:t xml:space="preserve">данъчното облагане на доходите на физическите лица се опростява и консолидира, за да се премахнат неефективните данъчни разходи, да се улеснят данъчните правила за данъкоплатците и да се намалят нарушаващите или неоправданите стимули. </w:t>
      </w:r>
    </w:p>
    <w:p w14:paraId="3AE8CB6A" w14:textId="77777777" w:rsidR="00CE3BAD" w:rsidRPr="00782BF9" w:rsidRDefault="006B5475">
      <w:pPr>
        <w:pStyle w:val="Text1"/>
        <w:keepNext w:val="0"/>
        <w:spacing w:before="0" w:after="120" w:line="240" w:lineRule="auto"/>
        <w:rPr>
          <w:noProof/>
          <w:lang w:val="bg-BG"/>
        </w:rPr>
      </w:pPr>
      <w:r w:rsidRPr="00782BF9">
        <w:rPr>
          <w:noProof/>
          <w:lang w:val="bg-BG"/>
        </w:rPr>
        <w:t>Изпълнението на реформата трябва да приключи до 30 юни 2024 г.</w:t>
      </w:r>
    </w:p>
    <w:p w14:paraId="436F2C4E" w14:textId="77777777" w:rsidR="00CE3BAD" w:rsidRPr="00782BF9" w:rsidRDefault="00CE3BAD">
      <w:pPr>
        <w:pStyle w:val="Text1"/>
        <w:keepNext w:val="0"/>
        <w:spacing w:before="0" w:after="120" w:line="240" w:lineRule="auto"/>
        <w:rPr>
          <w:noProof/>
          <w:lang w:val="bg-BG"/>
        </w:rPr>
      </w:pPr>
    </w:p>
    <w:p w14:paraId="412DD0E9" w14:textId="77777777" w:rsidR="00CE3BAD" w:rsidRPr="00782BF9" w:rsidRDefault="006B5475">
      <w:pPr>
        <w:pStyle w:val="P68B1DB1-Text119"/>
        <w:keepNext w:val="0"/>
        <w:spacing w:before="0" w:after="120" w:line="240" w:lineRule="auto"/>
        <w:rPr>
          <w:rFonts w:eastAsia="Times New Roman"/>
          <w:noProof/>
          <w:lang w:val="bg-BG"/>
        </w:rPr>
      </w:pPr>
      <w:r w:rsidRPr="00782BF9">
        <w:rPr>
          <w:noProof/>
          <w:lang w:val="bg-BG"/>
        </w:rPr>
        <w:t>C9.R36: Реформиране на данъка върху газопроводите за комунални услуги</w:t>
      </w:r>
    </w:p>
    <w:p w14:paraId="06717311" w14:textId="77777777" w:rsidR="00CE3BAD" w:rsidRPr="00782BF9" w:rsidRDefault="006B5475">
      <w:pPr>
        <w:pStyle w:val="Text1"/>
        <w:keepNext w:val="0"/>
        <w:spacing w:before="0" w:after="120" w:line="240" w:lineRule="auto"/>
        <w:rPr>
          <w:noProof/>
          <w:lang w:val="bg-BG"/>
        </w:rPr>
      </w:pPr>
      <w:r w:rsidRPr="00782BF9">
        <w:rPr>
          <w:noProof/>
          <w:lang w:val="bg-BG"/>
        </w:rPr>
        <w:t xml:space="preserve">Целта на тази реформа е да се опрости данъчната система, като същевременно се насърчава данъчна среда, която стимулира инвестициите в големи инфраструктурни проекти за комунални услуги.  </w:t>
      </w:r>
    </w:p>
    <w:p w14:paraId="04DC502E" w14:textId="185B6D01" w:rsidR="00CE3BAD" w:rsidRPr="00782BF9" w:rsidRDefault="006B5475">
      <w:pPr>
        <w:pStyle w:val="Text1"/>
        <w:keepNext w:val="0"/>
        <w:spacing w:before="0" w:after="120" w:line="240" w:lineRule="auto"/>
        <w:rPr>
          <w:noProof/>
          <w:lang w:val="bg-BG"/>
        </w:rPr>
      </w:pPr>
      <w:r w:rsidRPr="00782BF9">
        <w:rPr>
          <w:noProof/>
          <w:lang w:val="bg-BG"/>
        </w:rPr>
        <w:t>С реформата или се отменя Закон CLXVIII от 2012 г. за данъка върху тръбопроводите за комунални услуги, или се изменя, за да се въведе данъчно правило, позволяващо на собствениците на комунални услуги да погасяват или кредитират подробния данък, дължим по техните линии, за сумата, която инвестират в поддръжката или модернизирането на тези линии. Решението между двете възможности се взема от правителството.</w:t>
      </w:r>
    </w:p>
    <w:p w14:paraId="12FCABC9" w14:textId="77777777" w:rsidR="00CE3BAD" w:rsidRPr="00782BF9" w:rsidRDefault="006B5475">
      <w:pPr>
        <w:pStyle w:val="Text1"/>
        <w:spacing w:before="0" w:after="120" w:line="240" w:lineRule="auto"/>
        <w:rPr>
          <w:noProof/>
          <w:lang w:val="bg-BG"/>
        </w:rPr>
      </w:pPr>
      <w:r w:rsidRPr="00782BF9">
        <w:rPr>
          <w:noProof/>
          <w:lang w:val="bg-BG"/>
        </w:rPr>
        <w:t>Изпълнението на реформата трябва да приключи до 31 декември 2024 г.</w:t>
      </w:r>
    </w:p>
    <w:p w14:paraId="025704E8" w14:textId="77777777" w:rsidR="00CE3BAD" w:rsidRPr="00782BF9" w:rsidRDefault="00CE3BAD">
      <w:pPr>
        <w:pStyle w:val="Text1"/>
        <w:spacing w:before="0" w:after="120" w:line="240" w:lineRule="auto"/>
        <w:rPr>
          <w:noProof/>
          <w:lang w:val="bg-BG"/>
        </w:rPr>
      </w:pPr>
    </w:p>
    <w:p w14:paraId="5F63E550" w14:textId="71551393" w:rsidR="00CE3BAD" w:rsidRPr="00782BF9" w:rsidRDefault="006B5475">
      <w:pPr>
        <w:pStyle w:val="P68B1DB1-Normal2"/>
        <w:keepNext/>
        <w:spacing w:after="120" w:line="240" w:lineRule="auto"/>
        <w:jc w:val="both"/>
        <w:rPr>
          <w:rFonts w:eastAsia="Times New Roman" w:cs="Times New Roman"/>
          <w:noProof/>
          <w:lang w:val="bg-BG"/>
        </w:rPr>
      </w:pPr>
      <w:r w:rsidRPr="00782BF9">
        <w:rPr>
          <w:noProof/>
          <w:lang w:val="bg-BG"/>
        </w:rPr>
        <w:t>C9.R37: Интегриране на използването на комуникационни кампании и поведенчески наблюдения от страна на данъчната администрация</w:t>
      </w:r>
    </w:p>
    <w:p w14:paraId="16610E47"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Целта на тази реформа е да се насърчи доброволното спазване на данъчното законодателство и да се подобри взаимодействието между данъкоплатците и данъчната администрация с по-целенасочени и персонализирани комуникационни стратегии и използването на поведенчески идеи.</w:t>
      </w:r>
    </w:p>
    <w:p w14:paraId="246D669A" w14:textId="77777777" w:rsidR="00CE3BAD" w:rsidRPr="00782BF9" w:rsidRDefault="006B5475">
      <w:pPr>
        <w:pStyle w:val="P68B1DB1-Normal4"/>
        <w:spacing w:after="120" w:line="240" w:lineRule="auto"/>
        <w:jc w:val="both"/>
        <w:rPr>
          <w:rFonts w:cs="Times New Roman"/>
          <w:noProof/>
          <w:lang w:val="bg-BG"/>
        </w:rPr>
      </w:pPr>
      <w:r w:rsidRPr="00782BF9">
        <w:rPr>
          <w:noProof/>
          <w:lang w:val="bg-BG"/>
        </w:rPr>
        <w:t>Реформата се състои от следните действия:</w:t>
      </w:r>
    </w:p>
    <w:p w14:paraId="1405ED40" w14:textId="45251F1F" w:rsidR="00CE3BAD" w:rsidRPr="00782BF9" w:rsidRDefault="006B5475">
      <w:pPr>
        <w:pStyle w:val="ListParagraph"/>
        <w:numPr>
          <w:ilvl w:val="0"/>
          <w:numId w:val="19"/>
        </w:numPr>
        <w:spacing w:after="120" w:line="240" w:lineRule="auto"/>
        <w:ind w:left="360"/>
        <w:jc w:val="both"/>
        <w:rPr>
          <w:rFonts w:cs="Times New Roman"/>
          <w:noProof/>
          <w:lang w:val="bg-BG"/>
        </w:rPr>
      </w:pPr>
      <w:r w:rsidRPr="00782BF9">
        <w:rPr>
          <w:noProof/>
          <w:lang w:val="bg-BG"/>
        </w:rPr>
        <w:t xml:space="preserve">Насоките „стъпка по стъпка“ се публикуват на цифровите платформи на Националния орган за събиране на данъци (NTCA) с цел подпомагане и информиране на данъкоплатците по конкретни теми, свързани с техните данъчни права и задължения; </w:t>
      </w:r>
    </w:p>
    <w:p w14:paraId="426B78C8" w14:textId="1DE8D0E0" w:rsidR="00CE3BAD" w:rsidRPr="00782BF9" w:rsidRDefault="006B5475">
      <w:pPr>
        <w:pStyle w:val="ListParagraph"/>
        <w:numPr>
          <w:ilvl w:val="0"/>
          <w:numId w:val="19"/>
        </w:numPr>
        <w:spacing w:after="120" w:line="240" w:lineRule="auto"/>
        <w:ind w:left="360"/>
        <w:jc w:val="both"/>
        <w:rPr>
          <w:rFonts w:cs="Times New Roman"/>
          <w:noProof/>
          <w:lang w:val="bg-BG"/>
        </w:rPr>
      </w:pPr>
      <w:r w:rsidRPr="00782BF9">
        <w:rPr>
          <w:noProof/>
          <w:lang w:val="bg-BG"/>
        </w:rPr>
        <w:t>NTCA изготвя доклад за това как поведенческите наблюдения могат да подобрят ефективността на данъчната администрация. Въз основа на това се осъществяват най-малко три нови пилотни проекта BI в сътрудничество между NTCA и Министерството на финансите;</w:t>
      </w:r>
    </w:p>
    <w:p w14:paraId="300563E7" w14:textId="2139CD06" w:rsidR="00CE3BAD" w:rsidRPr="00782BF9" w:rsidRDefault="006B5475">
      <w:pPr>
        <w:pStyle w:val="ListParagraph"/>
        <w:numPr>
          <w:ilvl w:val="0"/>
          <w:numId w:val="19"/>
        </w:numPr>
        <w:spacing w:after="120" w:line="240" w:lineRule="auto"/>
        <w:ind w:left="360"/>
        <w:jc w:val="both"/>
        <w:rPr>
          <w:rFonts w:cs="Times New Roman"/>
          <w:noProof/>
          <w:lang w:val="bg-BG"/>
        </w:rPr>
      </w:pPr>
      <w:r w:rsidRPr="00782BF9">
        <w:rPr>
          <w:noProof/>
          <w:lang w:val="bg-BG"/>
        </w:rPr>
        <w:t>различните ИТ платформи на NTCA се консолидират в централизирана платформа с един канал и най-малко три нови функционалности стават оперативни и достъпни за потребителите на платформата.</w:t>
      </w:r>
    </w:p>
    <w:p w14:paraId="59D66730" w14:textId="77777777" w:rsidR="00CE3BAD" w:rsidRPr="00782BF9" w:rsidRDefault="006B5475">
      <w:pPr>
        <w:pStyle w:val="Text1"/>
        <w:spacing w:before="0" w:after="120" w:line="240" w:lineRule="auto"/>
        <w:rPr>
          <w:noProof/>
          <w:lang w:val="bg-BG"/>
        </w:rPr>
      </w:pPr>
      <w:r w:rsidRPr="00782BF9">
        <w:rPr>
          <w:noProof/>
          <w:lang w:val="bg-BG"/>
        </w:rPr>
        <w:t>Изпълнението на реформата трябва да приключи до 30 септември 2025 г.</w:t>
      </w:r>
    </w:p>
    <w:p w14:paraId="11418737" w14:textId="77777777" w:rsidR="00CE3BAD" w:rsidRPr="00782BF9" w:rsidRDefault="00CE3BAD">
      <w:pPr>
        <w:pStyle w:val="Text1"/>
        <w:spacing w:before="0" w:after="120" w:line="240" w:lineRule="auto"/>
        <w:rPr>
          <w:noProof/>
          <w:lang w:val="bg-BG"/>
        </w:rPr>
      </w:pPr>
    </w:p>
    <w:p w14:paraId="19ECF63D" w14:textId="03D6FFCC" w:rsidR="00CE3BAD" w:rsidRPr="00782BF9" w:rsidRDefault="006B5475">
      <w:pPr>
        <w:pStyle w:val="P68B1DB1-Normal2"/>
        <w:spacing w:after="120" w:line="240" w:lineRule="auto"/>
        <w:jc w:val="both"/>
        <w:rPr>
          <w:rFonts w:eastAsia="Times New Roman" w:cs="Times New Roman"/>
          <w:noProof/>
          <w:lang w:val="bg-BG"/>
        </w:rPr>
      </w:pPr>
      <w:r w:rsidRPr="00782BF9">
        <w:rPr>
          <w:noProof/>
          <w:lang w:val="bg-BG"/>
        </w:rPr>
        <w:t xml:space="preserve">C9R38: Подобряване на ефективността на публичните разходи чрез извършване на прегледи на разходите </w:t>
      </w:r>
    </w:p>
    <w:p w14:paraId="32AF50E9" w14:textId="77777777" w:rsidR="00CE3BAD" w:rsidRPr="00782BF9" w:rsidRDefault="006B5475">
      <w:pPr>
        <w:pStyle w:val="Text1"/>
        <w:spacing w:before="0" w:after="120" w:line="240" w:lineRule="auto"/>
        <w:rPr>
          <w:noProof/>
          <w:lang w:val="bg-BG"/>
        </w:rPr>
      </w:pPr>
      <w:r w:rsidRPr="00782BF9">
        <w:rPr>
          <w:noProof/>
          <w:lang w:val="bg-BG"/>
        </w:rPr>
        <w:t xml:space="preserve">Целта на тази реформа е да се оцени и подобри ефикасността на публичните разходи с оглед повишаване на средносрочната устойчивост на публичните финанси и държавния дълг и засилване на икономическия растеж.  </w:t>
      </w:r>
    </w:p>
    <w:p w14:paraId="0ABFD0D1" w14:textId="77777777" w:rsidR="00CE3BAD" w:rsidRPr="00782BF9" w:rsidRDefault="006B5475">
      <w:pPr>
        <w:pStyle w:val="Text1"/>
        <w:spacing w:before="0" w:after="120" w:line="240" w:lineRule="auto"/>
        <w:rPr>
          <w:noProof/>
          <w:lang w:val="bg-BG"/>
        </w:rPr>
      </w:pPr>
      <w:r w:rsidRPr="00782BF9">
        <w:rPr>
          <w:noProof/>
          <w:lang w:val="bg-BG"/>
        </w:rPr>
        <w:t xml:space="preserve">Реформата въвежда редовен преглед на разходите в избрани приоритетни области на публичните разходи от 2023 г. нататък въз основа на средносрочен работен план. През 2023 г. и 2024 г. се извършват четири прегледа на разходите, които обхващат общо най-малко 20 % от разходите на сектор „Държавно управление“. </w:t>
      </w:r>
    </w:p>
    <w:p w14:paraId="7BBA910D" w14:textId="77777777" w:rsidR="00CE3BAD" w:rsidRPr="00782BF9" w:rsidRDefault="006B5475">
      <w:pPr>
        <w:pStyle w:val="Text1"/>
        <w:spacing w:before="0" w:after="120" w:line="240" w:lineRule="auto"/>
        <w:rPr>
          <w:noProof/>
          <w:lang w:val="bg-BG"/>
        </w:rPr>
      </w:pPr>
      <w:r w:rsidRPr="00782BF9">
        <w:rPr>
          <w:noProof/>
          <w:lang w:val="bg-BG"/>
        </w:rPr>
        <w:t xml:space="preserve">Правителството публикува два специални доклада съответно през 2024 г. и 2025 г., за да представи конкретните резултати от прегледите по отношение на потенциалните икономии и повишаването на ефективността, както е отразено по-специално в бюджетното планиране (т.е. в годишните бюджети и средносрочните бюджетни планове). В заключителния доклад се предоставят общи доказателства за резултатите от прегледите на разходите. </w:t>
      </w:r>
    </w:p>
    <w:p w14:paraId="3F5BA997" w14:textId="77777777" w:rsidR="00CE3BAD" w:rsidRPr="00782BF9" w:rsidRDefault="006B5475">
      <w:pPr>
        <w:pStyle w:val="Text1"/>
        <w:spacing w:before="0" w:after="120" w:line="240" w:lineRule="auto"/>
        <w:rPr>
          <w:noProof/>
          <w:lang w:val="bg-BG"/>
        </w:rPr>
      </w:pPr>
      <w:r w:rsidRPr="00782BF9">
        <w:rPr>
          <w:noProof/>
          <w:lang w:val="bg-BG"/>
        </w:rPr>
        <w:t>Изпълнението на реформата трябва да приключи до 31 декември 2025 г.</w:t>
      </w:r>
    </w:p>
    <w:p w14:paraId="10118BC0" w14:textId="5223BD33" w:rsidR="00CE3BAD" w:rsidRPr="00782BF9" w:rsidRDefault="00CE3BAD">
      <w:pPr>
        <w:keepNext/>
        <w:spacing w:before="40" w:after="0" w:line="259" w:lineRule="auto"/>
        <w:jc w:val="both"/>
        <w:rPr>
          <w:rFonts w:ascii="Times New Roman" w:eastAsia="Times New Roman" w:hAnsi="Times New Roman" w:cs="Times New Roman"/>
          <w:noProof/>
          <w:sz w:val="24"/>
          <w:lang w:val="bg-BG"/>
        </w:rPr>
      </w:pPr>
    </w:p>
    <w:p w14:paraId="446689A5" w14:textId="77777777" w:rsidR="00CE3BAD" w:rsidRPr="00782BF9" w:rsidRDefault="00CE3BAD">
      <w:pPr>
        <w:spacing w:before="100" w:beforeAutospacing="1" w:after="100" w:afterAutospacing="1"/>
        <w:ind w:left="135"/>
        <w:jc w:val="both"/>
        <w:textAlignment w:val="baseline"/>
        <w:rPr>
          <w:rFonts w:ascii="Times New Roman" w:eastAsia="Times New Roman" w:hAnsi="Times New Roman" w:cs="Times New Roman"/>
          <w:noProof/>
          <w:sz w:val="24"/>
          <w:lang w:val="bg-BG"/>
        </w:rPr>
      </w:pPr>
    </w:p>
    <w:p w14:paraId="2CBB5F74" w14:textId="77777777" w:rsidR="00CE3BAD" w:rsidRPr="00782BF9" w:rsidRDefault="006B5475">
      <w:pPr>
        <w:rPr>
          <w:rFonts w:ascii="Times New Roman" w:hAnsi="Times New Roman" w:cs="Times New Roman"/>
          <w:noProof/>
          <w:sz w:val="24"/>
          <w:lang w:val="bg-BG"/>
        </w:rPr>
      </w:pPr>
      <w:r w:rsidRPr="00782BF9">
        <w:rPr>
          <w:noProof/>
          <w:lang w:val="bg-BG"/>
        </w:rPr>
        <w:br w:type="page"/>
      </w:r>
    </w:p>
    <w:p w14:paraId="2B49A475" w14:textId="77777777" w:rsidR="00CE3BAD" w:rsidRPr="00782BF9" w:rsidRDefault="00CE3BAD">
      <w:pPr>
        <w:spacing w:before="100" w:beforeAutospacing="1" w:after="100" w:afterAutospacing="1"/>
        <w:jc w:val="both"/>
        <w:textAlignment w:val="baseline"/>
        <w:rPr>
          <w:rFonts w:ascii="Times New Roman" w:eastAsia="Times New Roman" w:hAnsi="Times New Roman" w:cs="Times New Roman"/>
          <w:b/>
          <w:noProof/>
          <w:sz w:val="24"/>
          <w:u w:val="single"/>
          <w:lang w:val="bg-BG"/>
        </w:rPr>
        <w:sectPr w:rsidR="00CE3BAD" w:rsidRPr="00782BF9" w:rsidSect="005105E0">
          <w:headerReference w:type="even" r:id="rId129"/>
          <w:headerReference w:type="default" r:id="rId130"/>
          <w:footerReference w:type="even" r:id="rId131"/>
          <w:footerReference w:type="default" r:id="rId132"/>
          <w:headerReference w:type="first" r:id="rId133"/>
          <w:footerReference w:type="first" r:id="rId134"/>
          <w:pgSz w:w="12240" w:h="15840"/>
          <w:pgMar w:top="1418" w:right="1418" w:bottom="1418" w:left="1418" w:header="709" w:footer="709" w:gutter="0"/>
          <w:cols w:space="708"/>
          <w:docGrid w:linePitch="326"/>
        </w:sectPr>
      </w:pPr>
    </w:p>
    <w:p w14:paraId="4336E2A3" w14:textId="73AEDDB0" w:rsidR="00CE3BAD" w:rsidRPr="00782BF9" w:rsidRDefault="00594986">
      <w:pPr>
        <w:pStyle w:val="Heading2"/>
        <w:rPr>
          <w:noProof/>
          <w:lang w:val="bg-BG"/>
        </w:rPr>
      </w:pPr>
      <w:r w:rsidRPr="00782BF9">
        <w:rPr>
          <w:noProof/>
          <w:lang w:val="bg-BG"/>
        </w:rPr>
        <w:t>И.2. Ключови етапи, цели, показатели и график за мониторинг и изпълнение на безвъзмездната финансова подкрепа </w:t>
      </w:r>
    </w:p>
    <w:p w14:paraId="137D0EB9" w14:textId="77777777" w:rsidR="00CE3BAD" w:rsidRPr="00782BF9" w:rsidRDefault="00CE3BAD">
      <w:pPr>
        <w:rPr>
          <w:noProof/>
          <w:lang w:val="bg-BG"/>
        </w:rPr>
      </w:pPr>
    </w:p>
    <w:tbl>
      <w:tblPr>
        <w:tblW w:w="1492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
        <w:gridCol w:w="800"/>
        <w:gridCol w:w="1493"/>
        <w:gridCol w:w="883"/>
        <w:gridCol w:w="1417"/>
        <w:gridCol w:w="1276"/>
        <w:gridCol w:w="1134"/>
        <w:gridCol w:w="851"/>
        <w:gridCol w:w="850"/>
        <w:gridCol w:w="709"/>
        <w:gridCol w:w="709"/>
        <w:gridCol w:w="4793"/>
      </w:tblGrid>
      <w:tr w:rsidR="00CE3BAD" w:rsidRPr="00782BF9" w14:paraId="3B31CC9D" w14:textId="77777777">
        <w:trPr>
          <w:trHeight w:val="458"/>
          <w:tblHeader/>
        </w:trPr>
        <w:tc>
          <w:tcPr>
            <w:tcW w:w="807" w:type="dxa"/>
            <w:gridSpan w:val="2"/>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A161A8" w14:textId="085989F2"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Следващи Брой</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2C26B9" w14:textId="77777777"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Свързана мярка (реформа или инвестиции)</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D665FD" w14:textId="0DEAE5DB"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Ключов етап/Цел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139280" w14:textId="77777777"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Име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E7E814" w14:textId="77777777" w:rsidR="00CE3BAD" w:rsidRPr="00782BF9" w:rsidRDefault="006B5475">
            <w:pPr>
              <w:pStyle w:val="P68B1DB1-Normal10"/>
              <w:spacing w:after="0" w:line="240" w:lineRule="auto"/>
              <w:ind w:left="52"/>
              <w:jc w:val="center"/>
              <w:textAlignment w:val="baseline"/>
              <w:rPr>
                <w:rFonts w:eastAsia="Times New Roman"/>
                <w:b/>
                <w:noProof/>
                <w:lang w:val="bg-BG"/>
              </w:rPr>
            </w:pPr>
            <w:r w:rsidRPr="00782BF9">
              <w:rPr>
                <w:b/>
                <w:noProof/>
                <w:lang w:val="bg-BG"/>
              </w:rPr>
              <w:t>Качествени индикатори</w:t>
            </w:r>
            <w:r w:rsidRPr="00782BF9">
              <w:rPr>
                <w:noProof/>
                <w:lang w:val="bg-BG"/>
              </w:rPr>
              <w:t xml:space="preserve"> </w:t>
            </w:r>
            <w:r w:rsidRPr="00782BF9">
              <w:rPr>
                <w:noProof/>
                <w:lang w:val="bg-BG"/>
              </w:rPr>
              <w:br/>
            </w:r>
            <w:r w:rsidRPr="00782BF9">
              <w:rPr>
                <w:b/>
                <w:noProof/>
                <w:lang w:val="bg-BG"/>
              </w:rPr>
              <w:t>(за ключовите етапи)</w:t>
            </w:r>
          </w:p>
        </w:tc>
        <w:tc>
          <w:tcPr>
            <w:tcW w:w="2835"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0DBF2E38" w14:textId="77777777" w:rsidR="00CE3BAD" w:rsidRPr="00782BF9" w:rsidRDefault="006B5475">
            <w:pPr>
              <w:pStyle w:val="P68B1DB1-Normal10"/>
              <w:spacing w:after="0" w:line="240" w:lineRule="auto"/>
              <w:ind w:left="52"/>
              <w:jc w:val="center"/>
              <w:textAlignment w:val="baseline"/>
              <w:rPr>
                <w:rFonts w:eastAsia="Times New Roman"/>
                <w:b/>
                <w:noProof/>
                <w:lang w:val="bg-BG"/>
              </w:rPr>
            </w:pPr>
            <w:r w:rsidRPr="00782BF9">
              <w:rPr>
                <w:b/>
                <w:noProof/>
                <w:lang w:val="bg-BG"/>
              </w:rPr>
              <w:t>Количествени индикатори</w:t>
            </w:r>
            <w:r w:rsidRPr="00782BF9">
              <w:rPr>
                <w:noProof/>
                <w:lang w:val="bg-BG"/>
              </w:rPr>
              <w:t xml:space="preserve"> </w:t>
            </w:r>
            <w:r w:rsidRPr="00782BF9">
              <w:rPr>
                <w:noProof/>
                <w:lang w:val="bg-BG"/>
              </w:rPr>
              <w:br/>
            </w:r>
            <w:r w:rsidRPr="00782BF9">
              <w:rPr>
                <w:b/>
                <w:noProof/>
                <w:lang w:val="bg-BG"/>
              </w:rPr>
              <w:t>(за целите)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7A5CE3D8" w14:textId="442203A0"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Примерен график за приключване  </w:t>
            </w:r>
          </w:p>
        </w:tc>
        <w:tc>
          <w:tcPr>
            <w:tcW w:w="47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89DDCF0" w14:textId="355CEAE1"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Описание на всеки ключов етап и цел</w:t>
            </w:r>
          </w:p>
        </w:tc>
      </w:tr>
      <w:tr w:rsidR="00CE3BAD" w:rsidRPr="00782BF9" w14:paraId="033AAD72" w14:textId="77777777">
        <w:trPr>
          <w:trHeight w:val="504"/>
          <w:tblHeader/>
        </w:trPr>
        <w:tc>
          <w:tcPr>
            <w:tcW w:w="807" w:type="dxa"/>
            <w:gridSpan w:val="2"/>
            <w:vMerge/>
            <w:tcBorders>
              <w:top w:val="single" w:sz="4" w:space="0" w:color="auto"/>
              <w:left w:val="single" w:sz="4" w:space="0" w:color="auto"/>
              <w:bottom w:val="single" w:sz="4" w:space="0" w:color="auto"/>
              <w:right w:val="single" w:sz="4" w:space="0" w:color="auto"/>
            </w:tcBorders>
            <w:vAlign w:val="center"/>
            <w:hideMark/>
          </w:tcPr>
          <w:p w14:paraId="00836C52" w14:textId="77777777" w:rsidR="00CE3BAD" w:rsidRPr="00782BF9" w:rsidRDefault="00CE3BAD">
            <w:pPr>
              <w:spacing w:after="0"/>
              <w:jc w:val="center"/>
              <w:rPr>
                <w:rFonts w:ascii="Times New Roman" w:eastAsia="Times New Roman" w:hAnsi="Times New Roman" w:cs="Times New Roman"/>
                <w:noProof/>
                <w:sz w:val="18"/>
                <w:lang w:val="bg-BG"/>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4CDF2BA1" w14:textId="77777777" w:rsidR="00CE3BAD" w:rsidRPr="00782BF9" w:rsidRDefault="00CE3BAD">
            <w:pPr>
              <w:spacing w:after="0"/>
              <w:jc w:val="center"/>
              <w:rPr>
                <w:rFonts w:ascii="Times New Roman" w:eastAsia="Times New Roman" w:hAnsi="Times New Roman" w:cs="Times New Roman"/>
                <w:noProof/>
                <w:sz w:val="18"/>
                <w:lang w:val="bg-BG"/>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28998EEA" w14:textId="77777777" w:rsidR="00CE3BAD" w:rsidRPr="00782BF9" w:rsidRDefault="00CE3BAD">
            <w:pPr>
              <w:spacing w:after="0"/>
              <w:jc w:val="center"/>
              <w:rPr>
                <w:rFonts w:ascii="Times New Roman" w:eastAsia="Times New Roman" w:hAnsi="Times New Roman" w:cs="Times New Roman"/>
                <w:noProof/>
                <w:sz w:val="18"/>
                <w:lang w:val="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0C7AA1" w14:textId="77777777" w:rsidR="00CE3BAD" w:rsidRPr="00782BF9" w:rsidRDefault="00CE3BAD">
            <w:pPr>
              <w:spacing w:after="0"/>
              <w:jc w:val="center"/>
              <w:rPr>
                <w:rFonts w:ascii="Times New Roman" w:eastAsia="Times New Roman" w:hAnsi="Times New Roman" w:cs="Times New Roman"/>
                <w:noProof/>
                <w:sz w:val="18"/>
                <w:lang w:val="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C9413D" w14:textId="77777777" w:rsidR="00CE3BAD" w:rsidRPr="00782BF9" w:rsidRDefault="00CE3BAD">
            <w:pPr>
              <w:spacing w:after="0"/>
              <w:jc w:val="center"/>
              <w:rPr>
                <w:rFonts w:ascii="Times New Roman" w:eastAsia="Times New Roman" w:hAnsi="Times New Roman" w:cs="Times New Roman"/>
                <w:noProof/>
                <w:sz w:val="18"/>
                <w:lang w:val="bg-BG"/>
              </w:rPr>
            </w:pPr>
          </w:p>
        </w:tc>
        <w:tc>
          <w:tcPr>
            <w:tcW w:w="1134"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ED89755" w14:textId="77777777"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Единица мярка</w:t>
            </w:r>
          </w:p>
        </w:tc>
        <w:tc>
          <w:tcPr>
            <w:tcW w:w="851"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6324703" w14:textId="77777777"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Базова линия</w:t>
            </w:r>
          </w:p>
        </w:tc>
        <w:tc>
          <w:tcPr>
            <w:tcW w:w="85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1DAFB3B" w14:textId="77777777"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Цел</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8E4E8A9" w14:textId="77777777"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Тримесечие</w:t>
            </w:r>
          </w:p>
        </w:tc>
        <w:tc>
          <w:tcPr>
            <w:tcW w:w="7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00BEA0B2" w14:textId="77777777" w:rsidR="00CE3BAD" w:rsidRPr="00782BF9" w:rsidRDefault="006B5475">
            <w:pPr>
              <w:pStyle w:val="P68B1DB1-Normal9"/>
              <w:spacing w:after="0" w:line="240" w:lineRule="auto"/>
              <w:ind w:left="52"/>
              <w:jc w:val="center"/>
              <w:textAlignment w:val="baseline"/>
              <w:rPr>
                <w:rFonts w:eastAsia="Times New Roman"/>
                <w:noProof/>
                <w:lang w:val="bg-BG"/>
              </w:rPr>
            </w:pPr>
            <w:r w:rsidRPr="00782BF9">
              <w:rPr>
                <w:noProof/>
                <w:lang w:val="bg-BG"/>
              </w:rPr>
              <w:t>Година</w:t>
            </w:r>
          </w:p>
        </w:tc>
        <w:tc>
          <w:tcPr>
            <w:tcW w:w="4793" w:type="dxa"/>
            <w:vMerge/>
            <w:tcBorders>
              <w:top w:val="single" w:sz="4" w:space="0" w:color="auto"/>
              <w:left w:val="single" w:sz="4" w:space="0" w:color="auto"/>
              <w:bottom w:val="single" w:sz="4" w:space="0" w:color="auto"/>
              <w:right w:val="single" w:sz="4" w:space="0" w:color="auto"/>
            </w:tcBorders>
            <w:vAlign w:val="center"/>
            <w:hideMark/>
          </w:tcPr>
          <w:p w14:paraId="2C278589" w14:textId="77777777" w:rsidR="00CE3BAD" w:rsidRPr="00782BF9" w:rsidRDefault="00CE3BAD">
            <w:pPr>
              <w:spacing w:after="0"/>
              <w:rPr>
                <w:rFonts w:ascii="Times New Roman" w:eastAsia="Times New Roman" w:hAnsi="Times New Roman" w:cs="Times New Roman"/>
                <w:noProof/>
                <w:sz w:val="18"/>
                <w:lang w:val="bg-BG"/>
              </w:rPr>
            </w:pPr>
          </w:p>
        </w:tc>
      </w:tr>
      <w:tr w:rsidR="00CE3BAD" w:rsidRPr="00782BF9" w14:paraId="345ECEEB" w14:textId="77777777">
        <w:trPr>
          <w:trHeight w:val="121"/>
        </w:trPr>
        <w:tc>
          <w:tcPr>
            <w:tcW w:w="807" w:type="dxa"/>
            <w:gridSpan w:val="2"/>
            <w:tcBorders>
              <w:top w:val="single" w:sz="4" w:space="0" w:color="auto"/>
              <w:left w:val="single" w:sz="4" w:space="0" w:color="auto"/>
              <w:bottom w:val="single" w:sz="4" w:space="0" w:color="auto"/>
              <w:right w:val="single" w:sz="4" w:space="0" w:color="auto"/>
            </w:tcBorders>
            <w:shd w:val="clear" w:color="auto" w:fill="C6EFCE"/>
            <w:vAlign w:val="center"/>
          </w:tcPr>
          <w:p w14:paraId="7D1C90C4" w14:textId="312FB56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160</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4BEAA70E" w14:textId="16EE8567" w:rsidR="00CE3BAD" w:rsidRPr="00782BF9" w:rsidRDefault="006B5475">
            <w:pPr>
              <w:pStyle w:val="P68B1DB1-Normal10"/>
              <w:spacing w:after="0" w:line="240" w:lineRule="auto"/>
              <w:ind w:left="52"/>
              <w:rPr>
                <w:rFonts w:eastAsia="Times New Roman"/>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883" w:type="dxa"/>
            <w:tcBorders>
              <w:top w:val="single" w:sz="4" w:space="0" w:color="auto"/>
              <w:left w:val="single" w:sz="4" w:space="0" w:color="auto"/>
              <w:bottom w:val="single" w:sz="4" w:space="0" w:color="auto"/>
              <w:right w:val="single" w:sz="4" w:space="0" w:color="auto"/>
            </w:tcBorders>
            <w:shd w:val="clear" w:color="auto" w:fill="C6EFCE"/>
            <w:vAlign w:val="center"/>
          </w:tcPr>
          <w:p w14:paraId="04178FF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tcBorders>
              <w:top w:val="single" w:sz="4" w:space="0" w:color="auto"/>
              <w:left w:val="single" w:sz="4" w:space="0" w:color="auto"/>
              <w:bottom w:val="single" w:sz="4" w:space="0" w:color="auto"/>
              <w:right w:val="single" w:sz="4" w:space="0" w:color="auto"/>
            </w:tcBorders>
            <w:shd w:val="clear" w:color="auto" w:fill="C6EFCE"/>
            <w:vAlign w:val="center"/>
          </w:tcPr>
          <w:p w14:paraId="16FBB6D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Създаване на орган по интегритета</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1A1954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Начало на дейността на Органа по интегритета</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EE93384" w14:textId="77777777" w:rsidR="00CE3BAD" w:rsidRPr="00782BF9" w:rsidRDefault="00CE3BAD">
            <w:pPr>
              <w:spacing w:after="0" w:line="240" w:lineRule="auto"/>
              <w:rPr>
                <w:rFonts w:eastAsia="Times New Roman"/>
                <w:noProof/>
                <w:sz w:val="18"/>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136A1D8E" w14:textId="77777777" w:rsidR="00CE3BAD" w:rsidRPr="00782BF9" w:rsidRDefault="00CE3BAD">
            <w:pPr>
              <w:spacing w:after="0" w:line="240" w:lineRule="auto"/>
              <w:jc w:val="center"/>
              <w:rPr>
                <w:rFonts w:eastAsia="Times New Roman"/>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68FC98D1" w14:textId="77777777" w:rsidR="00CE3BAD" w:rsidRPr="00782BF9" w:rsidRDefault="00CE3BAD">
            <w:pPr>
              <w:spacing w:after="0" w:line="240" w:lineRule="auto"/>
              <w:jc w:val="center"/>
              <w:rPr>
                <w:rFonts w:eastAsia="Times New Roman"/>
                <w:noProof/>
                <w:sz w:val="18"/>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3D7F67A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5BB8A126"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tcBorders>
              <w:top w:val="single" w:sz="4" w:space="0" w:color="auto"/>
              <w:left w:val="single" w:sz="4" w:space="0" w:color="auto"/>
              <w:bottom w:val="single" w:sz="4" w:space="0" w:color="auto"/>
              <w:right w:val="single" w:sz="4" w:space="0" w:color="auto"/>
            </w:tcBorders>
            <w:shd w:val="clear" w:color="auto" w:fill="C6EFCE"/>
            <w:vAlign w:val="center"/>
          </w:tcPr>
          <w:p w14:paraId="550B1814" w14:textId="2C92C1C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Създаване и пускане в действие, преди подаването на първото искане за плащане съгласно плана за възстановяване и устойчивост,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във връзка с изпълнението на подкрепата от Съюза в Унгария.</w:t>
            </w:r>
          </w:p>
          <w:p w14:paraId="25A798F9" w14:textId="17EBA50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Гарантира се пълната независимост на Органа по интегритета. Органът се намесва във всички случаи, в които според него компетентните органи не са предприели необходимите мерки за предотвратяване, разкриване и коригиране на измами, конфликти на интереси, корупция и други нередности или нередности, които могат да засегнат или сериозно да застрашат доброто финансово управление на бюджета на Европейския съюз или защитата на финансовите интереси на Европейския съюз. Органът по интегритета е наистина независима институция. Органът по интегритета и неговите служители не търсят, нито приемат инструкции от никое друго лице или институция. Органът по интегритета получава годишен бюджет, който е съизмерим с неговите задачи и отговорности, и отговаря за управлението на собствения си бюджет без външна намеса (като отделна глава от държавния бюджет).</w:t>
            </w:r>
          </w:p>
          <w:p w14:paraId="29A45CE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Бюджетните средства, които са на разположение на Органа по интегритета, не се намаляват през финансовата година без съгласието на Органа по интегритета.</w:t>
            </w:r>
          </w:p>
          <w:p w14:paraId="218CD898" w14:textId="4D9B0B1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Работата на Органа по интегритета се организира и управлява от съвет, съставен от председател и двама заместник-председатели. Тримата членове на управителния съвет се назначават от президента на Унгария по предложение на председателя на Държавната сметна палата за шестгодишен мандат, който не подлежи на подновяване, без да е необходимо приподписване от който и да е член на правителството въз основа на техните професионални качества, квалификации, богат и безспорен опит и репутация (включително в международен план) по правни и финансови въпроси, свързани с обществените поръчки и борбата с корупцията, както и тяхната доказана компетентност в тези области. Членовете на комисията се избират след открита покана за изразяване на интерес въз основа на обвързващо становище относно изпълнението на условията за допустимост на кандидатите от комитет за допустимост, създаден за тази цел. Комитетът за допустимост се свиква от генералния директор на EUTAF след открита покана за изразяване на интерес. Той се състои от три независими лица с опит от признати международни институции, които имат достатъчно дълъг, проверим и подходящ опит в областта на обществените поръчки и/или антикорупционните дейности. Членовете на Комитета за допустимост не трябва да имат през последните пет години: са заемали изборна политическа длъжност или политическа длъжност в правителството, били са наети от политическа партия или политическа фондация или са извършвали доброволческа или платена дейност за такива субекти. Правилата относно конфликтите на интереси в съответствие с принципите, определени в член 61 от Регламент (ЕС, Евратом) 2018/1046, се прилагат за членовете на комитета по допустимост в продължение на пет години след издаването на обвързващото становище. Членовете на Комитета за допустимост публикуват своите декларации за интереси и активи и декларират, че не са в конфликт на интереси, преди да започнат работата си в Комитета за допустимост.</w:t>
            </w:r>
          </w:p>
          <w:p w14:paraId="335E0E6B" w14:textId="57808C0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През последните пет години членовете на управителния съвет нямат: са заемали изборна политическа длъжност или политическа длъжност в правителството, били са наети от политическа партия или политическа фондация или са извършвали доброволческа или платена дейност за такива субекти. Освен това по време на мандата си членовете на съвета не извършват дейности срещу възнаграждение за Органа по интегритета (с изключение на академичната дейност и свързаните с нея публикации), нямат контролен дял в стопански субект, не са членове на политическа партия или политическа фондация. Член на управителния съвет се освобождава от длъжност само в случай на конфликт на интереси след назначаването му или в случай че срещу него е постановена окончателна наказателна присъда по въпроси, които са свързани с работата на Органа по интегритета или засягат независимостта и безпристрастността на съответния член.</w:t>
            </w:r>
          </w:p>
          <w:p w14:paraId="3A5BF87C" w14:textId="4E7A9A1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Председателят на Органа по интегритета действа и като член ex officio на Съвета по обществени поръчки и като председател на работната група за борба с корупцията (ключов етап 166).</w:t>
            </w:r>
          </w:p>
          <w:p w14:paraId="7558902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Председателят на Органа по интегритета упражнява правата на работодателя върху персонала на Органа, който включва най-малко 50 ЕПРВ. Персоналът се избира от комисията въз основа на професионалните качества.</w:t>
            </w:r>
          </w:p>
          <w:p w14:paraId="619FF419" w14:textId="33BC5D4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Органът по интегритета разполага с широки правомощия, включително следното: I) правомощието да инструктира възлагащите органи да спрат процедура за възлагане на обществена поръчка (за максимален срок от два месеца); II) правомощието да изисква от административните разследващи органи да провеждат разследвания от негово име; III) правомощието да препоръчва изключването на конкретни икономически оператори от финансиране от Съюза за определен период от време; IV) правомощието да инструктират съответните национални органи или служби да изпълняват своите надзорни или контролни функции, по-специално по отношение на процедурите за проверка на декларациите за конфликт на интереси и подозренията във връзка с управлението на средства на Съюза; v) правото да се поиска достъп до всички съответни досиета, включително относно текущи или предстоящи процедури за възлагане на обществени поръчки; VI) правомощието да препоръчва на възлагащите органи да използват конкретна процедура при конкретна обществена поръчка или при категория процедури за възлагане на обществени поръчки; VII) правото да инициира процедури пред съответните национални органи или структури с цел установяване на предполагаеми нередности или нередности; VIII) изключителната компетентност за проверка на декларациите за имуществено състояние на лица, които попадат в обхвата на член 183 от Закон CXXV от 2018 г. (включително министър-председателя, министрите, държавните секретари, политическия директор на министър-председателя), правомощието да проверяват пряко декларациите за публично имуществено състояние на всички високорискови длъжностни лица (включително председателя, членовете на парламента, ръководителите на централни изпълнителни органи, други политически служители, служители на частни служби на политически служители, областни управители, кметове на големи градове, съдии, прокурори, членове на органите за управление на съдебната система и прокуратурата, следователи за борба с корупцията и висши ръководители на държавни предприятия), а за непубличните декларации за имуществено състояние на високорисковите длъжностни лица — най-малко правомощието да изискват от компетентните органи да извършат проверката на тези декларации и да получат резултата от тази проверка, считано от 31 март 2023 г.; IX) правото на достъп до всички съответни бази данни и регистри за целите на проверката на декларациите за имущественото състояние в съответствие с разпоредбите за защита на данните и неприкосновеността на личния живот; X) правото на започване на процедури за проверка на декларациите за имущественото състояние по собствена инициатива, жалби и подозрения; XI) правото да се иска съдебен контрол на всички решения на органите, свързани с процедури за възлагане на обществени поръчки, които включват подкрепа от Съюза и могат да подлежат на съдебен контрол; правото на образуване на производство пред Арбитражната комисия за обществени поръчки; (XIII) правото на оспорване на бездействието на съответния орган в съда в съответствие с член 15 (2) и член 25 от Закон CL от 2016 г. относно Общия административен кодекс. Гарантира се, че Органът по интегритета има достъп до цялата информация, бази данни и регистри, необходими за изпълнението на неговите задачи, свързани с обществените поръчки, случаите на предполагаема корупция, включително проверката на декларациите за имуществено състояние, измамите и конфликтите на интереси, включващи подкрепа от Съюза по какъвто и да било начин. Правните разпоредби гарантират, че органите, засегнати от искане за информация или указание на Органа по интегритета, действат в разумен срок, не по-дълъг от 60 календарни дни.</w:t>
            </w:r>
          </w:p>
          <w:p w14:paraId="159B1B0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Органът по интегритета действа или по собствена инициатива въз основа на наличната информация, или въз основа на получените жалби или доклади. Органът по интегритета създава интерфейс за лицата, сигнализиращи за нередности, където може да се осъществява анонимна и поверителна комуникация. Органът по интегритета създава, актуализира и поддържа регистър на икономическите оператори, засегнати от окончателно съдебно решение или окончателно административно решение за изключване на тези икономически оператори от процедури за възлагане на обществени поръчки. Органът по интегритета е длъжен да докладва на съответните национални органи и, когато е приложимо, на OLAF, за предполагаеми случаи на измама, корупция, конфликт на интереси или всякакви други нередности и незаконни действия.</w:t>
            </w:r>
          </w:p>
          <w:p w14:paraId="506456B2" w14:textId="7E2C7D1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Органът по интегритета разполага с недвусмислени и неограничени правомощия, за да продължи да упражнява правомощията си дори в случаите, когато засегнатите проекти или процедури, първоначално предвидени за подкрепа от Съюза, впоследствие са били оттеглени от подкрепата на Съюза.</w:t>
            </w:r>
          </w:p>
        </w:tc>
      </w:tr>
      <w:tr w:rsidR="00CE3BAD" w:rsidRPr="00782BF9" w14:paraId="1152FDAB" w14:textId="77777777">
        <w:trPr>
          <w:trHeight w:val="269"/>
        </w:trPr>
        <w:tc>
          <w:tcPr>
            <w:tcW w:w="807" w:type="dxa"/>
            <w:gridSpan w:val="2"/>
            <w:tcBorders>
              <w:top w:val="single" w:sz="4" w:space="0" w:color="auto"/>
            </w:tcBorders>
            <w:shd w:val="clear" w:color="auto" w:fill="C6EFCE"/>
            <w:vAlign w:val="center"/>
          </w:tcPr>
          <w:p w14:paraId="3434E88F" w14:textId="6F81802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161</w:t>
            </w:r>
          </w:p>
        </w:tc>
        <w:tc>
          <w:tcPr>
            <w:tcW w:w="1493" w:type="dxa"/>
            <w:tcBorders>
              <w:top w:val="single" w:sz="4" w:space="0" w:color="auto"/>
            </w:tcBorders>
            <w:shd w:val="clear" w:color="auto" w:fill="C6EFCE"/>
            <w:vAlign w:val="center"/>
          </w:tcPr>
          <w:p w14:paraId="6CCA91F5" w14:textId="4DF6487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883" w:type="dxa"/>
            <w:tcBorders>
              <w:top w:val="single" w:sz="4" w:space="0" w:color="auto"/>
            </w:tcBorders>
            <w:shd w:val="clear" w:color="auto" w:fill="C6EFCE"/>
            <w:vAlign w:val="center"/>
          </w:tcPr>
          <w:p w14:paraId="324E664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Ключов етап</w:t>
            </w:r>
          </w:p>
        </w:tc>
        <w:tc>
          <w:tcPr>
            <w:tcW w:w="1417" w:type="dxa"/>
            <w:tcBorders>
              <w:top w:val="single" w:sz="4" w:space="0" w:color="auto"/>
            </w:tcBorders>
            <w:shd w:val="clear" w:color="auto" w:fill="C6EFCE"/>
            <w:vAlign w:val="center"/>
          </w:tcPr>
          <w:p w14:paraId="04B7936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Доклад относно учението за оценка на риска във връзка с почтеността</w:t>
            </w:r>
          </w:p>
        </w:tc>
        <w:tc>
          <w:tcPr>
            <w:tcW w:w="1276" w:type="dxa"/>
            <w:tcBorders>
              <w:top w:val="single" w:sz="4" w:space="0" w:color="auto"/>
            </w:tcBorders>
            <w:shd w:val="clear" w:color="auto" w:fill="C6EFCE"/>
            <w:vAlign w:val="center"/>
          </w:tcPr>
          <w:p w14:paraId="119DD04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доклада</w:t>
            </w:r>
          </w:p>
        </w:tc>
        <w:tc>
          <w:tcPr>
            <w:tcW w:w="1134" w:type="dxa"/>
            <w:tcBorders>
              <w:top w:val="single" w:sz="4" w:space="0" w:color="auto"/>
            </w:tcBorders>
            <w:shd w:val="clear" w:color="auto" w:fill="C6EFCE"/>
            <w:vAlign w:val="center"/>
          </w:tcPr>
          <w:p w14:paraId="6E4CC833"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1" w:type="dxa"/>
            <w:tcBorders>
              <w:top w:val="single" w:sz="4" w:space="0" w:color="auto"/>
            </w:tcBorders>
            <w:shd w:val="clear" w:color="auto" w:fill="C6EFCE"/>
            <w:vAlign w:val="center"/>
          </w:tcPr>
          <w:p w14:paraId="12A94F81"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0" w:type="dxa"/>
            <w:tcBorders>
              <w:top w:val="single" w:sz="4" w:space="0" w:color="auto"/>
            </w:tcBorders>
            <w:shd w:val="clear" w:color="auto" w:fill="C6EFCE"/>
            <w:vAlign w:val="center"/>
          </w:tcPr>
          <w:p w14:paraId="045BCED3"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709" w:type="dxa"/>
            <w:tcBorders>
              <w:top w:val="single" w:sz="4" w:space="0" w:color="auto"/>
            </w:tcBorders>
            <w:shd w:val="clear" w:color="auto" w:fill="C6EFCE"/>
            <w:vAlign w:val="center"/>
          </w:tcPr>
          <w:p w14:paraId="511A28A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tcBorders>
              <w:top w:val="single" w:sz="4" w:space="0" w:color="auto"/>
            </w:tcBorders>
            <w:shd w:val="clear" w:color="auto" w:fill="C6EFCE"/>
            <w:vAlign w:val="center"/>
          </w:tcPr>
          <w:p w14:paraId="73966AC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tcBorders>
              <w:top w:val="single" w:sz="4" w:space="0" w:color="auto"/>
            </w:tcBorders>
            <w:shd w:val="clear" w:color="auto" w:fill="C6EFCE"/>
            <w:vAlign w:val="center"/>
          </w:tcPr>
          <w:p w14:paraId="6C8A5104" w14:textId="67C9BFB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Подробен доклад относно учението за оценка на риска във връзка с почтеността, извършено от Органа по интегритета, се оповестява публично. Тази дейност включва оценка на актуалното състояние на почтеността в системата за възлагане на обществени поръчки в Унгария, като се идентифицират рисковете, свързани с почтеността, и системните проблеми с почтеност, които трябва да бъдат преодолени, наличните инструменти за справяне с тези рискове и проблеми, пропуските в справянето с тези рискове и проблеми, както и предлагане на възможни решения. Учението се извършва в тясно сътрудничество със съответните и компетентни международни органи (напр. ОИСР, Световната банка) и се основава на показателите от „IV стълб на Методиката за оценка на системите за обществени поръчки (MAPS), отчетност, почтеност и прозрачност на системата за обществени поръчки“. В процеса се взема предвид и приносът на национални или международни организации на гражданското общество, които наблюдават състоянието на почтеност в Унгария.</w:t>
            </w:r>
          </w:p>
        </w:tc>
      </w:tr>
      <w:tr w:rsidR="00CE3BAD" w:rsidRPr="00782BF9" w14:paraId="44082B8D" w14:textId="77777777">
        <w:trPr>
          <w:trHeight w:val="269"/>
        </w:trPr>
        <w:tc>
          <w:tcPr>
            <w:tcW w:w="807" w:type="dxa"/>
            <w:gridSpan w:val="2"/>
            <w:shd w:val="clear" w:color="auto" w:fill="C6EFCE"/>
            <w:vAlign w:val="center"/>
          </w:tcPr>
          <w:p w14:paraId="37DA3C4C" w14:textId="01D91B1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162</w:t>
            </w:r>
          </w:p>
        </w:tc>
        <w:tc>
          <w:tcPr>
            <w:tcW w:w="1493" w:type="dxa"/>
            <w:shd w:val="clear" w:color="auto" w:fill="C6EFCE"/>
            <w:vAlign w:val="center"/>
          </w:tcPr>
          <w:p w14:paraId="4A480BC5" w14:textId="1DEFFDC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883" w:type="dxa"/>
            <w:shd w:val="clear" w:color="auto" w:fill="C6EFCE"/>
            <w:vAlign w:val="center"/>
          </w:tcPr>
          <w:p w14:paraId="48F86E7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7DB1B1C6"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Начало на прилагането на правомощията и компетенциите за проверка на декларациите за имуществено състояние от Органа по интегритета</w:t>
            </w:r>
          </w:p>
        </w:tc>
        <w:tc>
          <w:tcPr>
            <w:tcW w:w="1276" w:type="dxa"/>
            <w:shd w:val="clear" w:color="auto" w:fill="C6EFCE"/>
            <w:vAlign w:val="center"/>
          </w:tcPr>
          <w:p w14:paraId="24FDF922"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Начало на прилагането на правомощия и компетенции за проверка на декларациите за имуществено състояние от Органа по интегритета</w:t>
            </w:r>
          </w:p>
        </w:tc>
        <w:tc>
          <w:tcPr>
            <w:tcW w:w="1134" w:type="dxa"/>
            <w:shd w:val="clear" w:color="auto" w:fill="C6EFCE"/>
            <w:vAlign w:val="center"/>
          </w:tcPr>
          <w:p w14:paraId="3E4B5F19"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1" w:type="dxa"/>
            <w:shd w:val="clear" w:color="auto" w:fill="C6EFCE"/>
            <w:vAlign w:val="center"/>
          </w:tcPr>
          <w:p w14:paraId="6C8C2270"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0" w:type="dxa"/>
            <w:shd w:val="clear" w:color="auto" w:fill="C6EFCE"/>
            <w:vAlign w:val="center"/>
          </w:tcPr>
          <w:p w14:paraId="57121327"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709" w:type="dxa"/>
            <w:shd w:val="clear" w:color="auto" w:fill="C6EFCE"/>
            <w:vAlign w:val="center"/>
          </w:tcPr>
          <w:p w14:paraId="6B75B1BB"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1D3048B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vAlign w:val="center"/>
          </w:tcPr>
          <w:p w14:paraId="6062A95C" w14:textId="47210C3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Започване на прилагането на разпоредбите, с които изключителната правна отговорност и компетентност за проверка на декларациите за имущественото състояние на лицата, които попадат в обхвата на раздел 183 от Закон CXXV от 2018 г., се прехвърлят на Органа по интегритета, като се гарантира, че Органът по интегритета има правомощието да проверява пряко публичните декларации за имущественото състояние на всички високорискови длъжностни лица, за декларациите за имуществено състояние, които не са публични, най-малкото правомощието да изисква от компетентните органи да извършат проверката на тези декларации и да получат резултата от тази проверка, и има пряк и неограничен достъп до съответните бази данни и регистри, които счита за необходими за проверка на истинността на информацията, съдържаща се в декларациите за имущественото състояние, считано от 31 март 2023 г. Високорисковите длъжностни лица включват президента, членовете на парламента, членовете на правителството, ръководителите на централните изпълнителни органи, други политически служители, персонала на кабинетите на политически служители, областните управители, кметовете на големи градове, съдиите, прокурорите, членовете на съдебните и прокурорските органи за управление, следователите за борба с корупцията и висшите ръководители на държавни предприятия. Това включва проверка на декларацията за имущественото състояние, независимо дали тя е била проверена преди това или не. За лицата, които попадат в обхвата на член 183 от Закон CXXV от 2018 г., който включва и следното: и) че такава процедура за проверка от страна на Органа по интегритета може да бъде започната от Органа по интегритета по негова инициатива, по негово подозрение или по жалба от лице, което подаде официално искане, в което се посочва предполагаема неточна информация в декларация за имущественото състояние; ii) че Органът по интегритета има възможност да инструктира лицето, чиято декларация за имуществено състояние се проверява от Органа по интегритета, да представи подкрепящи данни и документи относно съдържанието на неговата декларация за имущественото състояние; III) органът по интегритета има възможност да изисква и получава данни от всички съответни бази данни и регистри, включително, но не само, дружествения регистър, националната данъчна и митническа администрация, имотния регистър и регистъра на превозните средства, за да проверява съдържанието на декларацията за имущественото състояние; IV) органът по интегритета може да даде указания на лице, чието съдържание на декларацията за имущественото състояние Органът по интегритета е установил, че е невярна, да коригира декларацията си за имущественото състояние в срок от 10 дни; V) че бездействието по указание на Органа по интегритета от страна на лицето, за чиято декларация за имуществено състояние Органът по интегритета е установил, че е невярно, или от лице, което съзнателно е предоставило неверни данни в декларацията си за имущественото състояние, води до автоматично освобождаване от длъжност.</w:t>
            </w:r>
          </w:p>
        </w:tc>
      </w:tr>
      <w:tr w:rsidR="00CE3BAD" w:rsidRPr="00782BF9" w14:paraId="5EC29B1D" w14:textId="77777777">
        <w:trPr>
          <w:trHeight w:val="1412"/>
        </w:trPr>
        <w:tc>
          <w:tcPr>
            <w:tcW w:w="807" w:type="dxa"/>
            <w:gridSpan w:val="2"/>
            <w:shd w:val="clear" w:color="auto" w:fill="C6EFCE"/>
            <w:vAlign w:val="center"/>
          </w:tcPr>
          <w:p w14:paraId="087BA71A" w14:textId="5BDA726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163</w:t>
            </w:r>
          </w:p>
        </w:tc>
        <w:tc>
          <w:tcPr>
            <w:tcW w:w="1493" w:type="dxa"/>
            <w:shd w:val="clear" w:color="auto" w:fill="C6EFCE"/>
            <w:vAlign w:val="center"/>
          </w:tcPr>
          <w:p w14:paraId="0AC652FC" w14:textId="3B1892A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883" w:type="dxa"/>
            <w:shd w:val="clear" w:color="auto" w:fill="C6EFCE"/>
            <w:vAlign w:val="center"/>
          </w:tcPr>
          <w:p w14:paraId="756A4C6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0A02413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Годишният доклад за интегритета за 2022 г. е публично достъпен</w:t>
            </w:r>
          </w:p>
        </w:tc>
        <w:tc>
          <w:tcPr>
            <w:tcW w:w="1276" w:type="dxa"/>
            <w:shd w:val="clear" w:color="auto" w:fill="C6EFCE"/>
            <w:vAlign w:val="center"/>
          </w:tcPr>
          <w:p w14:paraId="138BE81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първия годишен доклад за интегритета за 2022 г.</w:t>
            </w:r>
          </w:p>
        </w:tc>
        <w:tc>
          <w:tcPr>
            <w:tcW w:w="1134" w:type="dxa"/>
            <w:shd w:val="clear" w:color="auto" w:fill="C6EFCE"/>
            <w:vAlign w:val="center"/>
          </w:tcPr>
          <w:p w14:paraId="79548F47"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1" w:type="dxa"/>
            <w:shd w:val="clear" w:color="auto" w:fill="C6EFCE"/>
            <w:vAlign w:val="center"/>
          </w:tcPr>
          <w:p w14:paraId="3C098277"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0" w:type="dxa"/>
            <w:shd w:val="clear" w:color="auto" w:fill="C6EFCE"/>
            <w:vAlign w:val="center"/>
          </w:tcPr>
          <w:p w14:paraId="53DEE9D1"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709" w:type="dxa"/>
            <w:shd w:val="clear" w:color="auto" w:fill="C6EFCE"/>
            <w:vAlign w:val="center"/>
          </w:tcPr>
          <w:p w14:paraId="29BCE7EB"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4F19F8E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vAlign w:val="center"/>
          </w:tcPr>
          <w:p w14:paraId="326EFAF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Първият годишен доклад за интегритета на Органа по интегритета се оповестява публично, като обхваща календарната 2022 г. </w:t>
            </w:r>
          </w:p>
          <w:p w14:paraId="669F3E1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Докладът включва най-малко следното: и) пълен и цялостен анализ на концентрацията на пазара на обществени поръчки (както е посочено от броя и стойността на спечелилите оферти от икономическите оператори); II) анализ на разликите между прогнозните и крайните цени в тръжните процедури; III) оценка на приложимите правила за възлагане на обществени поръчки, пречките при тяхното прилагане и свързаните с тях административни практики; IV) определянето на показатели за риска; V) оценка на използването на рамкови споразумения (включително разпределението на поръчките, възложени на икономическите оператори, и споразуменията, сключени с тях, както и разпределението на конкретни поръчки, възложени съгласно рамкови споразумения между икономически оператори); VI) оценка на това дали и до каква степен съществуващата система за контрол е в състояние да идентифицира и ефективно да предотвратява, открива и коригира рисковете от корупция, измами и конфликти на интереси; VII) дейности, свързани с проверката на декларациите за имущественото състояние; VIII) препоръки за подобряване на системите и практиките, свързани с подточки i) — vii).</w:t>
            </w:r>
          </w:p>
          <w:p w14:paraId="061D8FB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Първият годишен доклад включва също така: I) оценка дали съответните договорености и практики, свързани с конфликта на интереси в Унгария, са в съответствие с Известието на Комисията относно насоки относно избягването и управлението на конфликти на интереси съгласно Финансовия регламент (2021/C 121/01) и, ако е приложимо, определяне на необходимите подобрения, за да се гарантира съгласуваност; II) специфични показатели за рисковете от измами, корупция и конфликт на интереси.</w:t>
            </w:r>
          </w:p>
          <w:p w14:paraId="371FEC8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Въвеждат се подходящи процедури, които гарантират, че годишните доклади за следващите години се изготвят и оповестяват публично.</w:t>
            </w:r>
          </w:p>
        </w:tc>
      </w:tr>
      <w:tr w:rsidR="00CE3BAD" w:rsidRPr="00782BF9" w14:paraId="2F4B26D8" w14:textId="77777777">
        <w:trPr>
          <w:trHeight w:val="1412"/>
        </w:trPr>
        <w:tc>
          <w:tcPr>
            <w:tcW w:w="807" w:type="dxa"/>
            <w:gridSpan w:val="2"/>
            <w:shd w:val="clear" w:color="auto" w:fill="C6EFCE"/>
            <w:vAlign w:val="center"/>
          </w:tcPr>
          <w:p w14:paraId="6AC582B8" w14:textId="4A01C8E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164</w:t>
            </w:r>
          </w:p>
        </w:tc>
        <w:tc>
          <w:tcPr>
            <w:tcW w:w="1493" w:type="dxa"/>
            <w:shd w:val="clear" w:color="auto" w:fill="C6EFCE"/>
            <w:vAlign w:val="center"/>
          </w:tcPr>
          <w:p w14:paraId="3634CF38" w14:textId="291624E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883" w:type="dxa"/>
            <w:shd w:val="clear" w:color="auto" w:fill="C6EFCE"/>
            <w:vAlign w:val="center"/>
          </w:tcPr>
          <w:p w14:paraId="22FE734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1699662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разглежда първия годишен доклад за интегритета на Органа по интегритета и предоставя своите отговори в писмен вид.</w:t>
            </w:r>
          </w:p>
        </w:tc>
        <w:tc>
          <w:tcPr>
            <w:tcW w:w="1276" w:type="dxa"/>
            <w:shd w:val="clear" w:color="auto" w:fill="C6EFCE"/>
            <w:vAlign w:val="center"/>
          </w:tcPr>
          <w:p w14:paraId="15EFB2B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отговора на правителството във връзка с първия годишен доклад за почтеността и подробно обяснение за начина, по който възнамерява да се справи с всяка от констатациите в него</w:t>
            </w:r>
          </w:p>
        </w:tc>
        <w:tc>
          <w:tcPr>
            <w:tcW w:w="1134" w:type="dxa"/>
            <w:shd w:val="clear" w:color="auto" w:fill="C6EFCE"/>
            <w:vAlign w:val="center"/>
          </w:tcPr>
          <w:p w14:paraId="27A7EF33"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1" w:type="dxa"/>
            <w:shd w:val="clear" w:color="auto" w:fill="C6EFCE"/>
            <w:vAlign w:val="center"/>
          </w:tcPr>
          <w:p w14:paraId="70902D66"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0" w:type="dxa"/>
            <w:shd w:val="clear" w:color="auto" w:fill="C6EFCE"/>
            <w:vAlign w:val="center"/>
          </w:tcPr>
          <w:p w14:paraId="662A92E5"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709" w:type="dxa"/>
            <w:shd w:val="clear" w:color="auto" w:fill="C6EFCE"/>
            <w:vAlign w:val="center"/>
          </w:tcPr>
          <w:p w14:paraId="0A524A50"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11F9A0D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309C911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разглежда първия годишен доклад за почтеността и представя в писмен вид своята оценка, включително подробно обяснение на начина, по който възнамерява да предприеме действия по всяка от констатациите, включително препоръките в него. Въвеждат се подходящи процедури, които гарантират, че годишните доклади за следващите години се разглеждат и коментарите на правителството се оповестяват публично в съответствие с гореизложеното.</w:t>
            </w:r>
          </w:p>
          <w:p w14:paraId="6036BF06" w14:textId="3440BB5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когато правителството оповестява публично в писмен вид своята оценка и са въведени подходящи процедури, гарантиращи една и съща процедура за всички последващи годишни доклади за почтеността.</w:t>
            </w:r>
          </w:p>
        </w:tc>
      </w:tr>
      <w:tr w:rsidR="00CE3BAD" w:rsidRPr="00782BF9" w14:paraId="677E2F68" w14:textId="77777777">
        <w:trPr>
          <w:trHeight w:val="1412"/>
        </w:trPr>
        <w:tc>
          <w:tcPr>
            <w:tcW w:w="807" w:type="dxa"/>
            <w:gridSpan w:val="2"/>
            <w:shd w:val="clear" w:color="auto" w:fill="C6EFCE"/>
            <w:vAlign w:val="center"/>
          </w:tcPr>
          <w:p w14:paraId="711DED5B" w14:textId="3E1BD63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165</w:t>
            </w:r>
          </w:p>
        </w:tc>
        <w:tc>
          <w:tcPr>
            <w:tcW w:w="1493" w:type="dxa"/>
            <w:shd w:val="clear" w:color="auto" w:fill="C6EFCE"/>
            <w:vAlign w:val="center"/>
          </w:tcPr>
          <w:p w14:paraId="2427A170" w14:textId="2915335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883" w:type="dxa"/>
            <w:shd w:val="clear" w:color="auto" w:fill="C6EFCE"/>
            <w:vAlign w:val="center"/>
          </w:tcPr>
          <w:p w14:paraId="1F69166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1D8C9F7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Преглед на системата за деклариране на имущественото състояние от Органа по интегритета</w:t>
            </w:r>
          </w:p>
        </w:tc>
        <w:tc>
          <w:tcPr>
            <w:tcW w:w="1276" w:type="dxa"/>
            <w:shd w:val="clear" w:color="auto" w:fill="C6EFCE"/>
            <w:vAlign w:val="center"/>
          </w:tcPr>
          <w:p w14:paraId="36CF823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доклад относно резултатите от прегледа от страна на Органа по интегритета на системата за деклариране на имущественото състояние</w:t>
            </w:r>
          </w:p>
        </w:tc>
        <w:tc>
          <w:tcPr>
            <w:tcW w:w="1134" w:type="dxa"/>
            <w:shd w:val="clear" w:color="auto" w:fill="C6EFCE"/>
            <w:vAlign w:val="center"/>
          </w:tcPr>
          <w:p w14:paraId="51C31880"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1" w:type="dxa"/>
            <w:shd w:val="clear" w:color="auto" w:fill="C6EFCE"/>
            <w:vAlign w:val="center"/>
          </w:tcPr>
          <w:p w14:paraId="448FB9E5"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0" w:type="dxa"/>
            <w:shd w:val="clear" w:color="auto" w:fill="C6EFCE"/>
            <w:vAlign w:val="center"/>
          </w:tcPr>
          <w:p w14:paraId="58DB6666"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709" w:type="dxa"/>
            <w:shd w:val="clear" w:color="auto" w:fill="C6EFCE"/>
            <w:vAlign w:val="center"/>
          </w:tcPr>
          <w:p w14:paraId="73F43995"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7B5203DC"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146AFD2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Органът по интегритета извършва цялостен преглед на регулаторната рамка и функционирането на унгарската система за деклариране на имущественото състояние, включително на нейния обхват и процеси на проверка, и оповестява публично своите констатации в доклад.</w:t>
            </w:r>
          </w:p>
        </w:tc>
      </w:tr>
      <w:tr w:rsidR="00CE3BAD" w:rsidRPr="00782BF9" w14:paraId="2225A786" w14:textId="77777777">
        <w:trPr>
          <w:trHeight w:val="845"/>
        </w:trPr>
        <w:tc>
          <w:tcPr>
            <w:tcW w:w="807" w:type="dxa"/>
            <w:gridSpan w:val="2"/>
            <w:tcBorders>
              <w:bottom w:val="single" w:sz="4" w:space="0" w:color="auto"/>
            </w:tcBorders>
            <w:shd w:val="clear" w:color="auto" w:fill="C6EFCE"/>
            <w:vAlign w:val="center"/>
            <w:hideMark/>
          </w:tcPr>
          <w:p w14:paraId="6EEDA71C" w14:textId="4413A33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166</w:t>
            </w:r>
          </w:p>
        </w:tc>
        <w:tc>
          <w:tcPr>
            <w:tcW w:w="1493" w:type="dxa"/>
            <w:tcBorders>
              <w:bottom w:val="single" w:sz="4" w:space="0" w:color="auto"/>
            </w:tcBorders>
            <w:shd w:val="clear" w:color="auto" w:fill="C6EFCE"/>
            <w:vAlign w:val="center"/>
            <w:hideMark/>
          </w:tcPr>
          <w:p w14:paraId="2E30C074" w14:textId="1908AFC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 Създаване на работна група за борба с корупцията, която да наблюдава и преразглежда мерките, предприети в Унгария за предотвратяване, разкриване, наказателно преследване и санкциониране на корупцията</w:t>
            </w:r>
          </w:p>
        </w:tc>
        <w:tc>
          <w:tcPr>
            <w:tcW w:w="883" w:type="dxa"/>
            <w:tcBorders>
              <w:bottom w:val="single" w:sz="4" w:space="0" w:color="auto"/>
            </w:tcBorders>
            <w:shd w:val="clear" w:color="auto" w:fill="C6EFCE"/>
            <w:vAlign w:val="center"/>
            <w:hideMark/>
          </w:tcPr>
          <w:p w14:paraId="1F53EF8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 </w:t>
            </w:r>
          </w:p>
        </w:tc>
        <w:tc>
          <w:tcPr>
            <w:tcW w:w="1417" w:type="dxa"/>
            <w:tcBorders>
              <w:bottom w:val="single" w:sz="4" w:space="0" w:color="auto"/>
            </w:tcBorders>
            <w:shd w:val="clear" w:color="auto" w:fill="C6EFCE"/>
            <w:vAlign w:val="center"/>
            <w:hideMark/>
          </w:tcPr>
          <w:p w14:paraId="72197352"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Създаване на работна група за борба с корупцията </w:t>
            </w:r>
          </w:p>
        </w:tc>
        <w:tc>
          <w:tcPr>
            <w:tcW w:w="1276" w:type="dxa"/>
            <w:tcBorders>
              <w:bottom w:val="single" w:sz="4" w:space="0" w:color="auto"/>
            </w:tcBorders>
            <w:shd w:val="clear" w:color="auto" w:fill="C6EFCE"/>
            <w:vAlign w:val="center"/>
            <w:hideMark/>
          </w:tcPr>
          <w:p w14:paraId="556A0A19"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Работната група за борба с корупцията се създава и провежда първото си заседание. </w:t>
            </w:r>
          </w:p>
        </w:tc>
        <w:tc>
          <w:tcPr>
            <w:tcW w:w="1134" w:type="dxa"/>
            <w:tcBorders>
              <w:bottom w:val="single" w:sz="4" w:space="0" w:color="auto"/>
            </w:tcBorders>
            <w:shd w:val="clear" w:color="auto" w:fill="C6EFCE"/>
            <w:vAlign w:val="center"/>
            <w:hideMark/>
          </w:tcPr>
          <w:p w14:paraId="60123DE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1" w:type="dxa"/>
            <w:tcBorders>
              <w:bottom w:val="single" w:sz="4" w:space="0" w:color="auto"/>
            </w:tcBorders>
            <w:shd w:val="clear" w:color="auto" w:fill="C6EFCE"/>
            <w:vAlign w:val="center"/>
            <w:hideMark/>
          </w:tcPr>
          <w:p w14:paraId="36DE3C3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0" w:type="dxa"/>
            <w:tcBorders>
              <w:bottom w:val="single" w:sz="4" w:space="0" w:color="auto"/>
            </w:tcBorders>
            <w:shd w:val="clear" w:color="auto" w:fill="C6EFCE"/>
            <w:vAlign w:val="center"/>
            <w:hideMark/>
          </w:tcPr>
          <w:p w14:paraId="06B997C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709" w:type="dxa"/>
            <w:tcBorders>
              <w:bottom w:val="single" w:sz="4" w:space="0" w:color="auto"/>
            </w:tcBorders>
            <w:shd w:val="clear" w:color="auto" w:fill="C6EFCE"/>
            <w:vAlign w:val="center"/>
            <w:hideMark/>
          </w:tcPr>
          <w:p w14:paraId="19014A53" w14:textId="11B89A0D"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tcBorders>
              <w:bottom w:val="single" w:sz="4" w:space="0" w:color="auto"/>
            </w:tcBorders>
            <w:shd w:val="clear" w:color="auto" w:fill="C6EFCE"/>
            <w:vAlign w:val="center"/>
            <w:hideMark/>
          </w:tcPr>
          <w:p w14:paraId="618D0421" w14:textId="71FA9114"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tcBorders>
              <w:bottom w:val="single" w:sz="4" w:space="0" w:color="auto"/>
            </w:tcBorders>
            <w:shd w:val="clear" w:color="auto" w:fill="C6EFCE"/>
            <w:vAlign w:val="center"/>
            <w:hideMark/>
          </w:tcPr>
          <w:p w14:paraId="79E445B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подаването на първото искане за плащане по плана за възстановяване и устойчивост се създава работна група за борба с корупцията, която провежда първото си заседание.</w:t>
            </w:r>
          </w:p>
          <w:p w14:paraId="45548F7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Задачите на работната група за борба с корупцията са следните: а) да разгледа съществуващите мерки за борба с корупцията и да изготви предложения за подобряване на разкриването, разследването, наказателното преследване и санкционирането на корупционни практики и други практики като непотизъм, фаворизиране или „кадрова въртележка“ между публичния и частния сектор; б) да представи предложения за мерки за i) подобряване на предотвратяването и разкриването на корупцията (включително ефективното използване на всички налични инструменти за предотвратяване и разкриване на корупция), ii) подобряване на потока от информация между административните и контролните органи на държавата и органите за наказателно разследване; в) да направи оценка на начина, по който са проследени и приложени предишните ѝ предложения; г) изготвя годишен доклад и го изпраща на правителството до 15 март всяка година. В този доклад i) се анализират рисковете и тенденциите, свързани с корупцията и корупционните практики, ii) се предлагат ефективни мерки за противодействие и най-добри практики за предотвратяване, разкриване и санкциониране на корупционните рискове и видовете корупция, като се оценява тяхното ефективно изпълнение, iii) се прави оценка на начина, по който предходните предложения са били последвани и приложени в съответните законодателни и незаконодателни инициативи и правителствени програми. Приложимите правила гарантират, че правителството обсъжда доклада на Работната група за борба с корупцията и включените в него предложения в срок от два месеца и че ако не реши да изпълни предложение на Работната група за борба с корупцията, то предоставя на председателя на работната група за борба с корупцията подробна обосновка за своето решение.  </w:t>
            </w:r>
          </w:p>
          <w:p w14:paraId="5810DBC3" w14:textId="4D0C7FF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Съответните неправителствени участници, работещи в областта на борбата с корупцията, участват в дейностите на работната група за борба с корупцията и се осигурява тяхното пълно, структурирано и ефективно участие. Гарантира се, че тези членове са доказуемо независими от правителството, публичните органи, политическите партии и стопанските интереси, имат доказан експертен опит и достатъчно дълга професионална дейност, която може да бъде проверена, в една или повече от следните области: борба с корупцията, прозрачност, достъп до обществена информация, защита на правата на човека, процедури за възлагане на обществени поръчки, правоприлагане, свързани с тези теми. Неправителствените членове на Работната група за борба с корупцията се избират въз основа на открита покана за представяне на кандидатури от управителния съвет на Органа по интегритета и след обвързващо становище относно допустимостта на кандидатите от комитета по допустимостта, посочен в етап 160. Този подбор се основава на открит, прозрачен, недискриминационен процес на подбор и обективни критерии, свързани с експертния опит и качествата на кандидатите.</w:t>
            </w:r>
          </w:p>
          <w:p w14:paraId="19CBBAA2" w14:textId="36C42C3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Гарантира се, че броят на неправителствените членове възлиза на 50 % от членовете на Работната група за борба с корупцията (без председателя) или, ако това не може да се гарантира, че делът на гласовете на неправителствените членове е модулиран така, че да достигне 50 % от общия брой гласове (без председателя). Председателят на Органа по интегритета (посочен в етап 160) изпълнява функциите на председател на работната група за борба с корупцията. Същевременно членовете на работната група не се намесват в работата на Органа по интегритета, нито имат достъп до неговата работа. Публичните органи гарантират, че са представлявани от достатъчно компетентни лица на високо равнище в работната група за борба с корупцията. </w:t>
            </w:r>
          </w:p>
          <w:p w14:paraId="37C396D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Работната група заседава най-малко два пъти годишно и взема решения с обикновено мнозинство от подадените гласове. Протоколите от заседанията на работната група се оповестяват публично на уебсайта на Работната група за борба с корупцията заедно с писмените становища и забележките, изпратени от нейните членове преди или след заседанията, за които е поискано да бъдат приложени към протокола от заседанието. Работната група за борба с корупцията приема свой процедурен правилник по предложение на своя председател на първото си заседание. За целите на работата на тази работна група за борба с корупцията корупцията се разбира съгласно определението в член 4, параграф 2 от Директива (ЕС) 2017/1371, престъпленията по глава III от Конвенцията на Организацията на обединените нации срещу корупцията, престъпленията, посочени в глава XXVII от Закон С от 2012 г. относно Наказателния кодекс, както и други практики като непотизъм, кронизъм или кадрова въртележка между публичния и частния сектор. Работната група за борба с корупцията взема предвид и ситуации на конфликт на интереси съгласно определението в член 61, буква а) от Регламент (ЕС, Евратом) 2018/1046 и член 24 от Директива 2014/24/ЕС, допълнени от Насоките на Комисията относно избягването и управлението на конфликти на интереси съгласно Финансовия регламент (C/2021/2119), както и от съответните национални разпоредби.</w:t>
            </w:r>
          </w:p>
          <w:p w14:paraId="657DB21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Етапният етап се постига, когато работната група за борба с корупцията бъде създадена в съответствие с горепосочените изисквания, тя проведе първото си заседание и протоколът от това заседание се публикува на уебсайта на работната група за борба с корупцията.</w:t>
            </w:r>
          </w:p>
        </w:tc>
      </w:tr>
      <w:tr w:rsidR="00CE3BAD" w:rsidRPr="00782BF9" w14:paraId="3EA2EE82" w14:textId="77777777">
        <w:trPr>
          <w:trHeight w:val="845"/>
        </w:trPr>
        <w:tc>
          <w:tcPr>
            <w:tcW w:w="807" w:type="dxa"/>
            <w:gridSpan w:val="2"/>
            <w:tcBorders>
              <w:top w:val="single" w:sz="4" w:space="0" w:color="auto"/>
              <w:left w:val="single" w:sz="4" w:space="0" w:color="auto"/>
              <w:bottom w:val="single" w:sz="4" w:space="0" w:color="auto"/>
              <w:right w:val="single" w:sz="4" w:space="0" w:color="auto"/>
            </w:tcBorders>
            <w:shd w:val="clear" w:color="auto" w:fill="C6EFCE"/>
            <w:vAlign w:val="center"/>
          </w:tcPr>
          <w:p w14:paraId="199875A1" w14:textId="153C8AB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167</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08E572F0" w14:textId="5FDA4D7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 Създаване на работна група за борба с корупцията, която да наблюдава и преразглежда мерките, предприети в Унгария за предотвратяване, разкриване, наказателно преследване и санкциониране на корупцията</w:t>
            </w:r>
          </w:p>
        </w:tc>
        <w:tc>
          <w:tcPr>
            <w:tcW w:w="883" w:type="dxa"/>
            <w:tcBorders>
              <w:top w:val="single" w:sz="4" w:space="0" w:color="auto"/>
              <w:left w:val="single" w:sz="4" w:space="0" w:color="auto"/>
              <w:bottom w:val="single" w:sz="4" w:space="0" w:color="auto"/>
              <w:right w:val="single" w:sz="4" w:space="0" w:color="auto"/>
            </w:tcBorders>
            <w:shd w:val="clear" w:color="auto" w:fill="C6EFCE"/>
            <w:vAlign w:val="center"/>
          </w:tcPr>
          <w:p w14:paraId="657725A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 </w:t>
            </w:r>
          </w:p>
        </w:tc>
        <w:tc>
          <w:tcPr>
            <w:tcW w:w="1417" w:type="dxa"/>
            <w:tcBorders>
              <w:top w:val="single" w:sz="4" w:space="0" w:color="auto"/>
              <w:left w:val="single" w:sz="4" w:space="0" w:color="auto"/>
              <w:bottom w:val="single" w:sz="4" w:space="0" w:color="auto"/>
              <w:right w:val="single" w:sz="4" w:space="0" w:color="auto"/>
            </w:tcBorders>
            <w:shd w:val="clear" w:color="auto" w:fill="C6EFCE"/>
            <w:vAlign w:val="center"/>
          </w:tcPr>
          <w:p w14:paraId="26ED121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Годишният анализ на работната група за борба с корупцията за 2022 г. е публично достъпен</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FDB2D8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първия годишен доклад на работната група за борба с корупцията за 2022 г.</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66E90F3"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1ABB8C54"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C6EFCE"/>
            <w:vAlign w:val="center"/>
          </w:tcPr>
          <w:p w14:paraId="28032206"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1B3CF9CD"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tcBorders>
              <w:top w:val="single" w:sz="4" w:space="0" w:color="auto"/>
              <w:left w:val="single" w:sz="4" w:space="0" w:color="auto"/>
              <w:bottom w:val="single" w:sz="4" w:space="0" w:color="auto"/>
              <w:right w:val="single" w:sz="4" w:space="0" w:color="auto"/>
            </w:tcBorders>
            <w:shd w:val="clear" w:color="auto" w:fill="C6EFCE"/>
            <w:vAlign w:val="center"/>
          </w:tcPr>
          <w:p w14:paraId="0D47FB1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tcBorders>
              <w:top w:val="single" w:sz="4" w:space="0" w:color="auto"/>
              <w:left w:val="single" w:sz="4" w:space="0" w:color="auto"/>
              <w:bottom w:val="single" w:sz="4" w:space="0" w:color="auto"/>
              <w:right w:val="single" w:sz="4" w:space="0" w:color="auto"/>
            </w:tcBorders>
            <w:shd w:val="clear" w:color="auto" w:fill="C6EFCE"/>
            <w:vAlign w:val="center"/>
          </w:tcPr>
          <w:p w14:paraId="1D78CED1" w14:textId="57D37AD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Работната група за борба с корупцията функционира, както е посочено в ключов етап 166, и приема и оповестява публично своя първи годишен доклад заедно с доклада в сянка на неправителствените участници, които са членове на работната група за борба с корупцията, ако такъв доклад е изготвен и обхваща календарната 2022 година. Този доклад включва също така коментарите и препоръките на работната група за борба с корупцията по проекта за национална стратегия и план за действие за борба с корупцията (етап 178). Въвеждат се подходящи процедури, които гарантират, че годишните доклади за следващите години се изготвят и оповестяват публично.</w:t>
            </w:r>
          </w:p>
        </w:tc>
      </w:tr>
      <w:tr w:rsidR="00CE3BAD" w:rsidRPr="00782BF9" w14:paraId="38E3198D" w14:textId="77777777">
        <w:trPr>
          <w:trHeight w:val="845"/>
        </w:trPr>
        <w:tc>
          <w:tcPr>
            <w:tcW w:w="807" w:type="dxa"/>
            <w:gridSpan w:val="2"/>
            <w:tcBorders>
              <w:top w:val="single" w:sz="4" w:space="0" w:color="auto"/>
            </w:tcBorders>
            <w:shd w:val="clear" w:color="auto" w:fill="C6EFCE"/>
            <w:vAlign w:val="center"/>
          </w:tcPr>
          <w:p w14:paraId="0BA4CF1D" w14:textId="40457EC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168</w:t>
            </w:r>
          </w:p>
        </w:tc>
        <w:tc>
          <w:tcPr>
            <w:tcW w:w="1493" w:type="dxa"/>
            <w:tcBorders>
              <w:top w:val="single" w:sz="4" w:space="0" w:color="auto"/>
            </w:tcBorders>
            <w:shd w:val="clear" w:color="auto" w:fill="C6EFCE"/>
            <w:vAlign w:val="center"/>
          </w:tcPr>
          <w:p w14:paraId="4CAA55DD" w14:textId="6D5DC13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 Създаване на работна група за борба с корупцията, която да наблюдава и преразглежда мерките, предприети в Унгария за предотвратяване, разкриване, наказателно преследване и санкциониране на корупцията</w:t>
            </w:r>
          </w:p>
        </w:tc>
        <w:tc>
          <w:tcPr>
            <w:tcW w:w="883" w:type="dxa"/>
            <w:tcBorders>
              <w:top w:val="single" w:sz="4" w:space="0" w:color="auto"/>
            </w:tcBorders>
            <w:shd w:val="clear" w:color="auto" w:fill="C6EFCE"/>
            <w:vAlign w:val="center"/>
          </w:tcPr>
          <w:p w14:paraId="3DACE05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 </w:t>
            </w:r>
          </w:p>
        </w:tc>
        <w:tc>
          <w:tcPr>
            <w:tcW w:w="1417" w:type="dxa"/>
            <w:tcBorders>
              <w:top w:val="single" w:sz="4" w:space="0" w:color="auto"/>
            </w:tcBorders>
            <w:shd w:val="clear" w:color="auto" w:fill="C6EFCE"/>
            <w:vAlign w:val="center"/>
          </w:tcPr>
          <w:p w14:paraId="2C2665E2" w14:textId="79A2DD33" w:rsidR="00CE3BAD" w:rsidRPr="00782BF9" w:rsidRDefault="006B5475">
            <w:pPr>
              <w:pStyle w:val="P68B1DB1-Normal10"/>
              <w:spacing w:line="240" w:lineRule="auto"/>
              <w:ind w:left="52"/>
              <w:rPr>
                <w:rFonts w:eastAsia="Times New Roman"/>
                <w:noProof/>
                <w:lang w:val="bg-BG"/>
              </w:rPr>
            </w:pPr>
            <w:r w:rsidRPr="00782BF9">
              <w:rPr>
                <w:noProof/>
                <w:lang w:val="bg-BG"/>
              </w:rPr>
              <w:t>Правителството разглежда първия доклад на работната група</w:t>
            </w:r>
          </w:p>
        </w:tc>
        <w:tc>
          <w:tcPr>
            <w:tcW w:w="1276" w:type="dxa"/>
            <w:tcBorders>
              <w:top w:val="single" w:sz="4" w:space="0" w:color="auto"/>
            </w:tcBorders>
            <w:shd w:val="clear" w:color="auto" w:fill="C6EFCE"/>
            <w:vAlign w:val="center"/>
          </w:tcPr>
          <w:p w14:paraId="581F5C80" w14:textId="5C02DA59" w:rsidR="00CE3BAD" w:rsidRPr="00782BF9" w:rsidRDefault="006B5475">
            <w:pPr>
              <w:pStyle w:val="P68B1DB1-Normal10"/>
              <w:spacing w:line="240" w:lineRule="auto"/>
              <w:ind w:left="52"/>
              <w:rPr>
                <w:rFonts w:eastAsia="Times New Roman"/>
                <w:noProof/>
                <w:lang w:val="bg-BG"/>
              </w:rPr>
            </w:pPr>
            <w:r w:rsidRPr="00782BF9">
              <w:rPr>
                <w:noProof/>
                <w:lang w:val="bg-BG"/>
              </w:rPr>
              <w:t xml:space="preserve">Публикуване на отговора на правителството по първия доклад на работната група </w:t>
            </w:r>
          </w:p>
        </w:tc>
        <w:tc>
          <w:tcPr>
            <w:tcW w:w="1134" w:type="dxa"/>
            <w:tcBorders>
              <w:top w:val="single" w:sz="4" w:space="0" w:color="auto"/>
            </w:tcBorders>
            <w:shd w:val="clear" w:color="auto" w:fill="C6EFCE"/>
            <w:vAlign w:val="center"/>
          </w:tcPr>
          <w:p w14:paraId="462C8CB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1" w:type="dxa"/>
            <w:tcBorders>
              <w:top w:val="single" w:sz="4" w:space="0" w:color="auto"/>
            </w:tcBorders>
            <w:shd w:val="clear" w:color="auto" w:fill="C6EFCE"/>
            <w:vAlign w:val="center"/>
          </w:tcPr>
          <w:p w14:paraId="361E353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0" w:type="dxa"/>
            <w:tcBorders>
              <w:top w:val="single" w:sz="4" w:space="0" w:color="auto"/>
            </w:tcBorders>
            <w:shd w:val="clear" w:color="auto" w:fill="C6EFCE"/>
            <w:vAlign w:val="center"/>
          </w:tcPr>
          <w:p w14:paraId="3FED8EA6" w14:textId="349C9A7C" w:rsidR="00CE3BAD" w:rsidRPr="00782BF9" w:rsidRDefault="00CE3BAD">
            <w:pPr>
              <w:spacing w:after="0" w:line="240" w:lineRule="auto"/>
              <w:ind w:left="52"/>
              <w:jc w:val="center"/>
              <w:textAlignment w:val="baseline"/>
              <w:rPr>
                <w:rFonts w:eastAsia="Times New Roman"/>
                <w:noProof/>
                <w:sz w:val="18"/>
                <w:lang w:val="bg-BG"/>
              </w:rPr>
            </w:pPr>
          </w:p>
        </w:tc>
        <w:tc>
          <w:tcPr>
            <w:tcW w:w="709" w:type="dxa"/>
            <w:tcBorders>
              <w:top w:val="single" w:sz="4" w:space="0" w:color="auto"/>
            </w:tcBorders>
            <w:shd w:val="clear" w:color="auto" w:fill="C6EFCE"/>
            <w:vAlign w:val="center"/>
          </w:tcPr>
          <w:p w14:paraId="17864B3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tcBorders>
              <w:top w:val="single" w:sz="4" w:space="0" w:color="auto"/>
            </w:tcBorders>
            <w:shd w:val="clear" w:color="auto" w:fill="C6EFCE"/>
            <w:vAlign w:val="center"/>
          </w:tcPr>
          <w:p w14:paraId="15FFB5A7" w14:textId="76DF6860"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tcBorders>
              <w:top w:val="single" w:sz="4" w:space="0" w:color="auto"/>
            </w:tcBorders>
            <w:shd w:val="clear" w:color="auto" w:fill="C6EFCE"/>
            <w:vAlign w:val="center"/>
          </w:tcPr>
          <w:p w14:paraId="0DE87E2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разглежда и обсъжда първия доклад на Работната група за борба с корупцията и предоставя своите коментари — включително подробна обосновка по отношение на всяко предложение на работната група за борба с корупцията, която е решило да не изпълнява — на работната група за борба с корупцията.</w:t>
            </w:r>
          </w:p>
          <w:p w14:paraId="2B3C06F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изпълнява, след като списъкът на предприетите мерки, които трябва да бъдат предприети (с посочване на предвидения график за мерките, които все още не са предприети) от правителството въз основа на предложенията на работната група за борба с корупцията и подробните причини на правителството за всяко от тези предложения на работната група, която то е решило да не прилага, бъдат оповестени публично както на правителствения портал, така и на уебсайта на Органа по интегритета. Въвеждат се подходящи процедури, които гарантират, че годишните доклади за следващите години се разглеждат и коментарите на правителството се оповестяват публично в съответствие с гореизложеното.</w:t>
            </w:r>
          </w:p>
        </w:tc>
      </w:tr>
      <w:tr w:rsidR="00CE3BAD" w:rsidRPr="00782BF9" w14:paraId="0E81A91F" w14:textId="77777777">
        <w:trPr>
          <w:trHeight w:val="1114"/>
        </w:trPr>
        <w:tc>
          <w:tcPr>
            <w:tcW w:w="807" w:type="dxa"/>
            <w:gridSpan w:val="2"/>
            <w:shd w:val="clear" w:color="auto" w:fill="C6EFCE"/>
            <w:vAlign w:val="center"/>
          </w:tcPr>
          <w:p w14:paraId="3E5A8F67" w14:textId="6C7F7D2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169</w:t>
            </w:r>
          </w:p>
        </w:tc>
        <w:tc>
          <w:tcPr>
            <w:tcW w:w="1493" w:type="dxa"/>
            <w:shd w:val="clear" w:color="auto" w:fill="C6EFCE"/>
            <w:vAlign w:val="center"/>
          </w:tcPr>
          <w:p w14:paraId="333C40C1" w14:textId="28B0B45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 Въвеждане на специална процедура в случай на специални престъпления, свързани с упражняването на публична власт или управлението на публична собственост („съдебен контрол“)</w:t>
            </w:r>
          </w:p>
        </w:tc>
        <w:tc>
          <w:tcPr>
            <w:tcW w:w="883" w:type="dxa"/>
            <w:shd w:val="clear" w:color="auto" w:fill="C6EFCE"/>
            <w:vAlign w:val="center"/>
          </w:tcPr>
          <w:p w14:paraId="298CF9E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 </w:t>
            </w:r>
          </w:p>
        </w:tc>
        <w:tc>
          <w:tcPr>
            <w:tcW w:w="1417" w:type="dxa"/>
            <w:shd w:val="clear" w:color="auto" w:fill="C6EFCE"/>
            <w:vAlign w:val="center"/>
          </w:tcPr>
          <w:p w14:paraId="205B6823"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Въвеждане на специална процедура в случай на специфични престъпления, свързани с упражняването на публична власт или управлението на публична собственост</w:t>
            </w:r>
          </w:p>
        </w:tc>
        <w:tc>
          <w:tcPr>
            <w:tcW w:w="1276" w:type="dxa"/>
            <w:shd w:val="clear" w:color="auto" w:fill="C6EFCE"/>
            <w:vAlign w:val="center"/>
          </w:tcPr>
          <w:p w14:paraId="6DB6C50D"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Разпоредба в изменението на Закон XC от 2017 г. относно Наказателно-процесуалния кодекс, в която се посочва влизането в сила и началото на прилагането</w:t>
            </w:r>
          </w:p>
        </w:tc>
        <w:tc>
          <w:tcPr>
            <w:tcW w:w="1134" w:type="dxa"/>
            <w:shd w:val="clear" w:color="auto" w:fill="C6EFCE"/>
            <w:vAlign w:val="center"/>
          </w:tcPr>
          <w:p w14:paraId="17B288B9"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3733E492"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CD473D4"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5D6C6E18"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23C88602"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7B29C72E" w14:textId="5D5AEF8B" w:rsidR="00CE3BAD" w:rsidRPr="00782BF9" w:rsidRDefault="006B5475">
            <w:pPr>
              <w:pStyle w:val="P68B1DB1-Normal10"/>
              <w:spacing w:after="0" w:line="240" w:lineRule="auto"/>
              <w:ind w:left="51"/>
              <w:rPr>
                <w:rFonts w:eastAsia="Times New Roman"/>
                <w:noProof/>
                <w:lang w:val="bg-BG"/>
              </w:rPr>
            </w:pPr>
            <w:r w:rsidRPr="00782BF9">
              <w:rPr>
                <w:noProof/>
                <w:lang w:val="bg-BG"/>
              </w:rPr>
              <w:t>Преди подаването на първото искане за плащане съгласно плана за възстановяване и устойчивост влиза в сила изменение на Закон XC от 2017 г. относно Наказателно-процесуалния кодекс, което се прилага от 1 януари 2023 г., и по отношение на (непогасени по давност) престъпления, извършени преди тази дата, след предварителен преглед от Конституционния съд, който:</w:t>
            </w:r>
          </w:p>
          <w:p w14:paraId="0CCB1E15" w14:textId="77777777" w:rsidR="00CE3BAD" w:rsidRPr="00782BF9" w:rsidRDefault="006B5475">
            <w:pPr>
              <w:pStyle w:val="P68B1DB1-Normal10"/>
              <w:spacing w:after="0" w:line="240" w:lineRule="auto"/>
              <w:ind w:left="51"/>
              <w:rPr>
                <w:rFonts w:eastAsia="Times New Roman"/>
                <w:noProof/>
                <w:lang w:val="bg-BG"/>
              </w:rPr>
            </w:pPr>
            <w:r w:rsidRPr="00782BF9">
              <w:rPr>
                <w:noProof/>
                <w:lang w:val="bg-BG"/>
              </w:rPr>
              <w:t>— установяване на процедура относно корупцията и свързаните с корупция практики, както са определени в член 4, параграф 2 от Директива (ЕС) 2017/1371 и в глава III от Конвенцията на Организацията на обединените нации срещу корупцията (т.е. всички случаи на подкуп с участието на държавни служители, както и други случаи на подкуп, с изключение на дребни престъпления, злоупотреба със служебно положение, с изключение на дребни престъпления, тежки случаи на бюджетна измама, неспазване на задължението за надзор или контрол, свързано с бюджетна измама, споразумение за ограничаване на конкуренцията в процедура за възлагане на обществена поръчка и възлагане на концесия, по-тежки престъпления срещу собствеността — при условие че престъплението е извършено по отношение на национални активи или активи, управлявани от фондация за управление на активи от обществен интерес, която изпълнява публични задължения, или вреди на такива активи. Тя е на разположение за участие в престъпна организация и изпиране на пари, ако е извършено във връзка с горепосочените престъпления);</w:t>
            </w:r>
          </w:p>
          <w:p w14:paraId="674DD488" w14:textId="1FCA624D" w:rsidR="00CE3BAD" w:rsidRPr="00782BF9" w:rsidRDefault="006B5475">
            <w:pPr>
              <w:pStyle w:val="P68B1DB1-Normal10"/>
              <w:spacing w:after="0" w:line="240" w:lineRule="auto"/>
              <w:ind w:left="51"/>
              <w:rPr>
                <w:rFonts w:eastAsia="Calibri" w:cs="Times New Roman"/>
                <w:noProof/>
                <w:lang w:val="bg-BG"/>
              </w:rPr>
            </w:pPr>
            <w:r w:rsidRPr="00782BF9">
              <w:rPr>
                <w:noProof/>
                <w:lang w:val="bg-BG"/>
              </w:rPr>
              <w:t>— установява съдебен контрол на решението на прокуратурата или на разследващия орган за отхвърляне на сигнал за престъпление или за прекратяване на наказателното производство от съдия-следовател от Централния районен съд на Буда, който има правомощието да разпореди образуването или продължаването на наказателно производство. В крайна сметка след искането за преразглеждане, ако решението за отхвърляне на сигнал за престъпление или за прекратяване на наказателното производство е отменено от съдия-следователя, в случай на повторно прекратяване на производството се предоставя възможност за внасяне на обвинителен акт в съда. Искането за преразглеждане има суспензивно действие по отношение на принудителните мерки, засягащи имуществото. След повторно искане за преразглеждане съдия-следователят установява дали има лице, което може основателно да бъде заподозряно в извършването на престъпление. В този случай в производството се открива правото на внасяне на обвинителен акт пред компетентния съд, който се произнася по съществото на делото, след като изслуша доказателствата. В случаите, когато може да бъде подадено искане за наказателно преследване, не се предвижда предварително разглеждане на основанието за искането за наказателно преследване от съда, разглеждащ делото по същество. Процедурата може да бъде задействана от всеки; физическите и юридическите лица могат да подават предложения по тази процедура, с изключение на публичните органи, но Органът по интегритета (вж. ключов етап 160) има право да подаде искане за преразглеждане и повторно предложение за преразглеждане. Увредената страна и страната, докладваща за престъпление, имат привилегировано процесуално положение, като други страни имат възможност да започнат процедурата след публикуването на псевдонимизираното решение да не се започва или да се прекратява разследването, ако увредената страна или страната, докладваща за престъпление, не е направила това. Процесуалното представителство е задължително за всички страни. Законният представител комуникира по електронен път, а подписът на страната не се изисква за действия в рамките на процедурата. Страната, която подава искане за наказателно преследване, не е длъжна да се яви лично в съда. Главният прокурор няма възможност да подаде до Kúria извънредно правно средство за защита на основание законосъобразност на съдебни решения, постановени в рамките на новата процедура.</w:t>
            </w:r>
          </w:p>
          <w:p w14:paraId="745C52B2" w14:textId="660E5A52" w:rsidR="00CE3BAD" w:rsidRPr="00782BF9" w:rsidRDefault="006B5475">
            <w:pPr>
              <w:pStyle w:val="P68B1DB1-Normal10"/>
              <w:spacing w:after="0" w:line="240" w:lineRule="auto"/>
              <w:ind w:left="51"/>
              <w:rPr>
                <w:rFonts w:eastAsia="Times New Roman"/>
                <w:noProof/>
                <w:lang w:val="bg-BG"/>
              </w:rPr>
            </w:pPr>
            <w:r w:rsidRPr="00782BF9">
              <w:rPr>
                <w:noProof/>
                <w:lang w:val="bg-BG"/>
              </w:rPr>
              <w:t>Наличието на решение за отхвърляне на сигнал за престъпление или на решение за прекратяване на производството, прието преди 1 януари 2023 г. (свързани с престъпления, които не са погасени по давност поради давност), не отменя задължението на разследващия орган или на прокуратурата да приеме ново решение по сигнала за престъпление съгласно член 379 от Наказателно-процесуалния кодекс, което решение може да бъде предмет на искане за преразглеждане по новата процедура.</w:t>
            </w:r>
          </w:p>
          <w:p w14:paraId="2FDF5B7F" w14:textId="77777777" w:rsidR="00CE3BAD" w:rsidRPr="00782BF9" w:rsidRDefault="006B5475">
            <w:pPr>
              <w:pStyle w:val="P68B1DB1-Normal10"/>
              <w:spacing w:after="0" w:line="240" w:lineRule="auto"/>
              <w:ind w:left="51"/>
              <w:rPr>
                <w:rFonts w:eastAsia="Times New Roman"/>
                <w:noProof/>
                <w:lang w:val="bg-BG"/>
              </w:rPr>
            </w:pPr>
            <w:r w:rsidRPr="00782BF9">
              <w:rPr>
                <w:noProof/>
                <w:lang w:val="bg-BG"/>
              </w:rPr>
              <w:t>Всички съдилища в Унгария, които разглеждат граждански, административни и наказателни дела, включително тези, които имат отношение към защитата на финансовите интереси на Съюза, спазват изискванията за независимост и безпристрастност и са установени със закон в съответствие с член 19, параграф 1 от Договора за Европейския съюз и съответните достижения на правото на ЕС.</w:t>
            </w:r>
          </w:p>
          <w:p w14:paraId="26C5D4CE" w14:textId="77777777" w:rsidR="00CE3BAD" w:rsidRPr="00782BF9" w:rsidRDefault="006B5475">
            <w:pPr>
              <w:pStyle w:val="P68B1DB1-Normal10"/>
              <w:spacing w:after="0" w:line="240" w:lineRule="auto"/>
              <w:ind w:left="51"/>
              <w:textAlignment w:val="baseline"/>
              <w:rPr>
                <w:rFonts w:eastAsia="Times New Roman"/>
                <w:noProof/>
                <w:highlight w:val="yellow"/>
                <w:lang w:val="bg-BG"/>
              </w:rPr>
            </w:pPr>
            <w:r w:rsidRPr="00782BF9">
              <w:rPr>
                <w:noProof/>
                <w:lang w:val="bg-BG"/>
              </w:rPr>
              <w:t>Освен това до 31 декември 2022 г. а) правилата за прилагане, необходими за прилагането на изменението, влизат в сила и б) Централният районен съд на Буда получава допълнителни длъжности за най-малко двама съдии и двама съдебни помощници.</w:t>
            </w:r>
          </w:p>
        </w:tc>
      </w:tr>
      <w:tr w:rsidR="00CE3BAD" w:rsidRPr="00782BF9" w14:paraId="64869637" w14:textId="77777777">
        <w:trPr>
          <w:trHeight w:val="1845"/>
        </w:trPr>
        <w:tc>
          <w:tcPr>
            <w:tcW w:w="807" w:type="dxa"/>
            <w:gridSpan w:val="2"/>
            <w:shd w:val="clear" w:color="auto" w:fill="C6EFCE"/>
            <w:vAlign w:val="center"/>
          </w:tcPr>
          <w:p w14:paraId="1F41CC47" w14:textId="4DF3695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170</w:t>
            </w:r>
          </w:p>
        </w:tc>
        <w:tc>
          <w:tcPr>
            <w:tcW w:w="1493" w:type="dxa"/>
            <w:shd w:val="clear" w:color="auto" w:fill="C6EFCE"/>
            <w:vAlign w:val="center"/>
          </w:tcPr>
          <w:p w14:paraId="3A46743E" w14:textId="55589013" w:rsidR="00CE3BAD" w:rsidRPr="00782BF9" w:rsidRDefault="006B5475">
            <w:pPr>
              <w:pStyle w:val="P68B1DB1-Normal10"/>
              <w:spacing w:line="240" w:lineRule="auto"/>
              <w:ind w:left="52"/>
              <w:rPr>
                <w:rFonts w:eastAsia="Times New Roman"/>
                <w:noProof/>
                <w:lang w:val="bg-BG"/>
              </w:rPr>
            </w:pPr>
            <w:r w:rsidRPr="00782BF9">
              <w:rPr>
                <w:noProof/>
                <w:lang w:val="bg-BG"/>
              </w:rPr>
              <w:t>C9.R3 Въвеждане на специална процедура в случай на специални престъпления, свързани с упражняването на публична власт или управлението на публична собственост („съдебен контрол“)</w:t>
            </w:r>
          </w:p>
        </w:tc>
        <w:tc>
          <w:tcPr>
            <w:tcW w:w="883" w:type="dxa"/>
            <w:shd w:val="clear" w:color="auto" w:fill="C6EFCE"/>
            <w:vAlign w:val="center"/>
          </w:tcPr>
          <w:p w14:paraId="3BE64E0F"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Ключов етап</w:t>
            </w:r>
          </w:p>
        </w:tc>
        <w:tc>
          <w:tcPr>
            <w:tcW w:w="1417" w:type="dxa"/>
            <w:shd w:val="clear" w:color="auto" w:fill="C6EFCE"/>
            <w:vAlign w:val="center"/>
          </w:tcPr>
          <w:p w14:paraId="0D4D5FA2"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Преглед на специфичната процедура в случай на специални престъпления, свързани с упражняването на публична власт или управлението на публична собственост</w:t>
            </w:r>
          </w:p>
        </w:tc>
        <w:tc>
          <w:tcPr>
            <w:tcW w:w="1276" w:type="dxa"/>
            <w:shd w:val="clear" w:color="auto" w:fill="C6EFCE"/>
            <w:vAlign w:val="center"/>
          </w:tcPr>
          <w:p w14:paraId="6C5A7695"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Правителството приема своя доклад относно прегледа на функционирането на специалната процедура</w:t>
            </w:r>
          </w:p>
        </w:tc>
        <w:tc>
          <w:tcPr>
            <w:tcW w:w="1134" w:type="dxa"/>
            <w:shd w:val="clear" w:color="auto" w:fill="C6EFCE"/>
            <w:vAlign w:val="center"/>
          </w:tcPr>
          <w:p w14:paraId="65841CD3"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1852BDAC"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39431BFE"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5E95B51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3050263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0DD5F78D" w14:textId="49D00096" w:rsidR="00CE3BAD" w:rsidRPr="00782BF9" w:rsidRDefault="006B5475">
            <w:pPr>
              <w:pStyle w:val="P68B1DB1-Normal10"/>
              <w:spacing w:line="240" w:lineRule="auto"/>
              <w:ind w:left="52"/>
              <w:rPr>
                <w:rFonts w:eastAsia="Times New Roman"/>
                <w:noProof/>
                <w:lang w:val="bg-BG"/>
              </w:rPr>
            </w:pPr>
            <w:r w:rsidRPr="00782BF9">
              <w:rPr>
                <w:noProof/>
                <w:lang w:val="bg-BG"/>
              </w:rPr>
              <w:t>Правителството извършва цялостен преглед на функционирането на специфичната процедура, посочена в ключов етап 169, и представя констатациите си в доклад, включително оценка и специфични статистически данни за случаите и прегледите, извършени в сравнение с други разследвани случаи на високо равнище, за които не е извършен преглед. В прегледа също така изрично се посочва дали са необходими законодателни промени в процедурата и се посочва предвиденият срок за тях.</w:t>
            </w:r>
          </w:p>
        </w:tc>
      </w:tr>
      <w:tr w:rsidR="00CE3BAD" w:rsidRPr="00782BF9" w14:paraId="0348631C" w14:textId="77777777">
        <w:trPr>
          <w:trHeight w:val="1845"/>
        </w:trPr>
        <w:tc>
          <w:tcPr>
            <w:tcW w:w="807" w:type="dxa"/>
            <w:gridSpan w:val="2"/>
            <w:shd w:val="clear" w:color="auto" w:fill="C6EFCE"/>
            <w:vAlign w:val="center"/>
          </w:tcPr>
          <w:p w14:paraId="5F5C1308" w14:textId="1C1F191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171</w:t>
            </w:r>
          </w:p>
        </w:tc>
        <w:tc>
          <w:tcPr>
            <w:tcW w:w="1493" w:type="dxa"/>
            <w:shd w:val="clear" w:color="auto" w:fill="C6EFCE"/>
            <w:vAlign w:val="center"/>
          </w:tcPr>
          <w:p w14:paraId="6A530367" w14:textId="193EC36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C9.R4 Укрепване на правилата, свързани с декларациите за имущественото състояние</w:t>
            </w:r>
          </w:p>
        </w:tc>
        <w:tc>
          <w:tcPr>
            <w:tcW w:w="883" w:type="dxa"/>
            <w:shd w:val="clear" w:color="auto" w:fill="C6EFCE"/>
            <w:vAlign w:val="center"/>
          </w:tcPr>
          <w:p w14:paraId="0DB67D0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CE763F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Влизане в сила на законодателни изменения за разширяване на персоналния и материалния обхват на декларациите за имущественото състояние, като същевременно се гарантира често оповестяване </w:t>
            </w:r>
          </w:p>
        </w:tc>
        <w:tc>
          <w:tcPr>
            <w:tcW w:w="1276" w:type="dxa"/>
            <w:shd w:val="clear" w:color="auto" w:fill="C6EFCE"/>
            <w:vAlign w:val="center"/>
          </w:tcPr>
          <w:p w14:paraId="43F3B0B5" w14:textId="1340DD0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Разпоредба в законодателните изменения, указваща влизането им в сила и началото на прилагането им</w:t>
            </w:r>
          </w:p>
        </w:tc>
        <w:tc>
          <w:tcPr>
            <w:tcW w:w="1134" w:type="dxa"/>
            <w:shd w:val="clear" w:color="auto" w:fill="C6EFCE"/>
            <w:vAlign w:val="center"/>
          </w:tcPr>
          <w:p w14:paraId="76CEFAC0"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7D768046"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4623E641"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A4529F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7A671D0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60D26A6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подаването на първото искане за плащане по плана за възстановяване и устойчивост законодателните изменения влизат в сила и започват да се прилагат, за да се гарантира, че i) лицата, на които са възложени висши политически функции съгласно членове 183 и 184 от Закон CXXV от 2018 г. относно държавната администрация и техните роднини, живеещи в едно и също домакинство със съответните лица, както и членовете на Националното събрание и техните роднини, живеещи в същото домакинство със съответните членове, подават за първи път декларации за имущественото състояние съгласно новите правила за деклариране на имущественото състояние до 31 януари 2023 г. във връзка с държавата на 31 декември 2022 г.; II) всички лица, попадащи в персоналния обхват в подточка i), са задължени да декларират: приходи, недвижими имоти, други ценни имоти (като превозни средства, плавателни съдове, ценни антикварни предмети, произведения на изкуството и др.), спестявания от банкови депозити и пари в брой, активи в акции, ценни книжа и частни капиталови фондове, животозастрахователни полици, тръстове и действителна собственост на предприятия; III) декларациите за имущественото състояние се подават при встъпване в длъжност, след това ежегодно и в момента на напускане на съответните задължения.</w:t>
            </w:r>
          </w:p>
        </w:tc>
      </w:tr>
      <w:tr w:rsidR="00CE3BAD" w:rsidRPr="00782BF9" w14:paraId="6B826E2F" w14:textId="77777777">
        <w:trPr>
          <w:trHeight w:val="1845"/>
        </w:trPr>
        <w:tc>
          <w:tcPr>
            <w:tcW w:w="807" w:type="dxa"/>
            <w:gridSpan w:val="2"/>
            <w:shd w:val="clear" w:color="auto" w:fill="C6EFCE"/>
            <w:vAlign w:val="center"/>
          </w:tcPr>
          <w:p w14:paraId="0B0EE86A" w14:textId="39A96B3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172</w:t>
            </w:r>
          </w:p>
        </w:tc>
        <w:tc>
          <w:tcPr>
            <w:tcW w:w="1493" w:type="dxa"/>
            <w:shd w:val="clear" w:color="auto" w:fill="C6EFCE"/>
            <w:vAlign w:val="center"/>
          </w:tcPr>
          <w:p w14:paraId="55F6E9AC" w14:textId="4BF2DB5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C9.R4 Укрепване на правилата, свързани с декларациите за имущественото състояние</w:t>
            </w:r>
          </w:p>
        </w:tc>
        <w:tc>
          <w:tcPr>
            <w:tcW w:w="883" w:type="dxa"/>
            <w:shd w:val="clear" w:color="auto" w:fill="C6EFCE"/>
            <w:vAlign w:val="center"/>
          </w:tcPr>
          <w:p w14:paraId="7C6F610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57EA86F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Създаване на нова система за електронно подаване на декларации за имущественото състояние в цифров формат и публична база данни за декларациите за имущественото състояние</w:t>
            </w:r>
          </w:p>
        </w:tc>
        <w:tc>
          <w:tcPr>
            <w:tcW w:w="1276" w:type="dxa"/>
            <w:shd w:val="clear" w:color="auto" w:fill="C6EFCE"/>
            <w:vAlign w:val="center"/>
          </w:tcPr>
          <w:p w14:paraId="5B486C6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Пълна функционалност, пускане в действие и пълен обхват на декларациите за имущественото състояние, предоставени в нова електронна система за деклариране на имущественото състояние</w:t>
            </w:r>
          </w:p>
        </w:tc>
        <w:tc>
          <w:tcPr>
            <w:tcW w:w="1134" w:type="dxa"/>
            <w:shd w:val="clear" w:color="auto" w:fill="C6EFCE"/>
            <w:vAlign w:val="center"/>
          </w:tcPr>
          <w:p w14:paraId="04736784"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5A56D9FD"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0F5B11A"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7C98056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6F13AA1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2023</w:t>
            </w:r>
          </w:p>
        </w:tc>
        <w:tc>
          <w:tcPr>
            <w:tcW w:w="4793" w:type="dxa"/>
            <w:shd w:val="clear" w:color="auto" w:fill="C6EFCE"/>
          </w:tcPr>
          <w:p w14:paraId="6071096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Новата система е напълно функционална и функционираща, като декларациите за имущественото състояние се подават по електронен път в цифров формат. Правителството също така създава и предоставя на обществеността, безплатно и без регистрация, база данни с възможност за търсене на декларациите за имущественото състояние, подадени от лица, натоварени с висши политически функции съгласно членове 183 и 184 от Закон CXXV от 2018 г. относно държавната администрация и членовете на Народното събрание.</w:t>
            </w:r>
          </w:p>
        </w:tc>
      </w:tr>
      <w:tr w:rsidR="00CE3BAD" w:rsidRPr="00782BF9" w14:paraId="075D97ED" w14:textId="77777777">
        <w:trPr>
          <w:trHeight w:val="1845"/>
        </w:trPr>
        <w:tc>
          <w:tcPr>
            <w:tcW w:w="807" w:type="dxa"/>
            <w:gridSpan w:val="2"/>
            <w:shd w:val="clear" w:color="auto" w:fill="C6EFCE"/>
            <w:vAlign w:val="center"/>
          </w:tcPr>
          <w:p w14:paraId="05CA0301" w14:textId="6D0F471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173</w:t>
            </w:r>
          </w:p>
        </w:tc>
        <w:tc>
          <w:tcPr>
            <w:tcW w:w="1493" w:type="dxa"/>
            <w:shd w:val="clear" w:color="auto" w:fill="C6EFCE"/>
            <w:vAlign w:val="center"/>
          </w:tcPr>
          <w:p w14:paraId="31E1EFA4" w14:textId="1BF0A3F8" w:rsidR="00CE3BAD" w:rsidRPr="00782BF9" w:rsidRDefault="006B5475">
            <w:pPr>
              <w:pStyle w:val="P68B1DB1-Normal10"/>
              <w:spacing w:line="240" w:lineRule="auto"/>
              <w:ind w:left="52"/>
              <w:rPr>
                <w:rFonts w:eastAsia="Times New Roman"/>
                <w:noProof/>
                <w:lang w:val="bg-BG"/>
              </w:rPr>
            </w:pPr>
            <w:r w:rsidRPr="00782BF9">
              <w:rPr>
                <w:noProof/>
                <w:lang w:val="bg-BG"/>
              </w:rPr>
              <w:t>C9.R4 Укрепване на правилата, свързани с декларациите за имущественото състояние</w:t>
            </w:r>
          </w:p>
        </w:tc>
        <w:tc>
          <w:tcPr>
            <w:tcW w:w="883" w:type="dxa"/>
            <w:shd w:val="clear" w:color="auto" w:fill="C6EFCE"/>
            <w:vAlign w:val="center"/>
          </w:tcPr>
          <w:p w14:paraId="43B33BD9"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Ключов етап</w:t>
            </w:r>
          </w:p>
        </w:tc>
        <w:tc>
          <w:tcPr>
            <w:tcW w:w="1417" w:type="dxa"/>
            <w:shd w:val="clear" w:color="auto" w:fill="C6EFCE"/>
            <w:vAlign w:val="center"/>
          </w:tcPr>
          <w:p w14:paraId="4E0BC26E"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Въвеждане на ефективни административни и наказателни санкции във връзка със сериозни нарушения на задълженията за деклариране на имущественото състояние</w:t>
            </w:r>
          </w:p>
        </w:tc>
        <w:tc>
          <w:tcPr>
            <w:tcW w:w="1276" w:type="dxa"/>
            <w:shd w:val="clear" w:color="auto" w:fill="C6EFCE"/>
            <w:vAlign w:val="center"/>
          </w:tcPr>
          <w:p w14:paraId="342EE48E"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Начало на прилагането на новия режим на санкции във връзка със сериозни нарушения на задълженията за деклариране на имущественото състояние</w:t>
            </w:r>
          </w:p>
        </w:tc>
        <w:tc>
          <w:tcPr>
            <w:tcW w:w="1134" w:type="dxa"/>
            <w:shd w:val="clear" w:color="auto" w:fill="C6EFCE"/>
            <w:vAlign w:val="center"/>
          </w:tcPr>
          <w:p w14:paraId="0602F953"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3B23A18C"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60F93AC5"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54507946"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2E4946E0"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4C30CE0D" w14:textId="6E063B68" w:rsidR="00CE3BAD" w:rsidRPr="00782BF9" w:rsidRDefault="006B5475">
            <w:pPr>
              <w:pStyle w:val="P68B1DB1-Normal10"/>
              <w:spacing w:line="240" w:lineRule="auto"/>
              <w:ind w:left="52"/>
              <w:rPr>
                <w:rFonts w:eastAsia="Times New Roman"/>
                <w:noProof/>
                <w:lang w:val="bg-BG"/>
              </w:rPr>
            </w:pPr>
            <w:r w:rsidRPr="00782BF9">
              <w:rPr>
                <w:noProof/>
                <w:lang w:val="bg-BG"/>
              </w:rPr>
              <w:t>Завършват се конкретните действия в националната стратегия за борба с корупцията и плана за действие (етап 178) за въвеждане на ефективен, пропорционален и достатъчно възпиращ режим на санкции (включително наказателни и административни санкции) за тежки нарушения, свързани със задълженията на лицата, спрямо които се прилагат правилата за деклариране на имущественото състояние, и започва да се прилага съответният режим на санкции.</w:t>
            </w:r>
          </w:p>
        </w:tc>
      </w:tr>
      <w:tr w:rsidR="00CE3BAD" w:rsidRPr="00782BF9" w14:paraId="3812ED73" w14:textId="77777777">
        <w:trPr>
          <w:trHeight w:val="987"/>
        </w:trPr>
        <w:tc>
          <w:tcPr>
            <w:tcW w:w="807" w:type="dxa"/>
            <w:gridSpan w:val="2"/>
            <w:shd w:val="clear" w:color="auto" w:fill="C6EFCE"/>
            <w:vAlign w:val="center"/>
          </w:tcPr>
          <w:p w14:paraId="06AD7825" w14:textId="014A3C5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174</w:t>
            </w:r>
          </w:p>
        </w:tc>
        <w:tc>
          <w:tcPr>
            <w:tcW w:w="1493" w:type="dxa"/>
            <w:shd w:val="clear" w:color="auto" w:fill="C6EFCE"/>
            <w:vAlign w:val="center"/>
          </w:tcPr>
          <w:p w14:paraId="47E6C5C2" w14:textId="1C31CA3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C9.R5 Гарантиране на прозрачността при използването на публични ресурси от фондации за управление на активи от обществен интерес</w:t>
            </w:r>
          </w:p>
        </w:tc>
        <w:tc>
          <w:tcPr>
            <w:tcW w:w="883" w:type="dxa"/>
            <w:shd w:val="clear" w:color="auto" w:fill="C6EFCE"/>
            <w:vAlign w:val="center"/>
          </w:tcPr>
          <w:p w14:paraId="7B3D84A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0217116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акт, с който се гарантира ефективен надзор върху начина, по който фондациите за управление на активи от обществен интерес, извършващи дейност в обществен интерес, и юридическите лица, установени или поддържани от тях, използват подкрепата на Съюза</w:t>
            </w:r>
          </w:p>
        </w:tc>
        <w:tc>
          <w:tcPr>
            <w:tcW w:w="1276" w:type="dxa"/>
            <w:shd w:val="clear" w:color="auto" w:fill="C6EFCE"/>
            <w:vAlign w:val="center"/>
          </w:tcPr>
          <w:p w14:paraId="4A0447C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Разпоредба в законодателния акт, указваща влизането в сила</w:t>
            </w:r>
          </w:p>
        </w:tc>
        <w:tc>
          <w:tcPr>
            <w:tcW w:w="1134" w:type="dxa"/>
            <w:shd w:val="clear" w:color="auto" w:fill="C6EFCE"/>
          </w:tcPr>
          <w:p w14:paraId="2141AA0F"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6F25BDFD"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15F68A20"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2E1DA0CD"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41AEB4A2"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665494B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преди подаването на първото искане за плащане съгласно плана за възстановяване и устойчивост на специални законодателни изменения, които:</w:t>
            </w:r>
          </w:p>
          <w:p w14:paraId="55DA704C" w14:textId="6E7D632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 изрично определят фондациите за управление на активи в обществен интерес, извършващи дейност в обществен интерес, и юридическите лица, установени или поддържани от тях, като възлагащи органи по смисъла на раздел 5 от Закон CXLIII от 2005 г. за обществените поръчки; II) да гарантира, че фондациите за управление на активи от обществен интерес, извършващи дейност в обществен интерес, и юридическите лица, установени или поддържани от тях, както и техният персонал, включително председателите и членовете на техните управителни и надзорни съвети, които участват в изпълнението на подкрепата от Съюза в каквото и да е качество (като крайни получатели, бенефициери или посредници), подлежат на същите изисквания като приложимите за публичноправните субекти и правните субекти, управлявани от тях в унгарското законодателство относно достъпа до публична информация и одита и контрола — включително във връзка с правилата относно конфликтите на интереси — във връзка с участието им в подкрепа от Съюза; и iii) гарантиране на пълното съответствие на правилата, приложими за всички лица, заемащи длъжност или наети от фондации за управление на активи от обществен интерес, извършващи дейност в обществен интерес, и юридическите лица, установени или поддържани от тях, с разпоредбите на член 61 от Регламент (ЕС, Евратом) 2018/1046 и с инструкциите и практиката, определени в Известието на Комисията относно насоки относно избягването и управлението на конфликти на интереси съгласно Финансовия регламент (2021/C 121/01), независимо от другите им дейности и функции, включително в унгарското правителство.</w:t>
            </w:r>
          </w:p>
        </w:tc>
      </w:tr>
      <w:tr w:rsidR="00CE3BAD" w:rsidRPr="00782BF9" w14:paraId="5DE19775" w14:textId="77777777">
        <w:trPr>
          <w:trHeight w:val="987"/>
        </w:trPr>
        <w:tc>
          <w:tcPr>
            <w:tcW w:w="807" w:type="dxa"/>
            <w:gridSpan w:val="2"/>
            <w:shd w:val="clear" w:color="auto" w:fill="C6EFCE"/>
            <w:vAlign w:val="center"/>
          </w:tcPr>
          <w:p w14:paraId="19E4C8F8" w14:textId="108764D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175</w:t>
            </w:r>
          </w:p>
        </w:tc>
        <w:tc>
          <w:tcPr>
            <w:tcW w:w="1493" w:type="dxa"/>
            <w:shd w:val="clear" w:color="auto" w:fill="C6EFCE"/>
            <w:vAlign w:val="center"/>
          </w:tcPr>
          <w:p w14:paraId="78FE94DA" w14:textId="3A3237F2" w:rsidR="00CE3BAD" w:rsidRPr="00782BF9" w:rsidRDefault="006B5475">
            <w:pPr>
              <w:pStyle w:val="P68B1DB1-Normal10"/>
              <w:spacing w:after="0" w:line="240" w:lineRule="auto"/>
              <w:ind w:left="52"/>
              <w:rPr>
                <w:rFonts w:eastAsia="Times New Roman"/>
                <w:noProof/>
                <w:lang w:val="bg-BG"/>
              </w:rPr>
            </w:pPr>
            <w:r w:rsidRPr="00782BF9">
              <w:rPr>
                <w:noProof/>
                <w:lang w:val="bg-BG"/>
              </w:rPr>
              <w:t>C9.R6 Повишаване на прозрачността на публичните разходи</w:t>
            </w:r>
          </w:p>
        </w:tc>
        <w:tc>
          <w:tcPr>
            <w:tcW w:w="883" w:type="dxa"/>
            <w:shd w:val="clear" w:color="auto" w:fill="C6EFCE"/>
            <w:vAlign w:val="center"/>
          </w:tcPr>
          <w:p w14:paraId="59A1695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052985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законодателен акт, гарантиращ по-голяма прозрачност на публичните разходи</w:t>
            </w:r>
          </w:p>
        </w:tc>
        <w:tc>
          <w:tcPr>
            <w:tcW w:w="1276" w:type="dxa"/>
            <w:shd w:val="clear" w:color="auto" w:fill="C6EFCE"/>
            <w:vAlign w:val="center"/>
          </w:tcPr>
          <w:p w14:paraId="1BAB908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законодателен акт, гарантиращ по-голяма прозрачност на публичните разходи</w:t>
            </w:r>
          </w:p>
        </w:tc>
        <w:tc>
          <w:tcPr>
            <w:tcW w:w="1134" w:type="dxa"/>
            <w:shd w:val="clear" w:color="auto" w:fill="C6EFCE"/>
          </w:tcPr>
          <w:p w14:paraId="1FD58BF4"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5E66C67D"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27D981C1"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5E538282"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44C29450"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77C087CB" w14:textId="3A16459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преди подаването на първото искане за плащане съгласно плана за възстановяване и устойчивост на законодателен акт, с който се установява задължение за всички публични органи проактивно да публикуват предварително определен набор от информация относно използването на публични средства в централен регистър. Информацията се предоставя в централен регистър, в който се предоставя и информация за подизпълнителите, в съответствие със съответната методика, предоставена в рамките на етап 197. Централният регистър включва уникални идентификатори на договорите в електронната система за обществени поръчки (ЕОП) (ключов етап 197), за да се даде възможност на заявителите на данни да намерят съответната информация относно процедурите за възлагане на обществени поръчки в ЕОС.</w:t>
            </w:r>
          </w:p>
          <w:p w14:paraId="3026629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Законодателният акт установява също така ясни процедури и правила за публикуването на такива данни, включително крайния срок и формата на публикуване.</w:t>
            </w:r>
          </w:p>
          <w:p w14:paraId="4BA03D3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Наборите от данни, които трябва да бъдат качени, са уместни, точни и определени въз основа на принципите на прозрачност и пропорционалност и в съответствие с приложимото право на Съюза.</w:t>
            </w:r>
          </w:p>
          <w:p w14:paraId="5D58B64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Минималният набор от данни, които трябва да бъдат качени в централния регистър, включва: и) всички данни, чието публикуване вече е задължително за целите на прозрачността, включително данните, публикувани в регистъра за прозрачност на държавната помощ; формата на публичните разходи, включително правното основание за тях; III) пълното юридическо име на получателя (за юридическо лице) или собственото и фамилното име на получателя (за физически лица); стойността на публичните разходи; V) дали получателят е физическо или юридическо лице; VI) единен идентификационен код за юридическите лица (идентификационен номер за целите на ДДС или данъчен идентификационен номер, когато има такъв, или друг уникален идентификационен код, установен на национално равнище); VII) подробности за договора, свързани с изразходването на публични средства, включително тяхното естество и цел (вид на използвания договор, вид на използваната тръжна процедура, стойност на договора, дата на подписване, срок на договора, цел, която трябва да бъде постигната, продукт, който трябва да бъде осъществен съгласно договора); VIII) тръжна документация, свързана с изразходването на публични средства, включително тяхното естество и цел (прогнозна стойност, вид на процедурата за възлагане на обществена поръчка, дата на тръжната процедура, брой на подадените оферти, имена на оферентите); IX) имената на доставчиците на услуги, включително имената на подизпълнителите, доставчиците и доставчиците на капацитет, във формат със свободен текст за исторически данни и във формат, който може да се обработва машинно, за бъдещи обществени поръчки; X) планирания дял на подизпълнителите, ако има такъв, както за минали, така и за бъдещи обществени поръчки; (XI) отговорният публичен орган; (XII) датата, на която са отпуснати средствата. </w:t>
            </w:r>
          </w:p>
          <w:p w14:paraId="2F55991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 законодателния акт се посочва, че в допълнение към горепосоченото в централния регистър се предоставя и информация, указваща дали публичните средства включват (изцяло или частично) подкрепа от Съюза над националния праг за обществените поръчки. В законодателния акт също така се посочва, че за процедури за възлагане на обществени поръчки, започнали след 31 март 2023 г., тази информация се включва в регистъра и за процедури, включващи подкрепа от Съюза, която не надвишава националните прагове за възлагане на обществени поръчки.</w:t>
            </w:r>
          </w:p>
          <w:p w14:paraId="01DEABE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Законодателният акт гарантира, че наборите от данни, публикувани в централния регистър, се публикуват в отворен, оперативно съвместим и машинночетим формат, който позволява масовото изтегляне и сортирането, търсенето, извличането, сравняването и повторното използване на данните. В него също така се посочва, че достъпът до данните се предоставя безплатно и без необходимост от регистрация.</w:t>
            </w:r>
          </w:p>
          <w:p w14:paraId="567648C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Законодателният акт включва задължение публичните органи да актуализират данните в централния регистър най-малко веднъж на всеки два месеца (с изключение на данните, които са пряко налични в ВЕУ, които се актуализират в съответствие с честотата, приложима за базата данни с обявления за възлагане на обществени поръчки по линия на ВЕУ).</w:t>
            </w:r>
          </w:p>
          <w:p w14:paraId="12D32EE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Информацията относно доказателството за изпълнение и фактурите продължават да се предоставят при поискване за достъп до публична информация. </w:t>
            </w:r>
          </w:p>
          <w:p w14:paraId="4ABA086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Законодателната рамка гарантира, че правителството упражнява надзор върху спазването и прилагането на задълженията, посочени в горепосочения законодателен акт, и гарантира, че публичните органи изпълняват задължението си да качват всички съответни данни изцяло и своевременно в регистъра.</w:t>
            </w:r>
          </w:p>
        </w:tc>
      </w:tr>
      <w:tr w:rsidR="00CE3BAD" w:rsidRPr="00782BF9" w14:paraId="2E4D7367" w14:textId="77777777">
        <w:trPr>
          <w:trHeight w:val="987"/>
        </w:trPr>
        <w:tc>
          <w:tcPr>
            <w:tcW w:w="807" w:type="dxa"/>
            <w:gridSpan w:val="2"/>
            <w:shd w:val="clear" w:color="auto" w:fill="C6EFCE"/>
            <w:vAlign w:val="center"/>
          </w:tcPr>
          <w:p w14:paraId="327C5240" w14:textId="394A72D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176</w:t>
            </w:r>
          </w:p>
        </w:tc>
        <w:tc>
          <w:tcPr>
            <w:tcW w:w="1493" w:type="dxa"/>
            <w:shd w:val="clear" w:color="auto" w:fill="C6EFCE"/>
            <w:vAlign w:val="center"/>
          </w:tcPr>
          <w:p w14:paraId="666C268F" w14:textId="46A2001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C9.R6 Повишаване на прозрачността на публичните разходи</w:t>
            </w:r>
          </w:p>
        </w:tc>
        <w:tc>
          <w:tcPr>
            <w:tcW w:w="883" w:type="dxa"/>
            <w:shd w:val="clear" w:color="auto" w:fill="C6EFCE"/>
            <w:vAlign w:val="center"/>
          </w:tcPr>
          <w:p w14:paraId="5E10167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A3A96E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Централният регистър, създаден в рамките на коригиращите мерки в процедурата за обвързаност с условия, е напълно функциониращ и пълният набор от изисквана информация е на разположение в него</w:t>
            </w:r>
          </w:p>
        </w:tc>
        <w:tc>
          <w:tcPr>
            <w:tcW w:w="1276" w:type="dxa"/>
            <w:shd w:val="clear" w:color="auto" w:fill="C6EFCE"/>
            <w:vAlign w:val="center"/>
          </w:tcPr>
          <w:p w14:paraId="24BB837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Съответните публични органи са качили всички необходими данни в централния регистър и централният регистър е достъпен за обществеността</w:t>
            </w:r>
          </w:p>
        </w:tc>
        <w:tc>
          <w:tcPr>
            <w:tcW w:w="1134" w:type="dxa"/>
            <w:shd w:val="clear" w:color="auto" w:fill="C6EFCE"/>
          </w:tcPr>
          <w:p w14:paraId="48B04A5F"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2E21F0EF"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6724D32B"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0AC60A5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6A886148"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vAlign w:val="center"/>
          </w:tcPr>
          <w:p w14:paraId="0D08FCA6" w14:textId="1627920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Централният регистър с характеристиките, описани в етап 175, е напълно оперативен и се качва пълният набор от информация по етап 175 (включително за информация, показваща дали публичните средства включват (изцяло или частично) подкрепа от Съюза за обществени поръчки под и над националните прагове за обществени поръчки) и се гарантира, че той ще продължи да бъде качван. </w:t>
            </w:r>
          </w:p>
          <w:p w14:paraId="2CD1189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 да се изпълни това изискване, на съответните публични органи се предоставя разработването на приложението, което се изисква за предоставянето на данни, и приложимият образец за предоставяне на данни, на съответните публични органи се предоставя информация относно данните, които трябва да бъдат оповестени. Първото предоставяне на данни се извършва непрекъснато от началото на експлоатацията на заявлението.</w:t>
            </w:r>
          </w:p>
          <w:p w14:paraId="6CA919BE" w14:textId="4471A1E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когато публичните органи са качили изцяло в централния регистър всички съответни данни, както е предвидено в етап 175, и централният регистър е достъпен за обществеността с всички функции, описани в етап 175.</w:t>
            </w:r>
          </w:p>
        </w:tc>
      </w:tr>
      <w:tr w:rsidR="00CE3BAD" w:rsidRPr="00782BF9" w14:paraId="73B20B53" w14:textId="77777777">
        <w:trPr>
          <w:trHeight w:val="987"/>
        </w:trPr>
        <w:tc>
          <w:tcPr>
            <w:tcW w:w="807" w:type="dxa"/>
            <w:gridSpan w:val="2"/>
            <w:shd w:val="clear" w:color="auto" w:fill="C6EFCE"/>
            <w:vAlign w:val="center"/>
          </w:tcPr>
          <w:p w14:paraId="22ECF491" w14:textId="256C7C9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177</w:t>
            </w:r>
          </w:p>
        </w:tc>
        <w:tc>
          <w:tcPr>
            <w:tcW w:w="1493" w:type="dxa"/>
            <w:shd w:val="clear" w:color="auto" w:fill="C6EFCE"/>
            <w:vAlign w:val="center"/>
          </w:tcPr>
          <w:p w14:paraId="776F2FD2" w14:textId="6FDB4C3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C9.R7 Разработване и прилагане на национална стратегия и план за действие за борба с корупцията</w:t>
            </w:r>
          </w:p>
        </w:tc>
        <w:tc>
          <w:tcPr>
            <w:tcW w:w="883" w:type="dxa"/>
            <w:shd w:val="clear" w:color="auto" w:fill="C6EFCE"/>
            <w:vAlign w:val="center"/>
          </w:tcPr>
          <w:p w14:paraId="7F8A80A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7F75655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Укрепване на рамката за борба с корупцията в Унгария чрез изпълнение на конкретни действия в рамките на националната стратегия за борба с корупцията и свързания с нея план за действие за периода 2020—2022 г.</w:t>
            </w:r>
          </w:p>
        </w:tc>
        <w:tc>
          <w:tcPr>
            <w:tcW w:w="1276" w:type="dxa"/>
            <w:shd w:val="clear" w:color="auto" w:fill="C6EFCE"/>
            <w:vAlign w:val="center"/>
          </w:tcPr>
          <w:p w14:paraId="55BDDE7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Изпълнение от правителството на конкретни действия в рамките на Националната стратегия за борба с корупцията и свързания с нея план за действие за периода 2020—2022 г.</w:t>
            </w:r>
          </w:p>
        </w:tc>
        <w:tc>
          <w:tcPr>
            <w:tcW w:w="1134" w:type="dxa"/>
            <w:shd w:val="clear" w:color="auto" w:fill="C6EFCE"/>
          </w:tcPr>
          <w:p w14:paraId="700CAB62"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3117D03B"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799C2432"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76259E4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1C35FD6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5E47631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изпълнява изцяло действия № 1, 6, 2, 3, 4a, 6b, 7a, 7b, 10, 12, 13, 17, 14, 15, 16 и 18, произтичащи от Правителствено решение 1328/2020 (VI. 19.).</w:t>
            </w:r>
          </w:p>
        </w:tc>
      </w:tr>
      <w:tr w:rsidR="00CE3BAD" w:rsidRPr="00782BF9" w14:paraId="52E03F0F" w14:textId="77777777">
        <w:trPr>
          <w:trHeight w:val="987"/>
        </w:trPr>
        <w:tc>
          <w:tcPr>
            <w:tcW w:w="807" w:type="dxa"/>
            <w:gridSpan w:val="2"/>
            <w:shd w:val="clear" w:color="auto" w:fill="C6EFCE"/>
            <w:vAlign w:val="center"/>
          </w:tcPr>
          <w:p w14:paraId="7812617C" w14:textId="61FD859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178</w:t>
            </w:r>
          </w:p>
        </w:tc>
        <w:tc>
          <w:tcPr>
            <w:tcW w:w="1493" w:type="dxa"/>
            <w:shd w:val="clear" w:color="auto" w:fill="C6EFCE"/>
            <w:vAlign w:val="center"/>
          </w:tcPr>
          <w:p w14:paraId="7432BCBE" w14:textId="45ECC6FD"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C9.R7 Разработване и прилагане на национална стратегия и план за действие за борба с корупцията</w:t>
            </w:r>
          </w:p>
        </w:tc>
        <w:tc>
          <w:tcPr>
            <w:tcW w:w="883" w:type="dxa"/>
            <w:shd w:val="clear" w:color="auto" w:fill="C6EFCE"/>
            <w:vAlign w:val="center"/>
          </w:tcPr>
          <w:p w14:paraId="597FB80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13C42A9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Укрепване на рамката за борба с корупцията в Унгария чрез въвеждане на нова национална стратегия за борба с корупцията и свързан с нея план за действие</w:t>
            </w:r>
          </w:p>
        </w:tc>
        <w:tc>
          <w:tcPr>
            <w:tcW w:w="1276" w:type="dxa"/>
            <w:shd w:val="clear" w:color="auto" w:fill="C6EFCE"/>
            <w:vAlign w:val="center"/>
          </w:tcPr>
          <w:p w14:paraId="67A24C8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Приемане и започване на изпълнението от правителството на новата национална стратегия за борба с корупцията и свързания с нея план за действие</w:t>
            </w:r>
          </w:p>
        </w:tc>
        <w:tc>
          <w:tcPr>
            <w:tcW w:w="1134" w:type="dxa"/>
            <w:shd w:val="clear" w:color="auto" w:fill="C6EFCE"/>
          </w:tcPr>
          <w:p w14:paraId="585EABF0"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42F6E84F"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153AFB8A"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12D092A2"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66961ED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vAlign w:val="center"/>
          </w:tcPr>
          <w:p w14:paraId="282A6E68" w14:textId="5F4B33F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приема нова национална стратегия за борба с корупцията и свързан с нея план за действие, включително действия, които се изпълняват в периода между 1 юли 2023 г. и 31 декември 2025 г. и които се изготвят в диалог със съответните заинтересовани страни. Стратегията и планът за действие се изготвят с участието на Работната група за борба с корупцията, създадена в съответствие с ключов етап 166, въз основа на политически съвети от ОИСР, след обширни консултации със заинтересованите страни на национално и международно равнище, включително Комисията и GRECO, и в диалог със заинтересованите страни относно включването на техните препоръки.</w:t>
            </w:r>
          </w:p>
          <w:p w14:paraId="7EDA641E" w14:textId="662F5A5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Националната стратегия за борба с корупцията се основава на стратегията по ключов етап 220 и е в съответствие с нея. Основният му приоритет е ефективното подобряване на механизмите за гарантиране на предотвратяването, разкриването и коригирането на измами и корупция (включително в системата за възлагане на обществени поръчки) и укрепването на системата за преодоляване на рисковете от конфликти на интереси. Той обръща особено внимание на укрепването на институционалната и нормативната рамка за борба с корупцията по високите етажи на властта чрез повишаване на прозрачността на работата на публичните органи (включително на високо политическо равнище). Тя гарантира съгласувано прилагане на мерките за борба с измамите и корупцията както по отношение на финансовата подкрепа на национално равнище, така и на равнището на Съюза.</w:t>
            </w:r>
          </w:p>
          <w:p w14:paraId="1B3FD90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Планът за действие включва най-малко следните специални действия: и) засилване на репресиите срещу корупцията; II) укрепване на процедурите за административен контрол, независими от разследванията на правоприлагащите органи (включително механизмите за проверка, контрол и санкциониране), свързани с декларациите за имуществено състояние; III) разработване на ефективни вътрешни механизми за насърчаване и повишаване на осведомеността по въпросите на почтеността в правителството (включително чрез общо обучение за целия персонал и поверителни консултации на висше изпълнително и политическо равнище; IV) преглед на прилагането на Кодекса за професионална етика от унгарския държавен официален корпус, както и на практиките на местните правителства за идентифициране и насърчаване на най-добри практики по отношение на контактите с лобисти и предотвратяването на конфликти на интереси; V) приемане, предоставяне на публичен достъп и започване на прилагането на кодекс за поведение за лицата с висши изпълнителни функции (както е определено от GRECO), като се предоставят ясни насоки по въпроси, свързани с почтеността (включително по отношение на а) контакта с лобисти, б) ограниченията след прекратяване на трудовото правоотношение [по отношение на практиката на „кадрова въртележка между държавния и частния сектор“] и в) заетостта на роднините и насърчаването на заетостта [непотизъм]); VI) с незабавен краен срок за изпълнение на всички остатъчни действия, произтичащи от Решение 1328/2020 на правителството (VI. 19.) не е изпълнено до 30 юни 2023 г.</w:t>
            </w:r>
          </w:p>
          <w:p w14:paraId="7B75740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Подточка ii) по-горе включва конкретни действия за въвеждане на ефективен, пропорционален и достатъчно възпиращ режим на санкции (включително наказателни и административни санкции) по отношение на сериозни нарушения, свързани със задълженията на лицата, спрямо които се прилагат правилата за деклариране на имущественото състояние.</w:t>
            </w:r>
          </w:p>
          <w:p w14:paraId="63F1EB64" w14:textId="77EAD3C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след като правителството приеме и оповести публично стратегията и плана за действие, след като разгледа препоръките на Работната група за предотвратяване на корупцията (етап 166) въз основа на предварително предоставен ѝ проект.</w:t>
            </w:r>
          </w:p>
        </w:tc>
      </w:tr>
      <w:tr w:rsidR="00CE3BAD" w:rsidRPr="00782BF9" w14:paraId="416B04F3" w14:textId="77777777">
        <w:trPr>
          <w:trHeight w:val="987"/>
        </w:trPr>
        <w:tc>
          <w:tcPr>
            <w:tcW w:w="807" w:type="dxa"/>
            <w:gridSpan w:val="2"/>
            <w:shd w:val="clear" w:color="auto" w:fill="C6EFCE"/>
            <w:vAlign w:val="center"/>
          </w:tcPr>
          <w:p w14:paraId="7FDFF338" w14:textId="474B84A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179</w:t>
            </w:r>
          </w:p>
        </w:tc>
        <w:tc>
          <w:tcPr>
            <w:tcW w:w="1493" w:type="dxa"/>
            <w:shd w:val="clear" w:color="auto" w:fill="C6EFCE"/>
            <w:vAlign w:val="center"/>
          </w:tcPr>
          <w:p w14:paraId="4D82A434" w14:textId="6197F181"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C9.R7 Разработване и прилагане на национална стратегия и план за действие за борба с корупцията</w:t>
            </w:r>
          </w:p>
        </w:tc>
        <w:tc>
          <w:tcPr>
            <w:tcW w:w="883" w:type="dxa"/>
            <w:shd w:val="clear" w:color="auto" w:fill="C6EFCE"/>
            <w:vAlign w:val="center"/>
          </w:tcPr>
          <w:p w14:paraId="27E2384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C95F06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Укрепване на рамката за борба с корупцията в Унгария чрез оценка на ефективното изпълнение на действията по новата национална стратегия за борба с корупцията и свързания с нея план за действие</w:t>
            </w:r>
          </w:p>
        </w:tc>
        <w:tc>
          <w:tcPr>
            <w:tcW w:w="1276" w:type="dxa"/>
            <w:shd w:val="clear" w:color="auto" w:fill="C6EFCE"/>
            <w:vAlign w:val="center"/>
          </w:tcPr>
          <w:p w14:paraId="0F33AB5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Приемане и публикуване на доклад за изпълнението на действията в плана за действие</w:t>
            </w:r>
          </w:p>
        </w:tc>
        <w:tc>
          <w:tcPr>
            <w:tcW w:w="1134" w:type="dxa"/>
            <w:shd w:val="clear" w:color="auto" w:fill="C6EFCE"/>
          </w:tcPr>
          <w:p w14:paraId="4C418E09"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09F2D028"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43283CB0"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79AD019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7D227C3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tcPr>
          <w:p w14:paraId="2F03D76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приема и оповестява публично доклад за оценка на изпълнението на новата национална стратегия за борба с корупцията и на действията, предвидени в плана за действие.</w:t>
            </w:r>
          </w:p>
        </w:tc>
      </w:tr>
      <w:tr w:rsidR="00CE3BAD" w:rsidRPr="00782BF9" w14:paraId="120C718F" w14:textId="77777777">
        <w:trPr>
          <w:trHeight w:val="1412"/>
        </w:trPr>
        <w:tc>
          <w:tcPr>
            <w:tcW w:w="807" w:type="dxa"/>
            <w:gridSpan w:val="2"/>
            <w:shd w:val="clear" w:color="auto" w:fill="C6EFCE"/>
            <w:vAlign w:val="center"/>
            <w:hideMark/>
          </w:tcPr>
          <w:p w14:paraId="7B58136E" w14:textId="0ADE577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180</w:t>
            </w:r>
          </w:p>
        </w:tc>
        <w:tc>
          <w:tcPr>
            <w:tcW w:w="1493" w:type="dxa"/>
            <w:shd w:val="clear" w:color="auto" w:fill="C6EFCE"/>
            <w:vAlign w:val="center"/>
            <w:hideMark/>
          </w:tcPr>
          <w:p w14:paraId="7CEE61A9" w14:textId="65019A1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C9.R8 Актуализиране на системите за сътрудничество на прокуратурата с цел борба с корупционните практики.</w:t>
            </w:r>
          </w:p>
        </w:tc>
        <w:tc>
          <w:tcPr>
            <w:tcW w:w="883" w:type="dxa"/>
            <w:shd w:val="clear" w:color="auto" w:fill="C6EFCE"/>
            <w:vAlign w:val="center"/>
            <w:hideMark/>
          </w:tcPr>
          <w:p w14:paraId="6025969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hideMark/>
          </w:tcPr>
          <w:p w14:paraId="1D0F04F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Създаване на нова информационна система за обработка на чувствителни документи на прокуратурата</w:t>
            </w:r>
          </w:p>
        </w:tc>
        <w:tc>
          <w:tcPr>
            <w:tcW w:w="1276" w:type="dxa"/>
            <w:shd w:val="clear" w:color="auto" w:fill="C6EFCE"/>
            <w:vAlign w:val="center"/>
            <w:hideMark/>
          </w:tcPr>
          <w:p w14:paraId="643F012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Новата информационна система за обработка на чувствителни документи, в съответствие с описанията на системата, е напълно функционална и функционираща и прокуратурата започна да я използва </w:t>
            </w:r>
          </w:p>
        </w:tc>
        <w:tc>
          <w:tcPr>
            <w:tcW w:w="1134" w:type="dxa"/>
            <w:shd w:val="clear" w:color="auto" w:fill="C6EFCE"/>
            <w:vAlign w:val="center"/>
          </w:tcPr>
          <w:p w14:paraId="601B10B3"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095C8856"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3DE6EE89"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hideMark/>
          </w:tcPr>
          <w:p w14:paraId="5F59C673" w14:textId="3CF39C32"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hideMark/>
          </w:tcPr>
          <w:p w14:paraId="121F0AF6" w14:textId="68BBFE75"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hideMark/>
          </w:tcPr>
          <w:p w14:paraId="4BF4496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Въз основа на подробно описание на системата се създава нова информационна система за обработка на чувствителни документи, които подпомагат и улесняват административната работа и обмена на информация на най-малко седем организационни звена, участващи в прокурорски разследвания.</w:t>
            </w:r>
          </w:p>
          <w:p w14:paraId="75B09336" w14:textId="19D623E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след като след провеждането на необходимите изпитвания на информационната система и обучението за необходимия персонал системата е напълно функционална и оперативна и е задействана (т.е. седемте организационни звена, участващи в прокурорски разследвания, са започнали да го използват).</w:t>
            </w:r>
          </w:p>
        </w:tc>
      </w:tr>
      <w:tr w:rsidR="00CE3BAD" w:rsidRPr="00782BF9" w14:paraId="1C41F199" w14:textId="77777777">
        <w:trPr>
          <w:trHeight w:val="845"/>
        </w:trPr>
        <w:tc>
          <w:tcPr>
            <w:tcW w:w="807" w:type="dxa"/>
            <w:gridSpan w:val="2"/>
            <w:shd w:val="clear" w:color="auto" w:fill="C6EFCE"/>
            <w:vAlign w:val="center"/>
          </w:tcPr>
          <w:p w14:paraId="026D4701" w14:textId="273641E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181</w:t>
            </w:r>
          </w:p>
        </w:tc>
        <w:tc>
          <w:tcPr>
            <w:tcW w:w="1493" w:type="dxa"/>
            <w:shd w:val="clear" w:color="auto" w:fill="C6EFCE"/>
            <w:vAlign w:val="center"/>
          </w:tcPr>
          <w:p w14:paraId="3549B2DA" w14:textId="0A8E1A6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C9.R8 Актуализиране на системите за сътрудничество на прокуратурата с цел борба с корупционните практики.</w:t>
            </w:r>
          </w:p>
        </w:tc>
        <w:tc>
          <w:tcPr>
            <w:tcW w:w="883" w:type="dxa"/>
            <w:shd w:val="clear" w:color="auto" w:fill="C6EFCE"/>
            <w:vAlign w:val="center"/>
          </w:tcPr>
          <w:p w14:paraId="675F259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4832253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Създаване на нова информационна система за разглеждане на преписките по делата на прокуратурата</w:t>
            </w:r>
          </w:p>
        </w:tc>
        <w:tc>
          <w:tcPr>
            <w:tcW w:w="1276" w:type="dxa"/>
            <w:shd w:val="clear" w:color="auto" w:fill="C6EFCE"/>
            <w:vAlign w:val="center"/>
          </w:tcPr>
          <w:p w14:paraId="46CB7A0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Новата информационна система за обработка на преписките по делата, в съответствие с описанията на системата, е напълно функционална и функционираща и прокуратурата започна да я използва</w:t>
            </w:r>
          </w:p>
        </w:tc>
        <w:tc>
          <w:tcPr>
            <w:tcW w:w="1134" w:type="dxa"/>
            <w:shd w:val="clear" w:color="auto" w:fill="C6EFCE"/>
            <w:vAlign w:val="center"/>
          </w:tcPr>
          <w:p w14:paraId="0714B1AA"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3FF081CD"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08B07469"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746E98F0"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51EE2340"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2025</w:t>
            </w:r>
          </w:p>
        </w:tc>
        <w:tc>
          <w:tcPr>
            <w:tcW w:w="4793" w:type="dxa"/>
            <w:shd w:val="clear" w:color="auto" w:fill="C6EFCE"/>
          </w:tcPr>
          <w:p w14:paraId="37CB360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Въз основа на подробно описание на системата се създава нова информационна система за обработка на преписките по делата, която подпомага и улеснява административната работа и обмена на информация между най-малко седем организационни звена, участващи в прокурорски разследвания.</w:t>
            </w:r>
          </w:p>
          <w:p w14:paraId="09E473F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след като след провеждането на необходимите изпитвания на информационната система и обучението за необходимия персонал системата е напълно функционална и оперативна и е задействана (т.е. седемте организационни звена, участващи в прокурорски разследвания, са започнали да го използват).</w:t>
            </w:r>
          </w:p>
        </w:tc>
      </w:tr>
      <w:tr w:rsidR="00CE3BAD" w:rsidRPr="00782BF9" w14:paraId="090ED163" w14:textId="77777777">
        <w:trPr>
          <w:trHeight w:val="1845"/>
        </w:trPr>
        <w:tc>
          <w:tcPr>
            <w:tcW w:w="807" w:type="dxa"/>
            <w:gridSpan w:val="2"/>
            <w:shd w:val="clear" w:color="auto" w:fill="C6EFCE"/>
            <w:vAlign w:val="center"/>
            <w:hideMark/>
          </w:tcPr>
          <w:p w14:paraId="7F57A305" w14:textId="5716B5C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br w:type="page"/>
              <w:t>182</w:t>
            </w:r>
          </w:p>
        </w:tc>
        <w:tc>
          <w:tcPr>
            <w:tcW w:w="1493" w:type="dxa"/>
            <w:shd w:val="clear" w:color="auto" w:fill="C6EFCE"/>
            <w:vAlign w:val="center"/>
            <w:hideMark/>
          </w:tcPr>
          <w:p w14:paraId="6016066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C9.R9</w:t>
            </w:r>
            <w:r w:rsidRPr="00782BF9">
              <w:rPr>
                <w:rFonts w:ascii="Times New Roman" w:hAnsi="Times New Roman"/>
                <w:b/>
                <w:noProof/>
                <w:lang w:val="bg-BG"/>
              </w:rPr>
              <w:t xml:space="preserve"> </w:t>
            </w:r>
            <w:r w:rsidRPr="00782BF9">
              <w:rPr>
                <w:noProof/>
                <w:lang w:val="bg-BG"/>
              </w:rPr>
              <w:t xml:space="preserve">Повишаване на осведомеността за премахване на безплатните плащания в сектора на здравеопазването  </w:t>
            </w:r>
          </w:p>
        </w:tc>
        <w:tc>
          <w:tcPr>
            <w:tcW w:w="883" w:type="dxa"/>
            <w:shd w:val="clear" w:color="auto" w:fill="C6EFCE"/>
            <w:vAlign w:val="center"/>
            <w:hideMark/>
          </w:tcPr>
          <w:p w14:paraId="47FF91F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 </w:t>
            </w:r>
          </w:p>
        </w:tc>
        <w:tc>
          <w:tcPr>
            <w:tcW w:w="1417" w:type="dxa"/>
            <w:shd w:val="clear" w:color="auto" w:fill="C6EFCE"/>
            <w:vAlign w:val="center"/>
            <w:hideMark/>
          </w:tcPr>
          <w:p w14:paraId="328FFC6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Стартиране на кампания за повишаване на осведомеността относно приемливостта на полагащите се стипендии в здравеопазването</w:t>
            </w:r>
          </w:p>
        </w:tc>
        <w:tc>
          <w:tcPr>
            <w:tcW w:w="1276" w:type="dxa"/>
            <w:shd w:val="clear" w:color="auto" w:fill="C6EFCE"/>
            <w:vAlign w:val="center"/>
            <w:hideMark/>
          </w:tcPr>
          <w:p w14:paraId="58D2304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Договорът с изпълнителя, изпълняващ обществената кампания за повишаване на осведомеността, е подписан и кампанията е започнала</w:t>
            </w:r>
          </w:p>
          <w:p w14:paraId="1292736D" w14:textId="77777777" w:rsidR="00CE3BAD" w:rsidRPr="00782BF9" w:rsidRDefault="00CE3BAD">
            <w:pPr>
              <w:spacing w:after="0" w:line="240" w:lineRule="auto"/>
              <w:ind w:left="52"/>
              <w:textAlignment w:val="baseline"/>
              <w:rPr>
                <w:rFonts w:eastAsia="Times New Roman"/>
                <w:noProof/>
                <w:sz w:val="18"/>
                <w:lang w:val="bg-BG"/>
              </w:rPr>
            </w:pPr>
          </w:p>
        </w:tc>
        <w:tc>
          <w:tcPr>
            <w:tcW w:w="1134" w:type="dxa"/>
            <w:shd w:val="clear" w:color="auto" w:fill="C6EFCE"/>
            <w:vAlign w:val="center"/>
            <w:hideMark/>
          </w:tcPr>
          <w:p w14:paraId="1762E47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1" w:type="dxa"/>
            <w:shd w:val="clear" w:color="auto" w:fill="C6EFCE"/>
            <w:vAlign w:val="center"/>
            <w:hideMark/>
          </w:tcPr>
          <w:p w14:paraId="47E3176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0" w:type="dxa"/>
            <w:shd w:val="clear" w:color="auto" w:fill="C6EFCE"/>
            <w:vAlign w:val="center"/>
            <w:hideMark/>
          </w:tcPr>
          <w:p w14:paraId="6E05750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709" w:type="dxa"/>
            <w:shd w:val="clear" w:color="auto" w:fill="C6EFCE"/>
            <w:vAlign w:val="center"/>
            <w:hideMark/>
          </w:tcPr>
          <w:p w14:paraId="62685B1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Т4 Г. </w:t>
            </w:r>
          </w:p>
        </w:tc>
        <w:tc>
          <w:tcPr>
            <w:tcW w:w="709" w:type="dxa"/>
            <w:shd w:val="clear" w:color="auto" w:fill="C6EFCE"/>
            <w:vAlign w:val="center"/>
            <w:hideMark/>
          </w:tcPr>
          <w:p w14:paraId="587CA79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2022 </w:t>
            </w:r>
          </w:p>
        </w:tc>
        <w:tc>
          <w:tcPr>
            <w:tcW w:w="4793" w:type="dxa"/>
            <w:shd w:val="clear" w:color="auto" w:fill="C6EFCE"/>
            <w:hideMark/>
          </w:tcPr>
          <w:p w14:paraId="4135A12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Изготвя се подробна програма на кампанията, за да се гарантира, че кампанията за повишаване на осведомеността относно приемливостта на полагащите се стипендии в здравеопазването е ефективна и достига до мнозинството от гражданите. </w:t>
            </w:r>
          </w:p>
          <w:p w14:paraId="4173F41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Подробната програма на кампанията се приема и договорът за нейното изпълнение с изпълнителя се подписва от Националната служба за защита. </w:t>
            </w:r>
          </w:p>
          <w:p w14:paraId="1868D70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Националната служба за защита обявява официално началото на кампанията за повишаване на осведомеността. </w:t>
            </w:r>
          </w:p>
        </w:tc>
      </w:tr>
      <w:tr w:rsidR="00CE3BAD" w:rsidRPr="00782BF9" w14:paraId="3D181FCD" w14:textId="77777777">
        <w:trPr>
          <w:trHeight w:val="553"/>
        </w:trPr>
        <w:tc>
          <w:tcPr>
            <w:tcW w:w="807" w:type="dxa"/>
            <w:gridSpan w:val="2"/>
            <w:shd w:val="clear" w:color="auto" w:fill="C6EFCE"/>
            <w:vAlign w:val="center"/>
          </w:tcPr>
          <w:p w14:paraId="18837744" w14:textId="0F9D2BE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183</w:t>
            </w:r>
          </w:p>
        </w:tc>
        <w:tc>
          <w:tcPr>
            <w:tcW w:w="1493" w:type="dxa"/>
            <w:shd w:val="clear" w:color="auto" w:fill="C6EFCE"/>
            <w:vAlign w:val="center"/>
          </w:tcPr>
          <w:p w14:paraId="06833D4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C9.R9 Повишаване на осведомеността за премахване на безплатните плащания в сектора на здравеопазването   </w:t>
            </w:r>
          </w:p>
        </w:tc>
        <w:tc>
          <w:tcPr>
            <w:tcW w:w="883" w:type="dxa"/>
            <w:shd w:val="clear" w:color="auto" w:fill="C6EFCE"/>
            <w:vAlign w:val="center"/>
          </w:tcPr>
          <w:p w14:paraId="73D3856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14B1460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Междинна оценка на първите резултати от кампанията за повишаване на осведомеността относно приемливостта на безплатните плащания в здравеопазването</w:t>
            </w:r>
          </w:p>
        </w:tc>
        <w:tc>
          <w:tcPr>
            <w:tcW w:w="1276" w:type="dxa"/>
            <w:shd w:val="clear" w:color="auto" w:fill="C6EFCE"/>
            <w:vAlign w:val="center"/>
          </w:tcPr>
          <w:p w14:paraId="6FD8B915" w14:textId="4B61A99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Приключване на междинната оценка на първите резултати от кампанията за повишаване на осведомеността  </w:t>
            </w:r>
          </w:p>
        </w:tc>
        <w:tc>
          <w:tcPr>
            <w:tcW w:w="1134" w:type="dxa"/>
            <w:shd w:val="clear" w:color="auto" w:fill="C6EFCE"/>
            <w:vAlign w:val="center"/>
          </w:tcPr>
          <w:p w14:paraId="68415775"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2DC51506"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7CC441C5"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101C246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22ADEE7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2023</w:t>
            </w:r>
          </w:p>
        </w:tc>
        <w:tc>
          <w:tcPr>
            <w:tcW w:w="4793" w:type="dxa"/>
            <w:shd w:val="clear" w:color="auto" w:fill="C6EFCE"/>
            <w:vAlign w:val="center"/>
          </w:tcPr>
          <w:p w14:paraId="05A2440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Изготвяне и приемане на междинен доклад за оценка на първите резултати от кампанията за повишаване на осведомеността, в който се посочват извлечените поуки, броят на достигнатите граждани, промяната във възприятието на гражданите относно приемливостта на полагащите се плащания в здравеопазването в сравнение със ситуацията преди стартирането на кампанията за повишаване на осведомеността.</w:t>
            </w:r>
          </w:p>
        </w:tc>
      </w:tr>
      <w:tr w:rsidR="00CE3BAD" w:rsidRPr="00782BF9" w14:paraId="3DE3DD9D" w14:textId="77777777">
        <w:trPr>
          <w:trHeight w:val="562"/>
        </w:trPr>
        <w:tc>
          <w:tcPr>
            <w:tcW w:w="807" w:type="dxa"/>
            <w:gridSpan w:val="2"/>
            <w:shd w:val="clear" w:color="auto" w:fill="C6EFCE"/>
            <w:vAlign w:val="center"/>
            <w:hideMark/>
          </w:tcPr>
          <w:p w14:paraId="6188C6D9" w14:textId="72474EA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184</w:t>
            </w:r>
          </w:p>
        </w:tc>
        <w:tc>
          <w:tcPr>
            <w:tcW w:w="1493" w:type="dxa"/>
            <w:shd w:val="clear" w:color="auto" w:fill="C6EFCE"/>
            <w:vAlign w:val="center"/>
            <w:hideMark/>
          </w:tcPr>
          <w:p w14:paraId="574168B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C9.R9 Повишаване на осведомеността за премахване на безплатните плащания в сектора на здравеопазването   </w:t>
            </w:r>
          </w:p>
        </w:tc>
        <w:tc>
          <w:tcPr>
            <w:tcW w:w="883" w:type="dxa"/>
            <w:shd w:val="clear" w:color="auto" w:fill="C6EFCE"/>
            <w:vAlign w:val="center"/>
            <w:hideMark/>
          </w:tcPr>
          <w:p w14:paraId="035A43C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Целеви </w:t>
            </w:r>
          </w:p>
        </w:tc>
        <w:tc>
          <w:tcPr>
            <w:tcW w:w="1417" w:type="dxa"/>
            <w:shd w:val="clear" w:color="auto" w:fill="C6EFCE"/>
            <w:vAlign w:val="center"/>
            <w:hideMark/>
          </w:tcPr>
          <w:p w14:paraId="38E76F0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Брой на гражданите, до които е достигнала завършената кампания за повишаване на осведомеността </w:t>
            </w:r>
          </w:p>
        </w:tc>
        <w:tc>
          <w:tcPr>
            <w:tcW w:w="1276" w:type="dxa"/>
            <w:shd w:val="clear" w:color="auto" w:fill="C6EFCE"/>
            <w:vAlign w:val="center"/>
            <w:hideMark/>
          </w:tcPr>
          <w:p w14:paraId="219B46C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1134" w:type="dxa"/>
            <w:shd w:val="clear" w:color="auto" w:fill="C6EFCE"/>
            <w:vAlign w:val="center"/>
            <w:hideMark/>
          </w:tcPr>
          <w:p w14:paraId="5CF7BF1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Брой</w:t>
            </w:r>
          </w:p>
        </w:tc>
        <w:tc>
          <w:tcPr>
            <w:tcW w:w="851" w:type="dxa"/>
            <w:shd w:val="clear" w:color="auto" w:fill="C6EFCE"/>
            <w:vAlign w:val="center"/>
            <w:hideMark/>
          </w:tcPr>
          <w:p w14:paraId="276BFF4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0 </w:t>
            </w:r>
          </w:p>
        </w:tc>
        <w:tc>
          <w:tcPr>
            <w:tcW w:w="850" w:type="dxa"/>
            <w:shd w:val="clear" w:color="auto" w:fill="C6EFCE"/>
            <w:vAlign w:val="center"/>
            <w:hideMark/>
          </w:tcPr>
          <w:p w14:paraId="752BFECE" w14:textId="4AF62C1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5</w:t>
            </w:r>
            <w:r w:rsidRPr="00782BF9">
              <w:rPr>
                <w:noProof/>
                <w:color w:val="006100"/>
                <w:lang w:val="bg-BG"/>
              </w:rPr>
              <w:t xml:space="preserve"> </w:t>
            </w:r>
            <w:r w:rsidRPr="00782BF9">
              <w:rPr>
                <w:noProof/>
                <w:lang w:val="bg-BG"/>
              </w:rPr>
              <w:t>000</w:t>
            </w:r>
            <w:r w:rsidRPr="00782BF9">
              <w:rPr>
                <w:noProof/>
                <w:color w:val="006100"/>
                <w:lang w:val="bg-BG"/>
              </w:rPr>
              <w:t xml:space="preserve"> </w:t>
            </w:r>
            <w:r w:rsidRPr="00782BF9">
              <w:rPr>
                <w:noProof/>
                <w:lang w:val="bg-BG"/>
              </w:rPr>
              <w:t>000 </w:t>
            </w:r>
          </w:p>
        </w:tc>
        <w:tc>
          <w:tcPr>
            <w:tcW w:w="709" w:type="dxa"/>
            <w:shd w:val="clear" w:color="auto" w:fill="C6EFCE"/>
            <w:vAlign w:val="center"/>
            <w:hideMark/>
          </w:tcPr>
          <w:p w14:paraId="33DB2CC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Т4 Г. </w:t>
            </w:r>
          </w:p>
        </w:tc>
        <w:tc>
          <w:tcPr>
            <w:tcW w:w="709" w:type="dxa"/>
            <w:shd w:val="clear" w:color="auto" w:fill="C6EFCE"/>
            <w:vAlign w:val="center"/>
            <w:hideMark/>
          </w:tcPr>
          <w:p w14:paraId="7A50D52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2024 </w:t>
            </w:r>
          </w:p>
        </w:tc>
        <w:tc>
          <w:tcPr>
            <w:tcW w:w="4793" w:type="dxa"/>
            <w:shd w:val="clear" w:color="auto" w:fill="C6EFCE"/>
            <w:vAlign w:val="center"/>
            <w:hideMark/>
          </w:tcPr>
          <w:p w14:paraId="0A0D5E35" w14:textId="7591B93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Целта се счита за изпълнена, когато окончателният доклад за кампанията бъде приет от Националната служба за защита и основните резултати от него се оповестяват публично, включително броя на гражданите, достигнати (най-малко 5</w:t>
            </w:r>
            <w:r w:rsidRPr="00782BF9">
              <w:rPr>
                <w:noProof/>
                <w:color w:val="006100"/>
                <w:lang w:val="bg-BG"/>
              </w:rPr>
              <w:t xml:space="preserve">  </w:t>
            </w:r>
            <w:r w:rsidRPr="00782BF9">
              <w:rPr>
                <w:noProof/>
                <w:lang w:val="bg-BG"/>
              </w:rPr>
              <w:t>000 000) от кампанията, валидиран от независимо проучване и посочен в приетия доклад за кампанията, в който също така се описват използваните инструменти на кампанията, достигнатите целеви групи и анализ на промяната в отношението сред гражданите в резултат на кампанията за повишаване на осведомеността относно ликвидирането на подкупите в областта на здравето.</w:t>
            </w:r>
          </w:p>
        </w:tc>
      </w:tr>
      <w:tr w:rsidR="00CE3BAD" w:rsidRPr="00782BF9" w14:paraId="3D7BD91F" w14:textId="77777777">
        <w:trPr>
          <w:trHeight w:val="562"/>
        </w:trPr>
        <w:tc>
          <w:tcPr>
            <w:tcW w:w="807" w:type="dxa"/>
            <w:gridSpan w:val="2"/>
            <w:shd w:val="clear" w:color="auto" w:fill="C6EFCE"/>
            <w:vAlign w:val="center"/>
          </w:tcPr>
          <w:p w14:paraId="16C7703B" w14:textId="58AD5D0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185</w:t>
            </w:r>
          </w:p>
        </w:tc>
        <w:tc>
          <w:tcPr>
            <w:tcW w:w="1493" w:type="dxa"/>
            <w:shd w:val="clear" w:color="auto" w:fill="C6EFCE"/>
            <w:vAlign w:val="center"/>
          </w:tcPr>
          <w:p w14:paraId="7C2947B8" w14:textId="135DA3C3"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56B15833"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Целеви</w:t>
            </w:r>
          </w:p>
        </w:tc>
        <w:tc>
          <w:tcPr>
            <w:tcW w:w="1417" w:type="dxa"/>
            <w:shd w:val="clear" w:color="auto" w:fill="C6EFCE"/>
            <w:vAlign w:val="center"/>
          </w:tcPr>
          <w:p w14:paraId="6C918E31"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Делът на тръжните процедури с една оферта за обществени поръчки, финансирани с подкрепа от Съюза, не надвишава 15 %</w:t>
            </w:r>
          </w:p>
        </w:tc>
        <w:tc>
          <w:tcPr>
            <w:tcW w:w="1276" w:type="dxa"/>
            <w:shd w:val="clear" w:color="auto" w:fill="C6EFCE"/>
            <w:vAlign w:val="center"/>
          </w:tcPr>
          <w:p w14:paraId="2708DCB2" w14:textId="77777777" w:rsidR="00CE3BAD" w:rsidRPr="00782BF9" w:rsidRDefault="00CE3BAD">
            <w:pPr>
              <w:spacing w:line="240" w:lineRule="auto"/>
              <w:ind w:left="52"/>
              <w:rPr>
                <w:rFonts w:eastAsia="Times New Roman"/>
                <w:noProof/>
                <w:sz w:val="18"/>
                <w:lang w:val="bg-BG"/>
              </w:rPr>
            </w:pPr>
          </w:p>
        </w:tc>
        <w:tc>
          <w:tcPr>
            <w:tcW w:w="1134" w:type="dxa"/>
            <w:shd w:val="clear" w:color="auto" w:fill="C6EFCE"/>
            <w:vAlign w:val="center"/>
          </w:tcPr>
          <w:p w14:paraId="1A076BE9"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w:t>
            </w:r>
          </w:p>
        </w:tc>
        <w:tc>
          <w:tcPr>
            <w:tcW w:w="851" w:type="dxa"/>
            <w:shd w:val="clear" w:color="auto" w:fill="C6EFCE"/>
            <w:vAlign w:val="center"/>
          </w:tcPr>
          <w:p w14:paraId="29C39BEB"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16</w:t>
            </w:r>
          </w:p>
        </w:tc>
        <w:tc>
          <w:tcPr>
            <w:tcW w:w="850" w:type="dxa"/>
            <w:shd w:val="clear" w:color="auto" w:fill="C6EFCE"/>
            <w:vAlign w:val="center"/>
          </w:tcPr>
          <w:p w14:paraId="50414AC8"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15</w:t>
            </w:r>
          </w:p>
        </w:tc>
        <w:tc>
          <w:tcPr>
            <w:tcW w:w="709" w:type="dxa"/>
            <w:shd w:val="clear" w:color="auto" w:fill="C6EFCE"/>
            <w:vAlign w:val="center"/>
          </w:tcPr>
          <w:p w14:paraId="73DEAE46"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Т1 Г.</w:t>
            </w:r>
          </w:p>
        </w:tc>
        <w:tc>
          <w:tcPr>
            <w:tcW w:w="709" w:type="dxa"/>
            <w:shd w:val="clear" w:color="auto" w:fill="C6EFCE"/>
            <w:vAlign w:val="center"/>
          </w:tcPr>
          <w:p w14:paraId="40D0A88B"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2023 </w:t>
            </w:r>
          </w:p>
        </w:tc>
        <w:tc>
          <w:tcPr>
            <w:tcW w:w="4793" w:type="dxa"/>
            <w:shd w:val="clear" w:color="auto" w:fill="C6EFCE"/>
            <w:vAlign w:val="center"/>
          </w:tcPr>
          <w:p w14:paraId="1FDEB2B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Делът на процедурите за възлагане на обществени поръчки, които обхващат процедури за възлагане на обществени поръчки с прогнозна стойност както над, така и под праговете на ЕС за възлагане на обществени поръчки, приключени между 1 януари 2022 г. и най-малко 31 декември 2022 г. с една оферта, за обществени поръчки, финансирани поне частично с подкрепа от Съюза, е под 15 %, измерено в съответствие с методиката на информационното табло за единния пазар. Окончателният одитен доклад с одитно становище без резерви на EUTAF потвърждава, че делът на отделните оферти, изчислен в съответствие с горепосочената методика, е под 15 %. </w:t>
            </w:r>
          </w:p>
        </w:tc>
      </w:tr>
      <w:tr w:rsidR="00CE3BAD" w:rsidRPr="00782BF9" w14:paraId="74E2B479" w14:textId="77777777">
        <w:trPr>
          <w:trHeight w:val="703"/>
        </w:trPr>
        <w:tc>
          <w:tcPr>
            <w:tcW w:w="807" w:type="dxa"/>
            <w:gridSpan w:val="2"/>
            <w:shd w:val="clear" w:color="auto" w:fill="C6EFCE"/>
            <w:vAlign w:val="center"/>
          </w:tcPr>
          <w:p w14:paraId="534559A5" w14:textId="2429C9C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186</w:t>
            </w:r>
          </w:p>
        </w:tc>
        <w:tc>
          <w:tcPr>
            <w:tcW w:w="1493" w:type="dxa"/>
            <w:shd w:val="clear" w:color="auto" w:fill="C6EFCE"/>
            <w:vAlign w:val="center"/>
          </w:tcPr>
          <w:p w14:paraId="268CF18D" w14:textId="65F1C908"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081B6333"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Целеви</w:t>
            </w:r>
          </w:p>
        </w:tc>
        <w:tc>
          <w:tcPr>
            <w:tcW w:w="1417" w:type="dxa"/>
            <w:shd w:val="clear" w:color="auto" w:fill="C6EFCE"/>
            <w:vAlign w:val="center"/>
          </w:tcPr>
          <w:p w14:paraId="1DB95F1D"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Делът на тръжните процедури с една оферта за обществени поръчки, финансирани с национални ресурси, не надвишава 32 %</w:t>
            </w:r>
          </w:p>
        </w:tc>
        <w:tc>
          <w:tcPr>
            <w:tcW w:w="1276" w:type="dxa"/>
            <w:shd w:val="clear" w:color="auto" w:fill="C6EFCE"/>
            <w:vAlign w:val="center"/>
          </w:tcPr>
          <w:p w14:paraId="6B82AF3A" w14:textId="77777777" w:rsidR="00CE3BAD" w:rsidRPr="00782BF9" w:rsidRDefault="00CE3BAD">
            <w:pPr>
              <w:spacing w:line="240" w:lineRule="auto"/>
              <w:ind w:left="52"/>
              <w:rPr>
                <w:rFonts w:eastAsia="Times New Roman"/>
                <w:noProof/>
                <w:sz w:val="18"/>
                <w:lang w:val="bg-BG"/>
              </w:rPr>
            </w:pPr>
          </w:p>
        </w:tc>
        <w:tc>
          <w:tcPr>
            <w:tcW w:w="1134" w:type="dxa"/>
            <w:shd w:val="clear" w:color="auto" w:fill="C6EFCE"/>
            <w:vAlign w:val="center"/>
          </w:tcPr>
          <w:p w14:paraId="0F894028"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w:t>
            </w:r>
          </w:p>
        </w:tc>
        <w:tc>
          <w:tcPr>
            <w:tcW w:w="851" w:type="dxa"/>
            <w:shd w:val="clear" w:color="auto" w:fill="C6EFCE"/>
            <w:vAlign w:val="center"/>
          </w:tcPr>
          <w:p w14:paraId="1F6EEA37"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36</w:t>
            </w:r>
          </w:p>
        </w:tc>
        <w:tc>
          <w:tcPr>
            <w:tcW w:w="850" w:type="dxa"/>
            <w:shd w:val="clear" w:color="auto" w:fill="C6EFCE"/>
            <w:vAlign w:val="center"/>
          </w:tcPr>
          <w:p w14:paraId="7D1C15D8"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32</w:t>
            </w:r>
          </w:p>
        </w:tc>
        <w:tc>
          <w:tcPr>
            <w:tcW w:w="709" w:type="dxa"/>
            <w:shd w:val="clear" w:color="auto" w:fill="C6EFCE"/>
            <w:vAlign w:val="center"/>
          </w:tcPr>
          <w:p w14:paraId="397F05D1"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Т1 Г.</w:t>
            </w:r>
          </w:p>
        </w:tc>
        <w:tc>
          <w:tcPr>
            <w:tcW w:w="709" w:type="dxa"/>
            <w:shd w:val="clear" w:color="auto" w:fill="C6EFCE"/>
            <w:vAlign w:val="center"/>
          </w:tcPr>
          <w:p w14:paraId="590EF0A0"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2023</w:t>
            </w:r>
          </w:p>
        </w:tc>
        <w:tc>
          <w:tcPr>
            <w:tcW w:w="4793" w:type="dxa"/>
            <w:shd w:val="clear" w:color="auto" w:fill="C6EFCE"/>
            <w:vAlign w:val="center"/>
          </w:tcPr>
          <w:p w14:paraId="2D3211D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Делът на процедурите за възлагане на обществени поръчки, които обхващат процедури за възлагане на обществени поръчки с прогнозна стойност както над, така и под праговете на ЕС за възлагане на обществени поръчки, приключени между 1 януари 2022 г. и най-малко 31 декември 2022 г. с единни оферти за обществени поръчки, финансирани изключително с национални ресурси, е под 32 %, измерено в съответствие с методиката на информационното табло за единния пазар. Окончателният одитен доклад с одитно становище без резерви на EUTAF потвърждава, че делът на отделните оферти, изчислен в съответствие с горепосочената методика, е под 32 %.</w:t>
            </w:r>
          </w:p>
        </w:tc>
      </w:tr>
      <w:tr w:rsidR="00CE3BAD" w:rsidRPr="00782BF9" w14:paraId="0A53E203" w14:textId="77777777">
        <w:trPr>
          <w:trHeight w:val="703"/>
        </w:trPr>
        <w:tc>
          <w:tcPr>
            <w:tcW w:w="807" w:type="dxa"/>
            <w:gridSpan w:val="2"/>
            <w:shd w:val="clear" w:color="auto" w:fill="C6EFCE"/>
            <w:vAlign w:val="center"/>
          </w:tcPr>
          <w:p w14:paraId="38328A95" w14:textId="1E900E3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187</w:t>
            </w:r>
          </w:p>
        </w:tc>
        <w:tc>
          <w:tcPr>
            <w:tcW w:w="1493" w:type="dxa"/>
            <w:shd w:val="clear" w:color="auto" w:fill="C6EFCE"/>
            <w:vAlign w:val="center"/>
          </w:tcPr>
          <w:p w14:paraId="05FB3D17" w14:textId="20C71B2A"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12634F5C"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Целеви</w:t>
            </w:r>
          </w:p>
        </w:tc>
        <w:tc>
          <w:tcPr>
            <w:tcW w:w="1417" w:type="dxa"/>
            <w:shd w:val="clear" w:color="auto" w:fill="C6EFCE"/>
            <w:vAlign w:val="center"/>
          </w:tcPr>
          <w:p w14:paraId="06E83226"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Делът на тръжните процедури с една оферта за обществени поръчки, финансирани с подкрепа от Съюза, не надвишава 15 %</w:t>
            </w:r>
          </w:p>
        </w:tc>
        <w:tc>
          <w:tcPr>
            <w:tcW w:w="1276" w:type="dxa"/>
            <w:shd w:val="clear" w:color="auto" w:fill="C6EFCE"/>
            <w:vAlign w:val="center"/>
          </w:tcPr>
          <w:p w14:paraId="14D8985A"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 </w:t>
            </w:r>
          </w:p>
        </w:tc>
        <w:tc>
          <w:tcPr>
            <w:tcW w:w="1134" w:type="dxa"/>
            <w:shd w:val="clear" w:color="auto" w:fill="C6EFCE"/>
            <w:vAlign w:val="center"/>
          </w:tcPr>
          <w:p w14:paraId="54595F2E"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w:t>
            </w:r>
          </w:p>
        </w:tc>
        <w:tc>
          <w:tcPr>
            <w:tcW w:w="851" w:type="dxa"/>
            <w:shd w:val="clear" w:color="auto" w:fill="C6EFCE"/>
            <w:vAlign w:val="center"/>
          </w:tcPr>
          <w:p w14:paraId="03A5412E"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850" w:type="dxa"/>
            <w:shd w:val="clear" w:color="auto" w:fill="C6EFCE"/>
            <w:vAlign w:val="center"/>
          </w:tcPr>
          <w:p w14:paraId="75C2308A"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709" w:type="dxa"/>
            <w:shd w:val="clear" w:color="auto" w:fill="C6EFCE"/>
            <w:vAlign w:val="center"/>
          </w:tcPr>
          <w:p w14:paraId="35CD0C21"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Т1 Г.</w:t>
            </w:r>
          </w:p>
        </w:tc>
        <w:tc>
          <w:tcPr>
            <w:tcW w:w="709" w:type="dxa"/>
            <w:shd w:val="clear" w:color="auto" w:fill="C6EFCE"/>
            <w:vAlign w:val="center"/>
          </w:tcPr>
          <w:p w14:paraId="16571A58"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2024</w:t>
            </w:r>
          </w:p>
        </w:tc>
        <w:tc>
          <w:tcPr>
            <w:tcW w:w="4793" w:type="dxa"/>
            <w:shd w:val="clear" w:color="auto" w:fill="C6EFCE"/>
            <w:vAlign w:val="center"/>
          </w:tcPr>
          <w:p w14:paraId="269A58F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Делът на тръжните процедури за възлагане на обществени поръчки, обхващащи процедури за възлагане на обществени поръчки с прогнозна стойност както над, така и под праговете на ЕС за възлагане на обществени поръчки, приключени между 1 януари 2023 г. и 31 декември 2023 г. с единни оферти за обществени поръчки, поне частично финансирани с подкрепа от Съюза, е под 15 %, измерени в съответствие с методиката на информационното табло за единния пазар. Окончателният одитен доклад с одитно становище без резерви на EUTAF потвърждава, че делът на отделните оферти, изчислен в съответствие с горепосочената методика, е под 15 %.</w:t>
            </w:r>
          </w:p>
        </w:tc>
      </w:tr>
      <w:tr w:rsidR="00CE3BAD" w:rsidRPr="00782BF9" w14:paraId="0FDD427A" w14:textId="77777777">
        <w:trPr>
          <w:trHeight w:val="703"/>
        </w:trPr>
        <w:tc>
          <w:tcPr>
            <w:tcW w:w="807" w:type="dxa"/>
            <w:gridSpan w:val="2"/>
            <w:shd w:val="clear" w:color="auto" w:fill="C6EFCE"/>
            <w:vAlign w:val="center"/>
          </w:tcPr>
          <w:p w14:paraId="4F123E3E" w14:textId="6EF570A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188</w:t>
            </w:r>
          </w:p>
        </w:tc>
        <w:tc>
          <w:tcPr>
            <w:tcW w:w="1493" w:type="dxa"/>
            <w:shd w:val="clear" w:color="auto" w:fill="C6EFCE"/>
            <w:vAlign w:val="center"/>
          </w:tcPr>
          <w:p w14:paraId="09EAB05C" w14:textId="3011ED37"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0B7C791D"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Целеви</w:t>
            </w:r>
          </w:p>
        </w:tc>
        <w:tc>
          <w:tcPr>
            <w:tcW w:w="1417" w:type="dxa"/>
            <w:shd w:val="clear" w:color="auto" w:fill="C6EFCE"/>
            <w:vAlign w:val="center"/>
          </w:tcPr>
          <w:p w14:paraId="413F1026"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Делът на тръжните процедури с една оферта за обществени поръчки, финансирани с национални ресурси, не надвишава 24 %</w:t>
            </w:r>
          </w:p>
        </w:tc>
        <w:tc>
          <w:tcPr>
            <w:tcW w:w="1276" w:type="dxa"/>
            <w:shd w:val="clear" w:color="auto" w:fill="C6EFCE"/>
            <w:vAlign w:val="center"/>
          </w:tcPr>
          <w:p w14:paraId="2B5B47A4"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 </w:t>
            </w:r>
          </w:p>
        </w:tc>
        <w:tc>
          <w:tcPr>
            <w:tcW w:w="1134" w:type="dxa"/>
            <w:shd w:val="clear" w:color="auto" w:fill="C6EFCE"/>
            <w:vAlign w:val="center"/>
          </w:tcPr>
          <w:p w14:paraId="67D81D24" w14:textId="6106A63A" w:rsidR="00CE3BAD" w:rsidRPr="00782BF9" w:rsidRDefault="006B5475">
            <w:pPr>
              <w:pStyle w:val="P68B1DB1-Normal10"/>
              <w:spacing w:line="240" w:lineRule="auto"/>
              <w:ind w:left="52"/>
              <w:jc w:val="center"/>
              <w:rPr>
                <w:rFonts w:eastAsia="Times New Roman"/>
                <w:noProof/>
                <w:lang w:val="bg-BG"/>
              </w:rPr>
            </w:pPr>
            <w:r w:rsidRPr="00782BF9">
              <w:rPr>
                <w:noProof/>
                <w:lang w:val="bg-BG"/>
              </w:rPr>
              <w:t>%</w:t>
            </w:r>
          </w:p>
        </w:tc>
        <w:tc>
          <w:tcPr>
            <w:tcW w:w="851" w:type="dxa"/>
            <w:shd w:val="clear" w:color="auto" w:fill="C6EFCE"/>
            <w:vAlign w:val="center"/>
          </w:tcPr>
          <w:p w14:paraId="68E2E19E"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32</w:t>
            </w:r>
          </w:p>
        </w:tc>
        <w:tc>
          <w:tcPr>
            <w:tcW w:w="850" w:type="dxa"/>
            <w:shd w:val="clear" w:color="auto" w:fill="C6EFCE"/>
            <w:vAlign w:val="center"/>
          </w:tcPr>
          <w:p w14:paraId="62F647AF"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24</w:t>
            </w:r>
          </w:p>
        </w:tc>
        <w:tc>
          <w:tcPr>
            <w:tcW w:w="709" w:type="dxa"/>
            <w:shd w:val="clear" w:color="auto" w:fill="C6EFCE"/>
            <w:vAlign w:val="center"/>
          </w:tcPr>
          <w:p w14:paraId="1D28E3E3"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Т1 Г.</w:t>
            </w:r>
          </w:p>
        </w:tc>
        <w:tc>
          <w:tcPr>
            <w:tcW w:w="709" w:type="dxa"/>
            <w:shd w:val="clear" w:color="auto" w:fill="C6EFCE"/>
            <w:vAlign w:val="center"/>
          </w:tcPr>
          <w:p w14:paraId="44BB30BD" w14:textId="5723F588"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2024</w:t>
            </w:r>
          </w:p>
        </w:tc>
        <w:tc>
          <w:tcPr>
            <w:tcW w:w="4793" w:type="dxa"/>
            <w:shd w:val="clear" w:color="auto" w:fill="C6EFCE"/>
            <w:vAlign w:val="center"/>
          </w:tcPr>
          <w:p w14:paraId="5C49A21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Делът на процедурите за възлагане на обществени поръчки, които обхващат процедури за възлагане на обществени поръчки с прогнозна стойност както над, така и под праговете на ЕС за възлагане на обществени поръчки, приключени между 1 януари 2023 г. и 31 декември 2023 г. с единни оферти за обществени поръчки, финансирани изключително с национални ресурси, е под 24 %, измерено в съответствие с методиката на информационното табло за единния пазар. Окончателният одитен доклад с одитно становище без резерви на EUTAF потвърждава, че делът на отделните оферти, изчислен в съответствие с горепосочената методика, е под 24 %.</w:t>
            </w:r>
          </w:p>
        </w:tc>
      </w:tr>
      <w:tr w:rsidR="00CE3BAD" w:rsidRPr="00782BF9" w14:paraId="39E6BF9A" w14:textId="77777777">
        <w:trPr>
          <w:trHeight w:val="1128"/>
        </w:trPr>
        <w:tc>
          <w:tcPr>
            <w:tcW w:w="807" w:type="dxa"/>
            <w:gridSpan w:val="2"/>
            <w:shd w:val="clear" w:color="auto" w:fill="C6EFCE"/>
            <w:vAlign w:val="center"/>
          </w:tcPr>
          <w:p w14:paraId="364BF32D" w14:textId="0830BAD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189</w:t>
            </w:r>
          </w:p>
        </w:tc>
        <w:tc>
          <w:tcPr>
            <w:tcW w:w="1493" w:type="dxa"/>
            <w:shd w:val="clear" w:color="auto" w:fill="C6EFCE"/>
            <w:vAlign w:val="center"/>
          </w:tcPr>
          <w:p w14:paraId="1ABCC94F" w14:textId="2690A8B1"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5783ABDF"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Целеви</w:t>
            </w:r>
          </w:p>
        </w:tc>
        <w:tc>
          <w:tcPr>
            <w:tcW w:w="1417" w:type="dxa"/>
            <w:shd w:val="clear" w:color="auto" w:fill="C6EFCE"/>
            <w:vAlign w:val="center"/>
          </w:tcPr>
          <w:p w14:paraId="7165717C"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Делът на тръжните процедури с една оферта за обществени поръчки, финансирани с подкрепа от Съюза, не надвишава 15 %</w:t>
            </w:r>
          </w:p>
        </w:tc>
        <w:tc>
          <w:tcPr>
            <w:tcW w:w="1276" w:type="dxa"/>
            <w:shd w:val="clear" w:color="auto" w:fill="C6EFCE"/>
            <w:vAlign w:val="center"/>
          </w:tcPr>
          <w:p w14:paraId="5BBF9C54"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 </w:t>
            </w:r>
          </w:p>
        </w:tc>
        <w:tc>
          <w:tcPr>
            <w:tcW w:w="1134" w:type="dxa"/>
            <w:shd w:val="clear" w:color="auto" w:fill="C6EFCE"/>
            <w:vAlign w:val="center"/>
          </w:tcPr>
          <w:p w14:paraId="60DD2D23" w14:textId="198F42EB" w:rsidR="00CE3BAD" w:rsidRPr="00782BF9" w:rsidRDefault="006B5475">
            <w:pPr>
              <w:pStyle w:val="P68B1DB1-Normal10"/>
              <w:spacing w:line="240" w:lineRule="auto"/>
              <w:ind w:left="52"/>
              <w:jc w:val="center"/>
              <w:rPr>
                <w:rFonts w:eastAsia="Times New Roman"/>
                <w:noProof/>
                <w:lang w:val="bg-BG"/>
              </w:rPr>
            </w:pPr>
            <w:r w:rsidRPr="00782BF9">
              <w:rPr>
                <w:noProof/>
                <w:lang w:val="bg-BG"/>
              </w:rPr>
              <w:t>%</w:t>
            </w:r>
          </w:p>
        </w:tc>
        <w:tc>
          <w:tcPr>
            <w:tcW w:w="851" w:type="dxa"/>
            <w:shd w:val="clear" w:color="auto" w:fill="C6EFCE"/>
            <w:vAlign w:val="center"/>
          </w:tcPr>
          <w:p w14:paraId="201983C4"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850" w:type="dxa"/>
            <w:shd w:val="clear" w:color="auto" w:fill="C6EFCE"/>
            <w:vAlign w:val="center"/>
          </w:tcPr>
          <w:p w14:paraId="0DE0A6D6" w14:textId="2806E30D"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709" w:type="dxa"/>
            <w:shd w:val="clear" w:color="auto" w:fill="C6EFCE"/>
            <w:vAlign w:val="center"/>
          </w:tcPr>
          <w:p w14:paraId="7E6D0ECB"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Т1 Г.</w:t>
            </w:r>
          </w:p>
        </w:tc>
        <w:tc>
          <w:tcPr>
            <w:tcW w:w="709" w:type="dxa"/>
            <w:shd w:val="clear" w:color="auto" w:fill="C6EFCE"/>
            <w:vAlign w:val="center"/>
          </w:tcPr>
          <w:p w14:paraId="38DD84A6" w14:textId="2B412D9C"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2025</w:t>
            </w:r>
          </w:p>
        </w:tc>
        <w:tc>
          <w:tcPr>
            <w:tcW w:w="4793" w:type="dxa"/>
            <w:shd w:val="clear" w:color="auto" w:fill="C6EFCE"/>
            <w:vAlign w:val="center"/>
          </w:tcPr>
          <w:p w14:paraId="2536945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Делът на тръжните процедури за възлагане на обществени поръчки, които обхващат процедури за възлагане на обществени поръчки с прогнозна стойност както над, така и под праговете на ЕС за възлагане на обществени поръчки, приключени между 1 януари 2024 г. и 31 декември 2024 г. с единни оферти за обществени поръчки, които поне частично са финансирани с подкрепа от Съюза, е под 15 %, измерено в съответствие с методиката на информационното табло за единния пазар. Окончателният одитен доклад с одитно становище без резерви на EUTAF потвърждава, че делът на отделните оферти, изчислен в съответствие с горепосочената методика, е под 15 %.</w:t>
            </w:r>
          </w:p>
        </w:tc>
      </w:tr>
      <w:tr w:rsidR="00CE3BAD" w:rsidRPr="00782BF9" w14:paraId="4E0D940A" w14:textId="77777777">
        <w:trPr>
          <w:trHeight w:val="1128"/>
        </w:trPr>
        <w:tc>
          <w:tcPr>
            <w:tcW w:w="807" w:type="dxa"/>
            <w:gridSpan w:val="2"/>
            <w:shd w:val="clear" w:color="auto" w:fill="C6EFCE"/>
            <w:vAlign w:val="center"/>
          </w:tcPr>
          <w:p w14:paraId="64514E89" w14:textId="6838E94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190</w:t>
            </w:r>
          </w:p>
        </w:tc>
        <w:tc>
          <w:tcPr>
            <w:tcW w:w="1493" w:type="dxa"/>
            <w:shd w:val="clear" w:color="auto" w:fill="C6EFCE"/>
            <w:vAlign w:val="center"/>
          </w:tcPr>
          <w:p w14:paraId="1E3EC493" w14:textId="684B7446"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6907F6F8"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Целеви</w:t>
            </w:r>
          </w:p>
        </w:tc>
        <w:tc>
          <w:tcPr>
            <w:tcW w:w="1417" w:type="dxa"/>
            <w:shd w:val="clear" w:color="auto" w:fill="C6EFCE"/>
            <w:vAlign w:val="center"/>
          </w:tcPr>
          <w:p w14:paraId="719A7171"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Делът на тръжните процедури с една оферта за обществени поръчки, финансирани с национални ресурси, не надвишава 15 %</w:t>
            </w:r>
          </w:p>
        </w:tc>
        <w:tc>
          <w:tcPr>
            <w:tcW w:w="1276" w:type="dxa"/>
            <w:shd w:val="clear" w:color="auto" w:fill="C6EFCE"/>
            <w:vAlign w:val="center"/>
          </w:tcPr>
          <w:p w14:paraId="4CFEE4BA"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 </w:t>
            </w:r>
          </w:p>
        </w:tc>
        <w:tc>
          <w:tcPr>
            <w:tcW w:w="1134" w:type="dxa"/>
            <w:shd w:val="clear" w:color="auto" w:fill="C6EFCE"/>
            <w:vAlign w:val="center"/>
          </w:tcPr>
          <w:p w14:paraId="699983F7"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w:t>
            </w:r>
          </w:p>
        </w:tc>
        <w:tc>
          <w:tcPr>
            <w:tcW w:w="851" w:type="dxa"/>
            <w:shd w:val="clear" w:color="auto" w:fill="C6EFCE"/>
            <w:vAlign w:val="center"/>
          </w:tcPr>
          <w:p w14:paraId="4168971D"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24</w:t>
            </w:r>
          </w:p>
        </w:tc>
        <w:tc>
          <w:tcPr>
            <w:tcW w:w="850" w:type="dxa"/>
            <w:shd w:val="clear" w:color="auto" w:fill="C6EFCE"/>
            <w:vAlign w:val="center"/>
          </w:tcPr>
          <w:p w14:paraId="6479FB17"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709" w:type="dxa"/>
            <w:shd w:val="clear" w:color="auto" w:fill="C6EFCE"/>
            <w:vAlign w:val="center"/>
          </w:tcPr>
          <w:p w14:paraId="36A28D1A"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Т1 Г.</w:t>
            </w:r>
          </w:p>
        </w:tc>
        <w:tc>
          <w:tcPr>
            <w:tcW w:w="709" w:type="dxa"/>
            <w:shd w:val="clear" w:color="auto" w:fill="C6EFCE"/>
            <w:vAlign w:val="center"/>
          </w:tcPr>
          <w:p w14:paraId="150BFFEE"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2025</w:t>
            </w:r>
          </w:p>
        </w:tc>
        <w:tc>
          <w:tcPr>
            <w:tcW w:w="4793" w:type="dxa"/>
            <w:shd w:val="clear" w:color="auto" w:fill="C6EFCE"/>
            <w:vAlign w:val="center"/>
          </w:tcPr>
          <w:p w14:paraId="08660D0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Делът на процедурите за възлагане на обществени поръчки, които обхващат процедури за възлагане на обществени поръчки както над, така и под праговете на ЕС за възлагане на обществени поръчки, приключени между 1 януари 2024 г. и 31 декември 2024 г. с единни оферти за обществени поръчки, финансирани изключително с национални ресурси, е под 15 %, измерено в съответствие с методиката на информационното табло за единния пазар. Окончателният одитен доклад с одитно становище без резерви на EUTAF потвърждава, че делът на отделните оферти, изчислен в съответствие с горепосочената методика, е под 15 %.</w:t>
            </w:r>
          </w:p>
        </w:tc>
      </w:tr>
      <w:tr w:rsidR="00CE3BAD" w:rsidRPr="00782BF9" w14:paraId="7428B450" w14:textId="77777777">
        <w:trPr>
          <w:trHeight w:val="1697"/>
        </w:trPr>
        <w:tc>
          <w:tcPr>
            <w:tcW w:w="807" w:type="dxa"/>
            <w:gridSpan w:val="2"/>
            <w:shd w:val="clear" w:color="auto" w:fill="C6EFCE"/>
            <w:vAlign w:val="center"/>
          </w:tcPr>
          <w:p w14:paraId="79F511B4" w14:textId="382E2F6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191</w:t>
            </w:r>
          </w:p>
        </w:tc>
        <w:tc>
          <w:tcPr>
            <w:tcW w:w="1493" w:type="dxa"/>
            <w:shd w:val="clear" w:color="auto" w:fill="C6EFCE"/>
            <w:vAlign w:val="center"/>
          </w:tcPr>
          <w:p w14:paraId="49B530EF" w14:textId="0687FA6D"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4723151E"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Целеви</w:t>
            </w:r>
          </w:p>
        </w:tc>
        <w:tc>
          <w:tcPr>
            <w:tcW w:w="1417" w:type="dxa"/>
            <w:shd w:val="clear" w:color="auto" w:fill="C6EFCE"/>
            <w:vAlign w:val="center"/>
          </w:tcPr>
          <w:p w14:paraId="27EE0700"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Делът на тръжните процедури с една оферта за обществени поръчки, финансирани с подкрепа от Съюза, не надвишава 15 %</w:t>
            </w:r>
          </w:p>
        </w:tc>
        <w:tc>
          <w:tcPr>
            <w:tcW w:w="1276" w:type="dxa"/>
            <w:shd w:val="clear" w:color="auto" w:fill="C6EFCE"/>
            <w:vAlign w:val="center"/>
          </w:tcPr>
          <w:p w14:paraId="718F6270" w14:textId="77777777" w:rsidR="00CE3BAD" w:rsidRPr="00782BF9" w:rsidRDefault="00CE3BAD">
            <w:pPr>
              <w:spacing w:line="240" w:lineRule="auto"/>
              <w:ind w:left="52"/>
              <w:rPr>
                <w:rFonts w:eastAsia="Times New Roman"/>
                <w:noProof/>
                <w:sz w:val="18"/>
                <w:lang w:val="bg-BG"/>
              </w:rPr>
            </w:pPr>
          </w:p>
        </w:tc>
        <w:tc>
          <w:tcPr>
            <w:tcW w:w="1134" w:type="dxa"/>
            <w:shd w:val="clear" w:color="auto" w:fill="C6EFCE"/>
            <w:vAlign w:val="center"/>
          </w:tcPr>
          <w:p w14:paraId="24C061EB" w14:textId="7E7F82E0" w:rsidR="00CE3BAD" w:rsidRPr="00782BF9" w:rsidRDefault="006B5475">
            <w:pPr>
              <w:pStyle w:val="P68B1DB1-Normal10"/>
              <w:spacing w:line="240" w:lineRule="auto"/>
              <w:ind w:left="52"/>
              <w:jc w:val="center"/>
              <w:rPr>
                <w:rFonts w:eastAsia="Times New Roman"/>
                <w:noProof/>
                <w:lang w:val="bg-BG"/>
              </w:rPr>
            </w:pPr>
            <w:r w:rsidRPr="00782BF9">
              <w:rPr>
                <w:noProof/>
                <w:lang w:val="bg-BG"/>
              </w:rPr>
              <w:t>%</w:t>
            </w:r>
          </w:p>
        </w:tc>
        <w:tc>
          <w:tcPr>
            <w:tcW w:w="851" w:type="dxa"/>
            <w:shd w:val="clear" w:color="auto" w:fill="C6EFCE"/>
            <w:vAlign w:val="center"/>
          </w:tcPr>
          <w:p w14:paraId="03793856" w14:textId="7CCCB6F8"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850" w:type="dxa"/>
            <w:shd w:val="clear" w:color="auto" w:fill="C6EFCE"/>
            <w:vAlign w:val="center"/>
          </w:tcPr>
          <w:p w14:paraId="5C72E50D" w14:textId="54944200"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709" w:type="dxa"/>
            <w:shd w:val="clear" w:color="auto" w:fill="C6EFCE"/>
            <w:vAlign w:val="center"/>
          </w:tcPr>
          <w:p w14:paraId="3ECA0B33" w14:textId="56B4E838" w:rsidR="00CE3BAD" w:rsidRPr="00782BF9" w:rsidRDefault="006B5475">
            <w:pPr>
              <w:pStyle w:val="P68B1DB1-Normal10"/>
              <w:spacing w:line="240" w:lineRule="auto"/>
              <w:ind w:left="52"/>
              <w:jc w:val="center"/>
              <w:rPr>
                <w:rFonts w:eastAsia="Times New Roman"/>
                <w:noProof/>
                <w:lang w:val="bg-BG"/>
              </w:rPr>
            </w:pPr>
            <w:r w:rsidRPr="00782BF9">
              <w:rPr>
                <w:noProof/>
                <w:lang w:val="bg-BG"/>
              </w:rPr>
              <w:t>Т1 Г.</w:t>
            </w:r>
          </w:p>
        </w:tc>
        <w:tc>
          <w:tcPr>
            <w:tcW w:w="709" w:type="dxa"/>
            <w:shd w:val="clear" w:color="auto" w:fill="C6EFCE"/>
            <w:vAlign w:val="center"/>
          </w:tcPr>
          <w:p w14:paraId="681C7772" w14:textId="753D8D99"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2026</w:t>
            </w:r>
          </w:p>
        </w:tc>
        <w:tc>
          <w:tcPr>
            <w:tcW w:w="4793" w:type="dxa"/>
            <w:shd w:val="clear" w:color="auto" w:fill="C6EFCE"/>
            <w:vAlign w:val="center"/>
          </w:tcPr>
          <w:p w14:paraId="271F3B0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Делът на тръжните процедури за възлагане на обществени поръчки, които обхващат процедури за възлагане на обществени поръчки с прогнозна стойност както над, така и под праговете на ЕС за възлагане на обществени поръчки, приключени между 1 януари 2025 г. и 31 декември 2025 г. с единни оферти за обществени поръчки, които поне частично са финансирани с подкрепа от Съюза, е под 15 %, измерено в съответствие с методиката на информационното табло за единния пазар. Окончателният одитен доклад с одитно становище без резерви на EUTAF потвърждава, че делът на отделните оферти, изчислен в съответствие с горепосочената методика, е под 15 %.</w:t>
            </w:r>
          </w:p>
        </w:tc>
      </w:tr>
      <w:tr w:rsidR="00CE3BAD" w:rsidRPr="00782BF9" w14:paraId="29845E45" w14:textId="77777777">
        <w:trPr>
          <w:trHeight w:val="278"/>
        </w:trPr>
        <w:tc>
          <w:tcPr>
            <w:tcW w:w="807" w:type="dxa"/>
            <w:gridSpan w:val="2"/>
            <w:shd w:val="clear" w:color="auto" w:fill="C6EFCE"/>
            <w:vAlign w:val="center"/>
          </w:tcPr>
          <w:p w14:paraId="589A5E6B" w14:textId="525CC75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192</w:t>
            </w:r>
          </w:p>
        </w:tc>
        <w:tc>
          <w:tcPr>
            <w:tcW w:w="1493" w:type="dxa"/>
            <w:shd w:val="clear" w:color="auto" w:fill="C6EFCE"/>
            <w:vAlign w:val="center"/>
          </w:tcPr>
          <w:p w14:paraId="3525045E" w14:textId="2BA5520F"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6825474A"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Целеви </w:t>
            </w:r>
          </w:p>
        </w:tc>
        <w:tc>
          <w:tcPr>
            <w:tcW w:w="1417" w:type="dxa"/>
            <w:shd w:val="clear" w:color="auto" w:fill="C6EFCE"/>
            <w:vAlign w:val="center"/>
          </w:tcPr>
          <w:p w14:paraId="792CC41C"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Делът на тръжните процедури с една оферта за обществени поръчки, финансирани с национални ресурси, не надвишава 15 %</w:t>
            </w:r>
          </w:p>
        </w:tc>
        <w:tc>
          <w:tcPr>
            <w:tcW w:w="1276" w:type="dxa"/>
            <w:shd w:val="clear" w:color="auto" w:fill="C6EFCE"/>
            <w:vAlign w:val="center"/>
          </w:tcPr>
          <w:p w14:paraId="456C6B65"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 </w:t>
            </w:r>
          </w:p>
        </w:tc>
        <w:tc>
          <w:tcPr>
            <w:tcW w:w="1134" w:type="dxa"/>
            <w:shd w:val="clear" w:color="auto" w:fill="C6EFCE"/>
            <w:vAlign w:val="center"/>
          </w:tcPr>
          <w:p w14:paraId="6B60DA08"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w:t>
            </w:r>
          </w:p>
        </w:tc>
        <w:tc>
          <w:tcPr>
            <w:tcW w:w="851" w:type="dxa"/>
            <w:shd w:val="clear" w:color="auto" w:fill="C6EFCE"/>
            <w:vAlign w:val="center"/>
          </w:tcPr>
          <w:p w14:paraId="7D9944A9"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850" w:type="dxa"/>
            <w:shd w:val="clear" w:color="auto" w:fill="C6EFCE"/>
            <w:vAlign w:val="center"/>
          </w:tcPr>
          <w:p w14:paraId="7BEC0CFD"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709" w:type="dxa"/>
            <w:shd w:val="clear" w:color="auto" w:fill="C6EFCE"/>
            <w:vAlign w:val="center"/>
          </w:tcPr>
          <w:p w14:paraId="29BB4105"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Т1 Г.</w:t>
            </w:r>
          </w:p>
        </w:tc>
        <w:tc>
          <w:tcPr>
            <w:tcW w:w="709" w:type="dxa"/>
            <w:shd w:val="clear" w:color="auto" w:fill="C6EFCE"/>
            <w:vAlign w:val="center"/>
          </w:tcPr>
          <w:p w14:paraId="0FBA2114"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2026</w:t>
            </w:r>
          </w:p>
        </w:tc>
        <w:tc>
          <w:tcPr>
            <w:tcW w:w="4793" w:type="dxa"/>
            <w:shd w:val="clear" w:color="auto" w:fill="C6EFCE"/>
            <w:vAlign w:val="center"/>
          </w:tcPr>
          <w:p w14:paraId="7293C1F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Делът на процедурите за възлагане на обществени поръчки, които обхващат процедури за възлагане на обществени поръчки с прогнозна стойност както над, така и под праговете на ЕС за възлагане на обществени поръчки, приключени между 1 януари 2025 г. и 31 декември 2025 г. с единни оферти за обществени поръчки, финансирани изключително с национални ресурси, е под 15 %, измерено в съответствие с методиката на информационното табло за единния пазар. Окончателният одитен доклад с одитно становище без резерви на EUTAF потвърждава, че делът на отделните оферти, изчислен в съответствие с горепосочената методика, е под 15 %.</w:t>
            </w:r>
          </w:p>
        </w:tc>
      </w:tr>
      <w:tr w:rsidR="00CE3BAD" w:rsidRPr="00782BF9" w14:paraId="505A0E24" w14:textId="77777777">
        <w:trPr>
          <w:trHeight w:val="1129"/>
        </w:trPr>
        <w:tc>
          <w:tcPr>
            <w:tcW w:w="807" w:type="dxa"/>
            <w:gridSpan w:val="2"/>
            <w:shd w:val="clear" w:color="auto" w:fill="C6EFCE"/>
            <w:vAlign w:val="center"/>
          </w:tcPr>
          <w:p w14:paraId="5621528F" w14:textId="0DF12D4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193</w:t>
            </w:r>
          </w:p>
        </w:tc>
        <w:tc>
          <w:tcPr>
            <w:tcW w:w="1493" w:type="dxa"/>
            <w:shd w:val="clear" w:color="auto" w:fill="C6EFCE"/>
            <w:vAlign w:val="center"/>
          </w:tcPr>
          <w:p w14:paraId="57691B74" w14:textId="2ECE5D35"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764F135E"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Целеви</w:t>
            </w:r>
          </w:p>
        </w:tc>
        <w:tc>
          <w:tcPr>
            <w:tcW w:w="1417" w:type="dxa"/>
            <w:shd w:val="clear" w:color="auto" w:fill="C6EFCE"/>
            <w:vAlign w:val="center"/>
          </w:tcPr>
          <w:p w14:paraId="52A7025F"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Делът на тръжните процедури с една оферта за обществени поръчки, финансирани с подкрепа от Съюза, не надвишава 15 %</w:t>
            </w:r>
          </w:p>
        </w:tc>
        <w:tc>
          <w:tcPr>
            <w:tcW w:w="1276" w:type="dxa"/>
            <w:shd w:val="clear" w:color="auto" w:fill="C6EFCE"/>
            <w:vAlign w:val="center"/>
          </w:tcPr>
          <w:p w14:paraId="6C12CEDA" w14:textId="77777777" w:rsidR="00CE3BAD" w:rsidRPr="00782BF9" w:rsidRDefault="00CE3BAD">
            <w:pPr>
              <w:spacing w:line="240" w:lineRule="auto"/>
              <w:ind w:left="52"/>
              <w:rPr>
                <w:rFonts w:eastAsia="Times New Roman"/>
                <w:noProof/>
                <w:sz w:val="18"/>
                <w:lang w:val="bg-BG"/>
              </w:rPr>
            </w:pPr>
          </w:p>
        </w:tc>
        <w:tc>
          <w:tcPr>
            <w:tcW w:w="1134" w:type="dxa"/>
            <w:shd w:val="clear" w:color="auto" w:fill="C6EFCE"/>
            <w:vAlign w:val="center"/>
          </w:tcPr>
          <w:p w14:paraId="289660F5" w14:textId="556E1DF1" w:rsidR="00CE3BAD" w:rsidRPr="00782BF9" w:rsidRDefault="006B5475">
            <w:pPr>
              <w:pStyle w:val="P68B1DB1-Normal10"/>
              <w:spacing w:line="240" w:lineRule="auto"/>
              <w:ind w:left="52"/>
              <w:jc w:val="center"/>
              <w:rPr>
                <w:rFonts w:eastAsia="Times New Roman"/>
                <w:noProof/>
                <w:lang w:val="bg-BG"/>
              </w:rPr>
            </w:pPr>
            <w:r w:rsidRPr="00782BF9">
              <w:rPr>
                <w:noProof/>
                <w:lang w:val="bg-BG"/>
              </w:rPr>
              <w:t>%</w:t>
            </w:r>
          </w:p>
        </w:tc>
        <w:tc>
          <w:tcPr>
            <w:tcW w:w="851" w:type="dxa"/>
            <w:shd w:val="clear" w:color="auto" w:fill="C6EFCE"/>
            <w:vAlign w:val="center"/>
          </w:tcPr>
          <w:p w14:paraId="2C124FE0" w14:textId="7C7F8E06"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850" w:type="dxa"/>
            <w:shd w:val="clear" w:color="auto" w:fill="C6EFCE"/>
            <w:vAlign w:val="center"/>
          </w:tcPr>
          <w:p w14:paraId="558F190B" w14:textId="44787676"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709" w:type="dxa"/>
            <w:shd w:val="clear" w:color="auto" w:fill="C6EFCE"/>
            <w:vAlign w:val="center"/>
          </w:tcPr>
          <w:p w14:paraId="6DC09E93" w14:textId="5C65777D" w:rsidR="00CE3BAD" w:rsidRPr="00782BF9" w:rsidRDefault="006B5475">
            <w:pPr>
              <w:pStyle w:val="P68B1DB1-Normal10"/>
              <w:spacing w:line="240" w:lineRule="auto"/>
              <w:ind w:left="52"/>
              <w:jc w:val="center"/>
              <w:rPr>
                <w:rFonts w:eastAsia="Times New Roman"/>
                <w:noProof/>
                <w:lang w:val="bg-BG"/>
              </w:rPr>
            </w:pPr>
            <w:r w:rsidRPr="00782BF9">
              <w:rPr>
                <w:noProof/>
                <w:lang w:val="bg-BG"/>
              </w:rPr>
              <w:t>Т2 Г.</w:t>
            </w:r>
          </w:p>
        </w:tc>
        <w:tc>
          <w:tcPr>
            <w:tcW w:w="709" w:type="dxa"/>
            <w:shd w:val="clear" w:color="auto" w:fill="C6EFCE"/>
            <w:vAlign w:val="center"/>
          </w:tcPr>
          <w:p w14:paraId="1190569B" w14:textId="3BA5E275"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2026</w:t>
            </w:r>
          </w:p>
        </w:tc>
        <w:tc>
          <w:tcPr>
            <w:tcW w:w="4793" w:type="dxa"/>
            <w:shd w:val="clear" w:color="auto" w:fill="C6EFCE"/>
            <w:vAlign w:val="center"/>
          </w:tcPr>
          <w:p w14:paraId="69572CA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Делът на тръжните процедури за възлагане на обществени поръчки, които обхващат процедури за възлагане на обществени поръчки с прогнозна стойност както над, така и под праговете на ЕС за възлагане на обществени поръчки, приключени между 1 януари 2026 г. и 31 март 2026 г. с единни оферти за обществени поръчки, които поне частично са финансирани с подкрепа от Съюза, е под 15 %, измерено в съответствие с методиката на информационното табло за единния пазар. Одитен доклад без резерви от EUTAF потвърждава, че делът на отделните оферти, изчислен в съответствие с горепосочената методика, е под 15 %.</w:t>
            </w:r>
          </w:p>
        </w:tc>
      </w:tr>
      <w:tr w:rsidR="00CE3BAD" w:rsidRPr="00782BF9" w14:paraId="7E809706" w14:textId="77777777">
        <w:trPr>
          <w:trHeight w:val="1129"/>
        </w:trPr>
        <w:tc>
          <w:tcPr>
            <w:tcW w:w="807" w:type="dxa"/>
            <w:gridSpan w:val="2"/>
            <w:shd w:val="clear" w:color="auto" w:fill="C6EFCE"/>
            <w:vAlign w:val="center"/>
          </w:tcPr>
          <w:p w14:paraId="29DD4961" w14:textId="7CF287D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194</w:t>
            </w:r>
          </w:p>
        </w:tc>
        <w:tc>
          <w:tcPr>
            <w:tcW w:w="1493" w:type="dxa"/>
            <w:shd w:val="clear" w:color="auto" w:fill="C6EFCE"/>
            <w:vAlign w:val="center"/>
          </w:tcPr>
          <w:p w14:paraId="2954E0F6" w14:textId="4E6A7127"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38470539"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Целеви</w:t>
            </w:r>
          </w:p>
        </w:tc>
        <w:tc>
          <w:tcPr>
            <w:tcW w:w="1417" w:type="dxa"/>
            <w:shd w:val="clear" w:color="auto" w:fill="C6EFCE"/>
            <w:vAlign w:val="center"/>
          </w:tcPr>
          <w:p w14:paraId="17A03CF7"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Делът на тръжните процедури с една оферта за обществени поръчки, финансирани с национални ресурси, не надвишава 15 %</w:t>
            </w:r>
          </w:p>
        </w:tc>
        <w:tc>
          <w:tcPr>
            <w:tcW w:w="1276" w:type="dxa"/>
            <w:shd w:val="clear" w:color="auto" w:fill="C6EFCE"/>
            <w:vAlign w:val="center"/>
          </w:tcPr>
          <w:p w14:paraId="794FA0BA"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 </w:t>
            </w:r>
          </w:p>
        </w:tc>
        <w:tc>
          <w:tcPr>
            <w:tcW w:w="1134" w:type="dxa"/>
            <w:shd w:val="clear" w:color="auto" w:fill="C6EFCE"/>
            <w:vAlign w:val="center"/>
          </w:tcPr>
          <w:p w14:paraId="7ED5E6F8"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w:t>
            </w:r>
          </w:p>
        </w:tc>
        <w:tc>
          <w:tcPr>
            <w:tcW w:w="851" w:type="dxa"/>
            <w:shd w:val="clear" w:color="auto" w:fill="C6EFCE"/>
            <w:vAlign w:val="center"/>
          </w:tcPr>
          <w:p w14:paraId="6F0AAB68"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850" w:type="dxa"/>
            <w:shd w:val="clear" w:color="auto" w:fill="C6EFCE"/>
            <w:vAlign w:val="center"/>
          </w:tcPr>
          <w:p w14:paraId="075EA39B"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15</w:t>
            </w:r>
          </w:p>
        </w:tc>
        <w:tc>
          <w:tcPr>
            <w:tcW w:w="709" w:type="dxa"/>
            <w:shd w:val="clear" w:color="auto" w:fill="C6EFCE"/>
            <w:vAlign w:val="center"/>
          </w:tcPr>
          <w:p w14:paraId="54B7174C"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Т2 Г.</w:t>
            </w:r>
          </w:p>
        </w:tc>
        <w:tc>
          <w:tcPr>
            <w:tcW w:w="709" w:type="dxa"/>
            <w:shd w:val="clear" w:color="auto" w:fill="C6EFCE"/>
            <w:vAlign w:val="center"/>
          </w:tcPr>
          <w:p w14:paraId="0F059BF9"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2026</w:t>
            </w:r>
          </w:p>
        </w:tc>
        <w:tc>
          <w:tcPr>
            <w:tcW w:w="4793" w:type="dxa"/>
            <w:shd w:val="clear" w:color="auto" w:fill="C6EFCE"/>
            <w:vAlign w:val="center"/>
          </w:tcPr>
          <w:p w14:paraId="653D5F5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Делът на процедурите за възлагане на обществени поръчки, които обхващат процедури за възлагане на обществени поръчки с прогнозна стойност както над, така и под праговете на ЕС за възлагане на обществени поръчки, приключени между 1 януари 2026 г. и 31 март 2026 г. с единни оферти за обществени поръчки, финансирани изключително с национални ресурси, е под 15 %, измерено в съответствие с методиката на информационното табло за единния пазар. Окончателният одитен доклад с одитно становище без резерви на EUTAF потвърждава, че делът на отделните оферти, изчислен в съответствие с горепосочената методика, е под 15 %.</w:t>
            </w:r>
          </w:p>
        </w:tc>
      </w:tr>
      <w:tr w:rsidR="00CE3BAD" w:rsidRPr="00782BF9" w14:paraId="5C663353" w14:textId="77777777">
        <w:trPr>
          <w:trHeight w:val="416"/>
        </w:trPr>
        <w:tc>
          <w:tcPr>
            <w:tcW w:w="807" w:type="dxa"/>
            <w:gridSpan w:val="2"/>
            <w:shd w:val="clear" w:color="auto" w:fill="C6EFCE"/>
            <w:vAlign w:val="center"/>
          </w:tcPr>
          <w:p w14:paraId="1B71A3F0" w14:textId="2CF08AF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195</w:t>
            </w:r>
          </w:p>
        </w:tc>
        <w:tc>
          <w:tcPr>
            <w:tcW w:w="1493" w:type="dxa"/>
            <w:shd w:val="clear" w:color="auto" w:fill="C6EFCE"/>
            <w:vAlign w:val="center"/>
          </w:tcPr>
          <w:p w14:paraId="71AAF8BD" w14:textId="7A3E0E18"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47156099" w14:textId="141F0D87" w:rsidR="00CE3BAD" w:rsidRPr="00782BF9" w:rsidRDefault="006B5475">
            <w:pPr>
              <w:pStyle w:val="P68B1DB1-Normal10"/>
              <w:spacing w:line="240" w:lineRule="auto"/>
              <w:ind w:left="52"/>
              <w:rPr>
                <w:rFonts w:eastAsia="Times New Roman"/>
                <w:noProof/>
                <w:lang w:val="bg-BG"/>
              </w:rPr>
            </w:pPr>
            <w:r w:rsidRPr="00782BF9">
              <w:rPr>
                <w:noProof/>
                <w:lang w:val="bg-BG"/>
              </w:rPr>
              <w:t>Ключов етап</w:t>
            </w:r>
          </w:p>
        </w:tc>
        <w:tc>
          <w:tcPr>
            <w:tcW w:w="1417" w:type="dxa"/>
            <w:shd w:val="clear" w:color="auto" w:fill="C6EFCE"/>
            <w:vAlign w:val="center"/>
          </w:tcPr>
          <w:p w14:paraId="1A27A3D4" w14:textId="0656A773" w:rsidR="00CE3BAD" w:rsidRPr="00782BF9" w:rsidRDefault="006B5475">
            <w:pPr>
              <w:pStyle w:val="P68B1DB1-Normal10"/>
              <w:spacing w:line="240" w:lineRule="auto"/>
              <w:ind w:left="52"/>
              <w:rPr>
                <w:rFonts w:eastAsia="Times New Roman"/>
                <w:noProof/>
                <w:lang w:val="bg-BG"/>
              </w:rPr>
            </w:pPr>
            <w:r w:rsidRPr="00782BF9">
              <w:rPr>
                <w:noProof/>
                <w:lang w:val="bg-BG"/>
              </w:rPr>
              <w:t>Създаване на инструмент за мониторинг и докладване („инструмент за докладване въз основа на една оферта“) с цел мониторинг и докладване на обществени поръчки, приключени с една оферта, финансирани с подкрепа от Съюза или с национални ресурси в съответствие с методиката на информационното табло за единния пазар</w:t>
            </w:r>
          </w:p>
        </w:tc>
        <w:tc>
          <w:tcPr>
            <w:tcW w:w="1276" w:type="dxa"/>
            <w:shd w:val="clear" w:color="auto" w:fill="C6EFCE"/>
            <w:vAlign w:val="center"/>
          </w:tcPr>
          <w:p w14:paraId="7DC4B21C" w14:textId="45628B1E" w:rsidR="00CE3BAD" w:rsidRPr="00782BF9" w:rsidRDefault="006B5475">
            <w:pPr>
              <w:pStyle w:val="P68B1DB1-Normal10"/>
              <w:spacing w:line="240" w:lineRule="auto"/>
              <w:ind w:left="52"/>
              <w:rPr>
                <w:rFonts w:eastAsia="Times New Roman"/>
                <w:noProof/>
                <w:lang w:val="bg-BG"/>
              </w:rPr>
            </w:pPr>
            <w:r w:rsidRPr="00782BF9">
              <w:rPr>
                <w:noProof/>
                <w:lang w:val="bg-BG"/>
              </w:rPr>
              <w:t>Инструментът за мониторинг и докладване е напълно функционален и оперативен и се проверява, че неговите функционални възможности са в съответствие с методиката на информационното табло за единния пазар</w:t>
            </w:r>
          </w:p>
        </w:tc>
        <w:tc>
          <w:tcPr>
            <w:tcW w:w="1134" w:type="dxa"/>
            <w:shd w:val="clear" w:color="auto" w:fill="C6EFCE"/>
            <w:vAlign w:val="center"/>
          </w:tcPr>
          <w:p w14:paraId="7DF1E1EA" w14:textId="65ED797E" w:rsidR="00CE3BAD" w:rsidRPr="00782BF9" w:rsidRDefault="00CE3BAD">
            <w:pPr>
              <w:spacing w:line="240" w:lineRule="auto"/>
              <w:ind w:left="52"/>
              <w:jc w:val="center"/>
              <w:rPr>
                <w:rFonts w:eastAsia="Times New Roman"/>
                <w:noProof/>
                <w:sz w:val="18"/>
                <w:lang w:val="bg-BG"/>
              </w:rPr>
            </w:pPr>
          </w:p>
        </w:tc>
        <w:tc>
          <w:tcPr>
            <w:tcW w:w="851" w:type="dxa"/>
            <w:shd w:val="clear" w:color="auto" w:fill="C6EFCE"/>
            <w:vAlign w:val="center"/>
          </w:tcPr>
          <w:p w14:paraId="4374D70D" w14:textId="625AD28E" w:rsidR="00CE3BAD" w:rsidRPr="00782BF9" w:rsidRDefault="00CE3BAD">
            <w:pPr>
              <w:spacing w:line="240" w:lineRule="auto"/>
              <w:ind w:left="52"/>
              <w:jc w:val="center"/>
              <w:rPr>
                <w:rFonts w:eastAsia="Times New Roman"/>
                <w:noProof/>
                <w:sz w:val="18"/>
                <w:lang w:val="bg-BG"/>
              </w:rPr>
            </w:pPr>
          </w:p>
        </w:tc>
        <w:tc>
          <w:tcPr>
            <w:tcW w:w="850" w:type="dxa"/>
            <w:shd w:val="clear" w:color="auto" w:fill="C6EFCE"/>
            <w:vAlign w:val="center"/>
          </w:tcPr>
          <w:p w14:paraId="746AF01A" w14:textId="514C6E1F" w:rsidR="00CE3BAD" w:rsidRPr="00782BF9" w:rsidRDefault="00CE3BAD">
            <w:pPr>
              <w:spacing w:line="240" w:lineRule="auto"/>
              <w:ind w:left="52"/>
              <w:jc w:val="center"/>
              <w:rPr>
                <w:rFonts w:eastAsia="Times New Roman"/>
                <w:noProof/>
                <w:sz w:val="18"/>
                <w:lang w:val="bg-BG"/>
              </w:rPr>
            </w:pPr>
          </w:p>
        </w:tc>
        <w:tc>
          <w:tcPr>
            <w:tcW w:w="709" w:type="dxa"/>
            <w:shd w:val="clear" w:color="auto" w:fill="C6EFCE"/>
            <w:vAlign w:val="center"/>
          </w:tcPr>
          <w:p w14:paraId="458A023E" w14:textId="379D542C" w:rsidR="00CE3BAD" w:rsidRPr="00782BF9" w:rsidRDefault="006B5475">
            <w:pPr>
              <w:pStyle w:val="P68B1DB1-Normal10"/>
              <w:spacing w:line="240" w:lineRule="auto"/>
              <w:ind w:left="52"/>
              <w:jc w:val="center"/>
              <w:rPr>
                <w:rFonts w:eastAsia="Times New Roman"/>
                <w:noProof/>
                <w:lang w:val="bg-BG"/>
              </w:rPr>
            </w:pPr>
            <w:r w:rsidRPr="00782BF9">
              <w:rPr>
                <w:noProof/>
                <w:lang w:val="bg-BG"/>
              </w:rPr>
              <w:t>Т3 Г.</w:t>
            </w:r>
          </w:p>
        </w:tc>
        <w:tc>
          <w:tcPr>
            <w:tcW w:w="709" w:type="dxa"/>
            <w:shd w:val="clear" w:color="auto" w:fill="C6EFCE"/>
            <w:vAlign w:val="center"/>
          </w:tcPr>
          <w:p w14:paraId="5A84D478" w14:textId="29B2FDD8"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2022</w:t>
            </w:r>
          </w:p>
        </w:tc>
        <w:tc>
          <w:tcPr>
            <w:tcW w:w="4793" w:type="dxa"/>
            <w:shd w:val="clear" w:color="auto" w:fill="C6EFCE"/>
          </w:tcPr>
          <w:p w14:paraId="51AF98D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подаването на първото искане за плащане по плана за възстановяване и устойчивост министерството, отговарящо за системата за възлагане на обществени поръчки, разработва нов инструмент за мониторинг и докладване („инструмент за докладване с една оферта“) за отделно измерване на дела на тръжните процедури за възлагане на обществени поръчки, приключени с една оферта — с прогнозна стойност както над, така и под праговете на ЕС за възлагане на обществени поръчки — финансирани или с подкрепа от Съюза, или с национални ресурси, или и двете, в съответствие с методиката на информационното табло за единния пазар.</w:t>
            </w:r>
          </w:p>
          <w:p w14:paraId="34D7F887" w14:textId="7FF276C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Етапният етап се счита за изпълнен, когато окончателен одитен доклад с одитно становище без резерви на одитния орган (EUTAF) потвърди, че инструментът за мониторинг и докладване е напълно функционален и функциониращ, неговите функционалности са в съответствие с методиката на информационното табло за единния пазар и че данните (с изключение на географските означения) в системата, използвана за целите на мониторинга и докладването, са точни и пълни, включително за базовите стойности.</w:t>
            </w:r>
          </w:p>
        </w:tc>
      </w:tr>
      <w:tr w:rsidR="00CE3BAD" w:rsidRPr="00782BF9" w14:paraId="5358A36A" w14:textId="77777777">
        <w:trPr>
          <w:trHeight w:val="1129"/>
        </w:trPr>
        <w:tc>
          <w:tcPr>
            <w:tcW w:w="807" w:type="dxa"/>
            <w:gridSpan w:val="2"/>
            <w:shd w:val="clear" w:color="auto" w:fill="C6EFCE"/>
            <w:vAlign w:val="center"/>
          </w:tcPr>
          <w:p w14:paraId="5B6BBBE9" w14:textId="5FD1A69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196</w:t>
            </w:r>
          </w:p>
        </w:tc>
        <w:tc>
          <w:tcPr>
            <w:tcW w:w="1493" w:type="dxa"/>
            <w:shd w:val="clear" w:color="auto" w:fill="C6EFCE"/>
            <w:vAlign w:val="center"/>
          </w:tcPr>
          <w:p w14:paraId="4F14C876" w14:textId="6797FA35" w:rsidR="00CE3BAD" w:rsidRPr="00782BF9" w:rsidRDefault="006B5475">
            <w:pPr>
              <w:pStyle w:val="P68B1DB1-Normal10"/>
              <w:spacing w:line="240" w:lineRule="auto"/>
              <w:ind w:left="52"/>
              <w:rPr>
                <w:rFonts w:eastAsia="Times New Roman"/>
                <w:noProof/>
                <w:lang w:val="bg-BG"/>
              </w:rPr>
            </w:pPr>
            <w:r w:rsidRPr="00782BF9">
              <w:rPr>
                <w:noProof/>
                <w:lang w:val="bg-BG"/>
              </w:rPr>
              <w:t>C9.R10 Намаляване на дела на процедурите за възлагане на обществени поръчки с един търг</w:t>
            </w:r>
          </w:p>
        </w:tc>
        <w:tc>
          <w:tcPr>
            <w:tcW w:w="883" w:type="dxa"/>
            <w:shd w:val="clear" w:color="auto" w:fill="C6EFCE"/>
            <w:vAlign w:val="center"/>
          </w:tcPr>
          <w:p w14:paraId="6B5B4981"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Ключов етап</w:t>
            </w:r>
          </w:p>
        </w:tc>
        <w:tc>
          <w:tcPr>
            <w:tcW w:w="1417" w:type="dxa"/>
            <w:shd w:val="clear" w:color="auto" w:fill="C6EFCE"/>
            <w:vAlign w:val="center"/>
          </w:tcPr>
          <w:p w14:paraId="281FD69F"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Предоставя се първият доклад, основаващ се на „инструмента за докладване въз основа на една оферта“</w:t>
            </w:r>
          </w:p>
        </w:tc>
        <w:tc>
          <w:tcPr>
            <w:tcW w:w="1276" w:type="dxa"/>
            <w:shd w:val="clear" w:color="auto" w:fill="C6EFCE"/>
            <w:vAlign w:val="center"/>
          </w:tcPr>
          <w:p w14:paraId="687955DF"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Първият доклад, основан на информация от единния инструмент за докладване, се оповестява публично.</w:t>
            </w:r>
          </w:p>
        </w:tc>
        <w:tc>
          <w:tcPr>
            <w:tcW w:w="1134" w:type="dxa"/>
            <w:shd w:val="clear" w:color="auto" w:fill="C6EFCE"/>
            <w:vAlign w:val="center"/>
          </w:tcPr>
          <w:p w14:paraId="11E02A20" w14:textId="77777777" w:rsidR="00CE3BAD" w:rsidRPr="00782BF9" w:rsidRDefault="00CE3BAD">
            <w:pPr>
              <w:spacing w:line="240" w:lineRule="auto"/>
              <w:ind w:left="52"/>
              <w:rPr>
                <w:rFonts w:eastAsia="Times New Roman"/>
                <w:noProof/>
                <w:sz w:val="18"/>
                <w:lang w:val="bg-BG"/>
              </w:rPr>
            </w:pPr>
          </w:p>
        </w:tc>
        <w:tc>
          <w:tcPr>
            <w:tcW w:w="851" w:type="dxa"/>
            <w:shd w:val="clear" w:color="auto" w:fill="C6EFCE"/>
            <w:vAlign w:val="center"/>
          </w:tcPr>
          <w:p w14:paraId="5FBCC67E" w14:textId="77777777" w:rsidR="00CE3BAD" w:rsidRPr="00782BF9" w:rsidRDefault="00CE3BAD">
            <w:pPr>
              <w:spacing w:line="240" w:lineRule="auto"/>
              <w:ind w:left="52"/>
              <w:jc w:val="center"/>
              <w:rPr>
                <w:rFonts w:eastAsia="Times New Roman"/>
                <w:noProof/>
                <w:sz w:val="18"/>
                <w:lang w:val="bg-BG"/>
              </w:rPr>
            </w:pPr>
          </w:p>
        </w:tc>
        <w:tc>
          <w:tcPr>
            <w:tcW w:w="850" w:type="dxa"/>
            <w:shd w:val="clear" w:color="auto" w:fill="C6EFCE"/>
            <w:vAlign w:val="center"/>
          </w:tcPr>
          <w:p w14:paraId="6817CACE" w14:textId="77777777" w:rsidR="00CE3BAD" w:rsidRPr="00782BF9" w:rsidRDefault="00CE3BAD">
            <w:pPr>
              <w:spacing w:line="240" w:lineRule="auto"/>
              <w:ind w:left="52"/>
              <w:jc w:val="center"/>
              <w:rPr>
                <w:rFonts w:eastAsia="Times New Roman"/>
                <w:noProof/>
                <w:sz w:val="18"/>
                <w:lang w:val="bg-BG"/>
              </w:rPr>
            </w:pPr>
          </w:p>
        </w:tc>
        <w:tc>
          <w:tcPr>
            <w:tcW w:w="709" w:type="dxa"/>
            <w:shd w:val="clear" w:color="auto" w:fill="C6EFCE"/>
            <w:vAlign w:val="center"/>
          </w:tcPr>
          <w:p w14:paraId="73CC246A"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Т1 Г.</w:t>
            </w:r>
          </w:p>
        </w:tc>
        <w:tc>
          <w:tcPr>
            <w:tcW w:w="709" w:type="dxa"/>
            <w:shd w:val="clear" w:color="auto" w:fill="C6EFCE"/>
            <w:vAlign w:val="center"/>
          </w:tcPr>
          <w:p w14:paraId="799DDFB4" w14:textId="77777777" w:rsidR="00CE3BAD" w:rsidRPr="00782BF9" w:rsidRDefault="006B5475">
            <w:pPr>
              <w:pStyle w:val="P68B1DB1-Normal10"/>
              <w:spacing w:line="240" w:lineRule="auto"/>
              <w:ind w:left="52"/>
              <w:jc w:val="center"/>
              <w:rPr>
                <w:rFonts w:eastAsia="Times New Roman"/>
                <w:noProof/>
                <w:lang w:val="bg-BG"/>
              </w:rPr>
            </w:pPr>
            <w:r w:rsidRPr="00782BF9">
              <w:rPr>
                <w:noProof/>
                <w:lang w:val="bg-BG"/>
              </w:rPr>
              <w:t>2023</w:t>
            </w:r>
          </w:p>
        </w:tc>
        <w:tc>
          <w:tcPr>
            <w:tcW w:w="4793" w:type="dxa"/>
            <w:shd w:val="clear" w:color="auto" w:fill="C6EFCE"/>
            <w:vAlign w:val="center"/>
          </w:tcPr>
          <w:p w14:paraId="389BFD7E" w14:textId="4BCE87C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Първият писмен доклад, основан на информация от единния инструмент за докладване (създаден и използван в съответствие с ключов етап 195), включително абсолютни стойности и дялове, географски означения и идентификация на услугите и продуктите, се изготвя от министерството, отговарящо за обществените поръчки, и се оповестява публично на уебсайта на ЕЗС. Докладът също така потвърждава, че единният инструмент за докладване е актуализиран, за да включва и данни за географските означения, и че тези функционални възможности са напълно функционални и оперативни и са на разположение на обществеността. Въвеждат се подходящи процедури, които гарантират, че годишните доклади за следващите години въз основа на информацията от единния инструмент за докладване се изготвят и оповестяват публично.</w:t>
            </w:r>
          </w:p>
        </w:tc>
      </w:tr>
      <w:tr w:rsidR="00CE3BAD" w:rsidRPr="00782BF9" w14:paraId="3C27545B" w14:textId="77777777">
        <w:trPr>
          <w:trHeight w:val="703"/>
        </w:trPr>
        <w:tc>
          <w:tcPr>
            <w:tcW w:w="807" w:type="dxa"/>
            <w:gridSpan w:val="2"/>
            <w:shd w:val="clear" w:color="auto" w:fill="C6EFCE"/>
            <w:vAlign w:val="center"/>
            <w:hideMark/>
          </w:tcPr>
          <w:p w14:paraId="4DA3F86C" w14:textId="7FB6783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197</w:t>
            </w:r>
          </w:p>
        </w:tc>
        <w:tc>
          <w:tcPr>
            <w:tcW w:w="1493" w:type="dxa"/>
            <w:shd w:val="clear" w:color="auto" w:fill="C6EFCE"/>
            <w:vAlign w:val="center"/>
            <w:hideMark/>
          </w:tcPr>
          <w:p w14:paraId="267E1529" w14:textId="1C30529A" w:rsidR="00CE3BAD" w:rsidRPr="00782BF9" w:rsidRDefault="006B5475">
            <w:pPr>
              <w:pStyle w:val="P68B1DB1-Normal10"/>
              <w:spacing w:line="240" w:lineRule="auto"/>
              <w:ind w:left="52"/>
              <w:rPr>
                <w:rFonts w:eastAsia="Times New Roman"/>
                <w:noProof/>
                <w:lang w:val="bg-BG"/>
              </w:rPr>
            </w:pPr>
            <w:r w:rsidRPr="00782BF9">
              <w:rPr>
                <w:noProof/>
                <w:lang w:val="bg-BG"/>
              </w:rPr>
              <w:t xml:space="preserve">C9.R11 Разработване на електронната система за обществени поръчки (ЕОП) с цел повишаване на прозрачността </w:t>
            </w:r>
          </w:p>
        </w:tc>
        <w:tc>
          <w:tcPr>
            <w:tcW w:w="883" w:type="dxa"/>
            <w:shd w:val="clear" w:color="auto" w:fill="C6EFCE"/>
            <w:vAlign w:val="center"/>
            <w:hideMark/>
          </w:tcPr>
          <w:p w14:paraId="4DFE9C23"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Ключов етап</w:t>
            </w:r>
          </w:p>
        </w:tc>
        <w:tc>
          <w:tcPr>
            <w:tcW w:w="1417" w:type="dxa"/>
            <w:shd w:val="clear" w:color="auto" w:fill="C6EFCE"/>
            <w:vAlign w:val="center"/>
            <w:hideMark/>
          </w:tcPr>
          <w:p w14:paraId="3BB8C72D"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Функциите на ЕОП, които позволяват структурирано търсене и масово експортиране на данни от обявленията за възлагане на обществени поръчки, са на разположение на обществеността </w:t>
            </w:r>
          </w:p>
        </w:tc>
        <w:tc>
          <w:tcPr>
            <w:tcW w:w="1276" w:type="dxa"/>
            <w:shd w:val="clear" w:color="auto" w:fill="C6EFCE"/>
            <w:vAlign w:val="center"/>
            <w:hideMark/>
          </w:tcPr>
          <w:p w14:paraId="3ABDE8BB"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 xml:space="preserve">ВЕУ, модернизирани с новите функционални възможности, са напълно оперативни и достъпни за обществеността. </w:t>
            </w:r>
          </w:p>
        </w:tc>
        <w:tc>
          <w:tcPr>
            <w:tcW w:w="1134" w:type="dxa"/>
            <w:shd w:val="clear" w:color="auto" w:fill="C6EFCE"/>
            <w:vAlign w:val="center"/>
            <w:hideMark/>
          </w:tcPr>
          <w:p w14:paraId="2296308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1" w:type="dxa"/>
            <w:shd w:val="clear" w:color="auto" w:fill="C6EFCE"/>
            <w:vAlign w:val="center"/>
            <w:hideMark/>
          </w:tcPr>
          <w:p w14:paraId="76D0F978"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0" w:type="dxa"/>
            <w:shd w:val="clear" w:color="auto" w:fill="C6EFCE"/>
            <w:vAlign w:val="center"/>
            <w:hideMark/>
          </w:tcPr>
          <w:p w14:paraId="49FF5A8B"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709" w:type="dxa"/>
            <w:shd w:val="clear" w:color="auto" w:fill="C6EFCE"/>
            <w:vAlign w:val="center"/>
            <w:hideMark/>
          </w:tcPr>
          <w:p w14:paraId="64415A5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hideMark/>
          </w:tcPr>
          <w:p w14:paraId="3A339F43" w14:textId="7C29819C"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hideMark/>
          </w:tcPr>
          <w:p w14:paraId="6971972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Функциите на електронната система за обществени поръчки (ЕОП), позволяващи структурирано, машинночетимо търсене (включително от булеви оператори за търсене) и масово експортиране на всички данни от обявленията за възлагане на обществени поръчки с идентификационни номера на дружеството (включително имената на всеки отделен член на консорциуми и — във формат със свободен текст — имената на подизпълнителите), трябва да станат напълно функционални и оперативни преди подаването на първото искане за плащане съгласно плана за възстановяване и устойчивост.</w:t>
            </w:r>
          </w:p>
          <w:p w14:paraId="45C03D0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Тези функции за търсене и експортиране на ЕОС дават възможност за събиране, филтриране и сравняване на данни в обявленията за възложени поръчки и свързани с различни теми на обществените поръчки, обхващащи информация от различни видове обявления за възложени поръчки.</w:t>
            </w:r>
          </w:p>
          <w:p w14:paraId="7AF3416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 ЕПУ се създава и публикува редовно актуализирана (поне веднъж на тримесечие) база данни, съдържаща информация за всички обявления за възлагане на обществени поръчки в структурирана форма, която трябва да е пригодна за машинна обработка. Всички икономически оператори в базата данни, включително членовете на консорциуми, трябва да могат да бъдат идентифицирани с уникален идентификатор (данъчен номер). </w:t>
            </w:r>
          </w:p>
          <w:p w14:paraId="6120641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Базата данни се предоставя на разположение на обществеността. Публикуваната база данни е достъпна и може да бъде изтеглена от всеки от началната страница на EPS без регистрация и безплатно.</w:t>
            </w:r>
          </w:p>
          <w:p w14:paraId="32AD447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когато след пробно изпитване новите функции са активирани и данните са налични и достъпни за обществеността чрез новите функции на началната страница на EPS.</w:t>
            </w:r>
          </w:p>
        </w:tc>
      </w:tr>
      <w:tr w:rsidR="00CE3BAD" w:rsidRPr="00782BF9" w14:paraId="2C0A7AC5" w14:textId="77777777">
        <w:trPr>
          <w:trHeight w:val="703"/>
        </w:trPr>
        <w:tc>
          <w:tcPr>
            <w:tcW w:w="807" w:type="dxa"/>
            <w:gridSpan w:val="2"/>
            <w:shd w:val="clear" w:color="auto" w:fill="C6EFCE"/>
            <w:vAlign w:val="center"/>
            <w:hideMark/>
          </w:tcPr>
          <w:p w14:paraId="4BDBEE77" w14:textId="15F89F3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198</w:t>
            </w:r>
          </w:p>
        </w:tc>
        <w:tc>
          <w:tcPr>
            <w:tcW w:w="1493" w:type="dxa"/>
            <w:shd w:val="clear" w:color="auto" w:fill="C6EFCE"/>
            <w:vAlign w:val="center"/>
            <w:hideMark/>
          </w:tcPr>
          <w:p w14:paraId="4F58290A" w14:textId="7360CF80" w:rsidR="00CE3BAD" w:rsidRPr="00782BF9" w:rsidRDefault="006B5475">
            <w:pPr>
              <w:pStyle w:val="P68B1DB1-Normal10"/>
              <w:spacing w:line="240" w:lineRule="auto"/>
              <w:ind w:left="52"/>
              <w:rPr>
                <w:rFonts w:eastAsia="Times New Roman"/>
                <w:noProof/>
                <w:lang w:val="bg-BG"/>
              </w:rPr>
            </w:pPr>
            <w:r w:rsidRPr="00782BF9">
              <w:rPr>
                <w:noProof/>
                <w:lang w:val="bg-BG"/>
              </w:rPr>
              <w:t>C9.R11 Разработване на електронната система за обществени поръчки (ЕОП) с цел повишаване на прозрачността</w:t>
            </w:r>
          </w:p>
        </w:tc>
        <w:tc>
          <w:tcPr>
            <w:tcW w:w="883" w:type="dxa"/>
            <w:shd w:val="clear" w:color="auto" w:fill="C6EFCE"/>
            <w:vAlign w:val="center"/>
            <w:hideMark/>
          </w:tcPr>
          <w:p w14:paraId="042B4E5C"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Ключов етап</w:t>
            </w:r>
          </w:p>
        </w:tc>
        <w:tc>
          <w:tcPr>
            <w:tcW w:w="1417" w:type="dxa"/>
            <w:shd w:val="clear" w:color="auto" w:fill="C6EFCE"/>
            <w:vAlign w:val="center"/>
            <w:hideMark/>
          </w:tcPr>
          <w:p w14:paraId="0C69DE37"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Функциите на ЕОП, позволяващи структурирано търсене и масово експортиране на всички данни, свързани с подизпълнителите, са достъпни за обществеността.</w:t>
            </w:r>
          </w:p>
        </w:tc>
        <w:tc>
          <w:tcPr>
            <w:tcW w:w="1276" w:type="dxa"/>
            <w:shd w:val="clear" w:color="auto" w:fill="C6EFCE"/>
            <w:vAlign w:val="center"/>
            <w:hideMark/>
          </w:tcPr>
          <w:p w14:paraId="547E9FB3"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ВЕУ се модернизира с новата функционалност, която позволява масовия износ на цялата информация, свързана с подизпълнителите, е напълно оперативна и е достъпна за обществеността.</w:t>
            </w:r>
          </w:p>
        </w:tc>
        <w:tc>
          <w:tcPr>
            <w:tcW w:w="1134" w:type="dxa"/>
            <w:shd w:val="clear" w:color="auto" w:fill="C6EFCE"/>
            <w:vAlign w:val="center"/>
            <w:hideMark/>
          </w:tcPr>
          <w:p w14:paraId="18C166F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1" w:type="dxa"/>
            <w:shd w:val="clear" w:color="auto" w:fill="C6EFCE"/>
            <w:vAlign w:val="center"/>
            <w:hideMark/>
          </w:tcPr>
          <w:p w14:paraId="4E9758B6"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hideMark/>
          </w:tcPr>
          <w:p w14:paraId="1F330F31"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hideMark/>
          </w:tcPr>
          <w:p w14:paraId="04DA92D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Т4 Г.</w:t>
            </w:r>
          </w:p>
        </w:tc>
        <w:tc>
          <w:tcPr>
            <w:tcW w:w="709" w:type="dxa"/>
            <w:shd w:val="clear" w:color="auto" w:fill="C6EFCE"/>
            <w:vAlign w:val="center"/>
            <w:hideMark/>
          </w:tcPr>
          <w:p w14:paraId="503ED80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2022 </w:t>
            </w:r>
          </w:p>
        </w:tc>
        <w:tc>
          <w:tcPr>
            <w:tcW w:w="4793" w:type="dxa"/>
            <w:shd w:val="clear" w:color="auto" w:fill="C6EFCE"/>
            <w:vAlign w:val="center"/>
            <w:hideMark/>
          </w:tcPr>
          <w:p w14:paraId="15F273A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Функциите на ЕЗС, които дават възможност за масов износ и търсене на цялата информация, свързана с подизпълнителите, функционират пълноценно и функционират преди подаването на първото искане за плащане съгласно плана за възстановяване и устойчивост.</w:t>
            </w:r>
          </w:p>
          <w:p w14:paraId="114C028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Етапният етап се достига, след като след пробно изпитване новата функция бъде активирана и данните са налични и достъпни за обществеността чрез новите функции на началната страница на EPS.</w:t>
            </w:r>
          </w:p>
        </w:tc>
      </w:tr>
      <w:tr w:rsidR="00CE3BAD" w:rsidRPr="00782BF9" w14:paraId="46B7FC14" w14:textId="77777777">
        <w:trPr>
          <w:trHeight w:val="703"/>
        </w:trPr>
        <w:tc>
          <w:tcPr>
            <w:tcW w:w="807" w:type="dxa"/>
            <w:gridSpan w:val="2"/>
            <w:shd w:val="clear" w:color="auto" w:fill="C6EFCE"/>
            <w:vAlign w:val="center"/>
          </w:tcPr>
          <w:p w14:paraId="29149D1A" w14:textId="1818689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199</w:t>
            </w:r>
          </w:p>
        </w:tc>
        <w:tc>
          <w:tcPr>
            <w:tcW w:w="1493" w:type="dxa"/>
            <w:shd w:val="clear" w:color="auto" w:fill="C6EFCE"/>
            <w:vAlign w:val="center"/>
          </w:tcPr>
          <w:p w14:paraId="16DBB781" w14:textId="0AEFB4BC" w:rsidR="00CE3BAD" w:rsidRPr="00782BF9" w:rsidRDefault="006B5475">
            <w:pPr>
              <w:pStyle w:val="P68B1DB1-Normal10"/>
              <w:spacing w:line="240" w:lineRule="auto"/>
              <w:ind w:left="52"/>
              <w:rPr>
                <w:rFonts w:eastAsia="Times New Roman"/>
                <w:noProof/>
                <w:lang w:val="bg-BG"/>
              </w:rPr>
            </w:pPr>
            <w:r w:rsidRPr="00782BF9">
              <w:rPr>
                <w:noProof/>
                <w:lang w:val="bg-BG"/>
              </w:rPr>
              <w:t>C9.R11 Разработване на електронната система за обществени поръчки (ЕОП) с цел повишаване на прозрачността</w:t>
            </w:r>
          </w:p>
        </w:tc>
        <w:tc>
          <w:tcPr>
            <w:tcW w:w="883" w:type="dxa"/>
            <w:shd w:val="clear" w:color="auto" w:fill="C6EFCE"/>
            <w:vAlign w:val="center"/>
          </w:tcPr>
          <w:p w14:paraId="061B872A"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Ключов етап</w:t>
            </w:r>
          </w:p>
        </w:tc>
        <w:tc>
          <w:tcPr>
            <w:tcW w:w="1417" w:type="dxa"/>
            <w:shd w:val="clear" w:color="auto" w:fill="C6EFCE"/>
            <w:vAlign w:val="center"/>
          </w:tcPr>
          <w:p w14:paraId="691D0BAE" w14:textId="77777777" w:rsidR="00CE3BAD" w:rsidRPr="00782BF9" w:rsidRDefault="006B5475">
            <w:pPr>
              <w:pStyle w:val="P68B1DB1-Normal10"/>
              <w:spacing w:line="240" w:lineRule="auto"/>
              <w:ind w:left="52"/>
              <w:rPr>
                <w:rFonts w:eastAsia="Times New Roman"/>
                <w:noProof/>
                <w:lang w:val="bg-BG"/>
              </w:rPr>
            </w:pPr>
            <w:r w:rsidRPr="00782BF9">
              <w:rPr>
                <w:noProof/>
                <w:lang w:val="bg-BG"/>
              </w:rPr>
              <w:t>Функциите на ЕОП, позволяващи структурирано търсене и масово експортиране на данни от обявленията за възлагане на обществени поръчки от 1 януари 2014 г., са на разположение на обществеността</w:t>
            </w:r>
          </w:p>
        </w:tc>
        <w:tc>
          <w:tcPr>
            <w:tcW w:w="1276" w:type="dxa"/>
            <w:shd w:val="clear" w:color="auto" w:fill="C6EFCE"/>
            <w:vAlign w:val="center"/>
          </w:tcPr>
          <w:p w14:paraId="1A55FF9C" w14:textId="0026D55C" w:rsidR="00CE3BAD" w:rsidRPr="00782BF9" w:rsidRDefault="006B5475">
            <w:pPr>
              <w:pStyle w:val="P68B1DB1-Normal10"/>
              <w:spacing w:line="240" w:lineRule="auto"/>
              <w:ind w:left="52"/>
              <w:rPr>
                <w:rFonts w:eastAsia="Times New Roman"/>
                <w:noProof/>
                <w:lang w:val="bg-BG"/>
              </w:rPr>
            </w:pPr>
            <w:r w:rsidRPr="00782BF9">
              <w:rPr>
                <w:noProof/>
                <w:lang w:val="bg-BG"/>
              </w:rPr>
              <w:t>Всички данни, свързани с обявленията за възлагане на обществени поръчки от 1 януари 2014 г., се предоставят за търсене и групово експортиране в системата EPS.</w:t>
            </w:r>
          </w:p>
        </w:tc>
        <w:tc>
          <w:tcPr>
            <w:tcW w:w="1134" w:type="dxa"/>
            <w:shd w:val="clear" w:color="auto" w:fill="C6EFCE"/>
            <w:vAlign w:val="center"/>
          </w:tcPr>
          <w:p w14:paraId="703BBEA3"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3F0D718B"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01C9C4EE"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3494935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42E6136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2023</w:t>
            </w:r>
          </w:p>
        </w:tc>
        <w:tc>
          <w:tcPr>
            <w:tcW w:w="4793" w:type="dxa"/>
            <w:shd w:val="clear" w:color="auto" w:fill="C6EFCE"/>
          </w:tcPr>
          <w:p w14:paraId="0F83453D" w14:textId="4B00A9D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Всички данни, посочени в ключов етап 197, свързани с обявленията за възлагане на поръчки със задна дата, считано от 1 януари 2014 г., се предоставят за търсене и групово експортиране и са достъпни за обществеността в ЕОС в съответствие с критериите, определени в ключови етапи 197 и 198.</w:t>
            </w:r>
          </w:p>
          <w:p w14:paraId="3A04017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когато съответните данни са налични и достъпни за обществеността на началната страница на EPS.</w:t>
            </w:r>
          </w:p>
        </w:tc>
      </w:tr>
      <w:tr w:rsidR="00CE3BAD" w:rsidRPr="00782BF9" w14:paraId="31C78A0D" w14:textId="77777777">
        <w:trPr>
          <w:trHeight w:val="987"/>
        </w:trPr>
        <w:tc>
          <w:tcPr>
            <w:tcW w:w="807" w:type="dxa"/>
            <w:gridSpan w:val="2"/>
            <w:shd w:val="clear" w:color="auto" w:fill="C6EFCE"/>
            <w:vAlign w:val="center"/>
          </w:tcPr>
          <w:p w14:paraId="5B88AB85" w14:textId="77A57FB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200</w:t>
            </w:r>
          </w:p>
        </w:tc>
        <w:tc>
          <w:tcPr>
            <w:tcW w:w="1493" w:type="dxa"/>
            <w:shd w:val="clear" w:color="auto" w:fill="C6EFCE"/>
            <w:vAlign w:val="center"/>
          </w:tcPr>
          <w:p w14:paraId="2528EC8D" w14:textId="3DE1B0A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C9.R12 Рамка за измерване на изпълнението при обществените поръчки</w:t>
            </w:r>
          </w:p>
        </w:tc>
        <w:tc>
          <w:tcPr>
            <w:tcW w:w="883" w:type="dxa"/>
            <w:shd w:val="clear" w:color="auto" w:fill="C6EFCE"/>
            <w:vAlign w:val="center"/>
          </w:tcPr>
          <w:p w14:paraId="2E07B1E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78405B6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Създаване на рамка за измерване на изпълнението на обществените поръчки</w:t>
            </w:r>
          </w:p>
          <w:p w14:paraId="57FF8DFB" w14:textId="77777777" w:rsidR="00CE3BAD" w:rsidRPr="00782BF9" w:rsidRDefault="00CE3BAD">
            <w:pPr>
              <w:spacing w:after="0" w:line="240" w:lineRule="auto"/>
              <w:ind w:left="52"/>
              <w:textAlignment w:val="baseline"/>
              <w:rPr>
                <w:rFonts w:eastAsia="Times New Roman"/>
                <w:noProof/>
                <w:sz w:val="18"/>
                <w:lang w:val="bg-BG"/>
              </w:rPr>
            </w:pPr>
          </w:p>
        </w:tc>
        <w:tc>
          <w:tcPr>
            <w:tcW w:w="1276" w:type="dxa"/>
            <w:shd w:val="clear" w:color="auto" w:fill="C6EFCE"/>
            <w:vAlign w:val="center"/>
          </w:tcPr>
          <w:p w14:paraId="01F6B0E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Приемане на решение на правителството относно създаването на рамка за измерване на изпълнението, в която се оценяват ефикасността и разходната ефективност на обществените поръчки и причините за ограничената конкуренция в секторите, които са най-силно засегнати от ниското ниво на конкуренция</w:t>
            </w:r>
          </w:p>
        </w:tc>
        <w:tc>
          <w:tcPr>
            <w:tcW w:w="1134" w:type="dxa"/>
            <w:shd w:val="clear" w:color="auto" w:fill="C6EFCE"/>
            <w:vAlign w:val="center"/>
          </w:tcPr>
          <w:p w14:paraId="6FEE264C"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1E402647"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1E093528"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248FE52"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255171DF"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tcPr>
          <w:p w14:paraId="408A48E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Приемане на решение на правителството преди подаването на първото искане за плащане съгласно плана за възстановяване и устойчивост, с което се създава рамка за измерване на изпълнението с цел оценка на ефективността и разходната ефективност на обществените поръчки с ефективното участие на независими неправителствени организации и независими експерти в областта на обществените поръчки.</w:t>
            </w:r>
          </w:p>
          <w:p w14:paraId="141CD943" w14:textId="00BAAE2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 решението се определят най-малко i) критериите за подбор за участието на независими неправителствени организации, които са същите като посочените в ключов етап 201; II) критериите за подбор на независими експерти в областта на обществените поръчки; III) съответните задачи и роли на избраните неправителствени организации и на независимите експерти в областта на обществените поръчки; IV) ангажимент за годишно публикуване на резултатите от рамката за измерване на изпълнението; V) минимални изисквания относно съдържанието на рамката за измерване на изпълнението.</w:t>
            </w:r>
          </w:p>
        </w:tc>
      </w:tr>
      <w:tr w:rsidR="00CE3BAD" w:rsidRPr="00782BF9" w14:paraId="4779A495" w14:textId="77777777">
        <w:trPr>
          <w:trHeight w:val="987"/>
        </w:trPr>
        <w:tc>
          <w:tcPr>
            <w:tcW w:w="807" w:type="dxa"/>
            <w:gridSpan w:val="2"/>
            <w:shd w:val="clear" w:color="auto" w:fill="C6EFCE"/>
            <w:vAlign w:val="center"/>
          </w:tcPr>
          <w:p w14:paraId="4F07DCBA" w14:textId="6A41773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201</w:t>
            </w:r>
          </w:p>
        </w:tc>
        <w:tc>
          <w:tcPr>
            <w:tcW w:w="1493" w:type="dxa"/>
            <w:shd w:val="clear" w:color="auto" w:fill="C6EFCE"/>
            <w:vAlign w:val="center"/>
          </w:tcPr>
          <w:p w14:paraId="7BABBAC3" w14:textId="38D2EC7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C9.R12 Рамка за измерване на изпълнението при обществените поръчки</w:t>
            </w:r>
          </w:p>
        </w:tc>
        <w:tc>
          <w:tcPr>
            <w:tcW w:w="883" w:type="dxa"/>
            <w:shd w:val="clear" w:color="auto" w:fill="C6EFCE"/>
            <w:vAlign w:val="center"/>
          </w:tcPr>
          <w:p w14:paraId="0628B9F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Ключов етап </w:t>
            </w:r>
          </w:p>
        </w:tc>
        <w:tc>
          <w:tcPr>
            <w:tcW w:w="1417" w:type="dxa"/>
            <w:shd w:val="clear" w:color="auto" w:fill="C6EFCE"/>
            <w:vAlign w:val="center"/>
          </w:tcPr>
          <w:p w14:paraId="6372D43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Въвеждане в действие на рамка за измерване на изпълнението на обществени поръчки </w:t>
            </w:r>
          </w:p>
        </w:tc>
        <w:tc>
          <w:tcPr>
            <w:tcW w:w="1276" w:type="dxa"/>
            <w:shd w:val="clear" w:color="auto" w:fill="C6EFCE"/>
            <w:vAlign w:val="center"/>
          </w:tcPr>
          <w:p w14:paraId="4744A84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Въвеждане в действие на рамка за измерване на изпълнението, оценяваща ефикасността и разходната ефективност на обществените поръчки и причините за ограничената конкуренция в секторите, които са най-силно засегнати от ниско ниво на конкуренция </w:t>
            </w:r>
          </w:p>
        </w:tc>
        <w:tc>
          <w:tcPr>
            <w:tcW w:w="1134" w:type="dxa"/>
            <w:shd w:val="clear" w:color="auto" w:fill="C6EFCE"/>
            <w:vAlign w:val="center"/>
          </w:tcPr>
          <w:p w14:paraId="2FF9C67A"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1C3FFFC1"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E4342E3"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5569EC02"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5B8FF7F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3D29C15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Въвеждане в експлоатация преди подаването на първото искане за плащане съгласно плана за възстановяване и устойчивост на рамка за измерване на изпълнението, която се разработва с цел редовно използване, с участието на независими неправителствени организации и независими експерти в областта на обществените поръчки за оценка на ефикасността, разходната ефективност на обществените поръчки и възможните причини и последици от процедурите за възлагане на обществени поръчки, водещи до единни оферти. </w:t>
            </w:r>
          </w:p>
          <w:p w14:paraId="05EBCA7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Рамката за измерване на изпълнението дава възможност по-специално за годишен анализ на i) нивото на неуспешните процедури за възлагане на обществени поръчки и причините за тях, ii) дела (измерен спрямо броя и стойността) на договорите, които са изцяло отменени по време на изпълнението на договора, iii) дела на случаите на закъснения при изпълнението на договорите, iv) дела на случаите на превишаване на разходите (включително техния дял и обем), v) дела на възложените договори за обществени поръчки, при които изрично се взема предвид целият жизнен цикъл или оценката на разходите за целия жизнен цикъл, vi) дела на успешното участие на микро- и малките предприятия в обществените поръчки, разглеждани във всички сектори и по сектори (въз основа на подразделения и групи по CPV), vii) стойността на процедурите за възлагане на обществени поръчки с една оферта, финансирани поотделно от национални ресурси и от подкрепа от Съюза и/или и двете, и как тази стойност се сравнява с общата стойност на процедурите за възлагане на обществени поръчки, финансирани поотделно с национални ресурси и подкрепа от Съюза и/или и с двете. </w:t>
            </w:r>
          </w:p>
          <w:p w14:paraId="41C28A6C" w14:textId="13484A1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Анализът се извършва от отговорния отдел на министерството, отговарящо за обществените поръчки, с пълното и ефективно участие на избрани независими неправителствени организации и независими експерти в областта на обществените поръчки. Резултатите от този анализ се оповестяват публично до 28 февруари всяка година на уебсайта на електронната система за обществени поръчки (EPS). За анализа на този и на други въпроси от значение за пазара на обществени поръчки, като например вида на използваната процедура за възлагане на обществени поръчки, рамката за измерване на изпълнението включва определянето на съответните показатели и се основава, доколкото е уместно, на данните, налични в инструмента за докладване с една оферта (ключов етап 195), и по-специално анализира съответните услуги и продукти, съответните сектори и възлагащи органи.</w:t>
            </w:r>
          </w:p>
          <w:p w14:paraId="5F45399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Подборът на независими неправителствени организации се основава на открит, прозрачен и недискриминационен процес на подбор въз основа на обективни критерии, свързани с експертния опит и качествата. Критериите за подбор са свързани с доказан експертен опит, професионална репутация и достатъчно продължителна проверима дейност в областта на обществените поръчки, както и независимост от влиянието на политическите партии.</w:t>
            </w:r>
          </w:p>
          <w:p w14:paraId="7DBFF07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когато подробната документация за рамката за измерване на изпълнението и нейното годишно използване — в съответствие с горното описание — е приета от правителството, съответното правителствено решение е влязло в сила и рамката за измерване на изпълнението е разработена с участието на избрани независими неправителствени организации и независими експерти в областта на обществените поръчки и е напълно оперативна.</w:t>
            </w:r>
          </w:p>
        </w:tc>
      </w:tr>
      <w:tr w:rsidR="00CE3BAD" w:rsidRPr="00782BF9" w14:paraId="3F9AE1BB" w14:textId="77777777">
        <w:trPr>
          <w:trHeight w:val="987"/>
        </w:trPr>
        <w:tc>
          <w:tcPr>
            <w:tcW w:w="807" w:type="dxa"/>
            <w:gridSpan w:val="2"/>
            <w:shd w:val="clear" w:color="auto" w:fill="C6EFCE"/>
            <w:vAlign w:val="center"/>
          </w:tcPr>
          <w:p w14:paraId="20ABB263" w14:textId="44767B2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w:t>
            </w:r>
          </w:p>
        </w:tc>
        <w:tc>
          <w:tcPr>
            <w:tcW w:w="1493" w:type="dxa"/>
            <w:shd w:val="clear" w:color="auto" w:fill="C6EFCE"/>
            <w:vAlign w:val="center"/>
          </w:tcPr>
          <w:p w14:paraId="75E733AA" w14:textId="56C2222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C9.R12 Рамка за измерване на изпълнението при обществените поръчки</w:t>
            </w:r>
          </w:p>
        </w:tc>
        <w:tc>
          <w:tcPr>
            <w:tcW w:w="883" w:type="dxa"/>
            <w:shd w:val="clear" w:color="auto" w:fill="C6EFCE"/>
            <w:vAlign w:val="center"/>
          </w:tcPr>
          <w:p w14:paraId="41B5E75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7A789B5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Първи годишен анализ, извършен съгласно рамката за измерване на изпълнението на обществените поръчки</w:t>
            </w:r>
          </w:p>
        </w:tc>
        <w:tc>
          <w:tcPr>
            <w:tcW w:w="1276" w:type="dxa"/>
            <w:shd w:val="clear" w:color="auto" w:fill="C6EFCE"/>
            <w:vAlign w:val="center"/>
          </w:tcPr>
          <w:p w14:paraId="7FEC554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Публикуване на първия годишен анализ за оценка на ефикасността и разходната ефективност на обществените поръчки и причините за ограничената конкуренция в секторите, които са най-силно засегнати от ниското равнище на конкуренция за 2022 г. </w:t>
            </w:r>
          </w:p>
        </w:tc>
        <w:tc>
          <w:tcPr>
            <w:tcW w:w="1134" w:type="dxa"/>
            <w:shd w:val="clear" w:color="auto" w:fill="C6EFCE"/>
            <w:vAlign w:val="center"/>
          </w:tcPr>
          <w:p w14:paraId="2890B4F3"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527AA99D"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46C9D5FC"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4822F83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009A383F"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376C7492" w14:textId="382ADEF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Отговорният отдел на министерството, отговарящо за обществените поръчки, извършва първия годишен анализ в съответствие с ключов етап 201 за 2022 г. с ефективното и пълноценно участие на избрани независими неправителствени организации и независими експерти в областта на обществените поръчки, като резултатите от тази оценка се оповестяват публично на уебсайта на електронната система за обществени поръчки (EPS). </w:t>
            </w:r>
          </w:p>
          <w:p w14:paraId="56C0DAE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Въвеждат се подходящи процедури, които гарантират, че годишните анализи за следващите години се изготвят и оповестяват публично.</w:t>
            </w:r>
          </w:p>
        </w:tc>
      </w:tr>
      <w:tr w:rsidR="00CE3BAD" w:rsidRPr="00782BF9" w14:paraId="62ED0798" w14:textId="77777777">
        <w:trPr>
          <w:trHeight w:val="987"/>
        </w:trPr>
        <w:tc>
          <w:tcPr>
            <w:tcW w:w="807" w:type="dxa"/>
            <w:gridSpan w:val="2"/>
            <w:shd w:val="clear" w:color="auto" w:fill="C6EFCE"/>
            <w:vAlign w:val="center"/>
          </w:tcPr>
          <w:p w14:paraId="0A81EEC8" w14:textId="3125C98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203</w:t>
            </w:r>
          </w:p>
        </w:tc>
        <w:tc>
          <w:tcPr>
            <w:tcW w:w="1493" w:type="dxa"/>
            <w:shd w:val="clear" w:color="auto" w:fill="C6EFCE"/>
            <w:vAlign w:val="center"/>
          </w:tcPr>
          <w:p w14:paraId="35B216E5" w14:textId="0B510D1C"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C9.R13</w:t>
            </w:r>
            <w:r w:rsidRPr="00782BF9">
              <w:rPr>
                <w:rFonts w:ascii="Calibri" w:hAnsi="Calibri"/>
                <w:b/>
                <w:noProof/>
                <w:lang w:val="bg-BG"/>
              </w:rPr>
              <w:t xml:space="preserve"> </w:t>
            </w:r>
            <w:r w:rsidRPr="00782BF9">
              <w:rPr>
                <w:noProof/>
                <w:lang w:val="bg-BG"/>
              </w:rPr>
              <w:t>План за действие за повишаване на равнището на конкуренция в областта на обществените поръчки</w:t>
            </w:r>
          </w:p>
        </w:tc>
        <w:tc>
          <w:tcPr>
            <w:tcW w:w="883" w:type="dxa"/>
            <w:shd w:val="clear" w:color="auto" w:fill="C6EFCE"/>
            <w:vAlign w:val="center"/>
          </w:tcPr>
          <w:p w14:paraId="0C25176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Ключов етап </w:t>
            </w:r>
          </w:p>
        </w:tc>
        <w:tc>
          <w:tcPr>
            <w:tcW w:w="1417" w:type="dxa"/>
            <w:shd w:val="clear" w:color="auto" w:fill="C6EFCE"/>
            <w:vAlign w:val="center"/>
          </w:tcPr>
          <w:p w14:paraId="060067F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Приемане на план за действие за повишаване на равнището на конкуренция при обществените поръчки </w:t>
            </w:r>
          </w:p>
        </w:tc>
        <w:tc>
          <w:tcPr>
            <w:tcW w:w="1276" w:type="dxa"/>
            <w:shd w:val="clear" w:color="auto" w:fill="C6EFCE"/>
            <w:vAlign w:val="center"/>
          </w:tcPr>
          <w:p w14:paraId="58A177D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плана за действие, приет от правителството</w:t>
            </w:r>
          </w:p>
        </w:tc>
        <w:tc>
          <w:tcPr>
            <w:tcW w:w="1134" w:type="dxa"/>
            <w:shd w:val="clear" w:color="auto" w:fill="C6EFCE"/>
            <w:vAlign w:val="center"/>
          </w:tcPr>
          <w:p w14:paraId="457FA91B"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4D875284"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B756665"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41E625BB"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35424622"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vAlign w:val="center"/>
          </w:tcPr>
          <w:p w14:paraId="4A895FF7" w14:textId="198F3F0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приема и оповестява публично всеобхватен план за действие за подобряване на равнището на конкуренция в областта на обществените поръчки.</w:t>
            </w:r>
          </w:p>
          <w:p w14:paraId="133369DD" w14:textId="5742AE3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Действията в плана за действие се основават на следното: I) оценка на добрите практики за улесняване на конкуренцията в областта на обществените поръчки (като се взема предвид всяка информация, произтичаща от съответните коригиращи мерки съгласно Регламент (ЕС, Евратом) 2020/2092 и прилагането на Правителствено постановление 63/2022 (II. 28 Г.)); II) първите резултати от рамката за измерване на изпълнението (ключов етап 201) и изготвените въз основа на нея предложения за улесняване на конкуренцията в областта на обществените поръчки; и iii) наличните констатации, решения и препоръки от „докладите за почтеност при обществените поръчки“ на Органа по интегритета (ключов етап 161), които са от значение за конкуренцията в областта на обществените поръчки. Действията, основани на подточка iii), насърчават и правят ефективни проверките за почтеност при възлагането на обществени поръчки.</w:t>
            </w:r>
          </w:p>
          <w:p w14:paraId="367102A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Планът за действие: и) определя конкретни и измерими цели, които трябва да бъдат постигнати всяка година; II) определяне на мерки, които са от значение за постигане на съответните цели; III) определяне на точни срокове за изпълнение на мерките и определяне на съответни показатели за всяка мярка за мониторинг на напредъка по изпълнението ѝ; IV) посочва съответния орган или институция, които отговарят за изпълнението на всяка мярка; да създаде механизъм за мониторинг за оценка на напредъка към постигането на целите в плана за действие; VI) включва специална разпоредба за ежегоден преглед на плана за действие и неговото преразглеждане, ако е необходимо; VII) да гарантира, че годишното актуално състояние на изпълнението на действията в плана за действие или неговото преразглеждане се оповестява публично без забавяне.</w:t>
            </w:r>
          </w:p>
          <w:p w14:paraId="288073F3" w14:textId="21DD95C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Съдържанието на действията може да промени правната среда и да въведе промени в практиките за възлагане на обществени поръчки, като например прилагани стандартни условия или договорни клаузи. </w:t>
            </w:r>
          </w:p>
        </w:tc>
      </w:tr>
      <w:tr w:rsidR="00CE3BAD" w:rsidRPr="00782BF9" w14:paraId="52C90721" w14:textId="77777777">
        <w:trPr>
          <w:trHeight w:val="653"/>
        </w:trPr>
        <w:tc>
          <w:tcPr>
            <w:tcW w:w="807" w:type="dxa"/>
            <w:gridSpan w:val="2"/>
            <w:shd w:val="clear" w:color="auto" w:fill="C6EFCE"/>
            <w:vAlign w:val="center"/>
          </w:tcPr>
          <w:p w14:paraId="3A4935A6" w14:textId="1CCFD70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204</w:t>
            </w:r>
          </w:p>
        </w:tc>
        <w:tc>
          <w:tcPr>
            <w:tcW w:w="1493" w:type="dxa"/>
            <w:shd w:val="clear" w:color="auto" w:fill="C6EFCE"/>
            <w:vAlign w:val="center"/>
          </w:tcPr>
          <w:p w14:paraId="259BFC92" w14:textId="7B381C58"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C9.R13 План за действие за повишаване на равнището на конкуренция в областта на обществените поръчки</w:t>
            </w:r>
          </w:p>
        </w:tc>
        <w:tc>
          <w:tcPr>
            <w:tcW w:w="883" w:type="dxa"/>
            <w:shd w:val="clear" w:color="auto" w:fill="C6EFCE"/>
            <w:vAlign w:val="center"/>
          </w:tcPr>
          <w:p w14:paraId="6C3529A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4E8BE9D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Преразглеждане на плана за действие с цел повишаване на равнището на конкуренция при обществените поръчки след първия му годишен преглед</w:t>
            </w:r>
          </w:p>
        </w:tc>
        <w:tc>
          <w:tcPr>
            <w:tcW w:w="1276" w:type="dxa"/>
            <w:shd w:val="clear" w:color="auto" w:fill="C6EFCE"/>
            <w:vAlign w:val="center"/>
          </w:tcPr>
          <w:p w14:paraId="6896FF2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Първото годишно преразглеждане на плана за действие се приема и се оповестява публично</w:t>
            </w:r>
          </w:p>
        </w:tc>
        <w:tc>
          <w:tcPr>
            <w:tcW w:w="1134" w:type="dxa"/>
            <w:shd w:val="clear" w:color="auto" w:fill="C6EFCE"/>
            <w:vAlign w:val="center"/>
          </w:tcPr>
          <w:p w14:paraId="03C836EB"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32EF997B"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2CDFE1CC"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23E607FB"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4ACCFCD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vAlign w:val="center"/>
          </w:tcPr>
          <w:p w14:paraId="350D1AC7" w14:textId="3DF2056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приема и оповестява публично преразгледания план за действие след първия годишен преглед, резултатите от прегледа, както и документ, в който се излага актуалното състояние на изпълнението на всяка от мерките в плана за действие. В преразгледания план за действие се посочва ясно и подробно какви мерки трябва да бъдат предприети (и от кой орган) за изпълнение на действията, които не са били изпълнени, и се вземат предвид констатациите, решенията и препоръките на Органа по интегритета (когато е уместно за увеличаване на конкуренцията в областта на обществените поръчки).</w:t>
            </w:r>
          </w:p>
        </w:tc>
      </w:tr>
      <w:tr w:rsidR="00CE3BAD" w:rsidRPr="00782BF9" w14:paraId="0A6D1D0C" w14:textId="77777777">
        <w:trPr>
          <w:gridBefore w:val="1"/>
          <w:wBefore w:w="7" w:type="dxa"/>
          <w:trHeight w:val="987"/>
        </w:trPr>
        <w:tc>
          <w:tcPr>
            <w:tcW w:w="800" w:type="dxa"/>
            <w:shd w:val="clear" w:color="auto" w:fill="C6EFCE"/>
            <w:vAlign w:val="center"/>
          </w:tcPr>
          <w:p w14:paraId="22725118" w14:textId="4292379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br w:type="page"/>
              <w:t>205</w:t>
            </w:r>
          </w:p>
        </w:tc>
        <w:tc>
          <w:tcPr>
            <w:tcW w:w="1493" w:type="dxa"/>
            <w:shd w:val="clear" w:color="auto" w:fill="C6EFCE"/>
            <w:vAlign w:val="center"/>
          </w:tcPr>
          <w:p w14:paraId="169DDB4A" w14:textId="7B3CE784"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883" w:type="dxa"/>
            <w:shd w:val="clear" w:color="auto" w:fill="C6EFCE"/>
            <w:vAlign w:val="center"/>
          </w:tcPr>
          <w:p w14:paraId="40F269F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ED91362" w14:textId="402CC65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Стартиране на схема за обучение за улесняване на участието на микро-, малки и средни предприятия в процедури за възлагане на обществени поръчки</w:t>
            </w:r>
          </w:p>
        </w:tc>
        <w:tc>
          <w:tcPr>
            <w:tcW w:w="1276" w:type="dxa"/>
            <w:shd w:val="clear" w:color="auto" w:fill="C6EFCE"/>
            <w:vAlign w:val="center"/>
          </w:tcPr>
          <w:p w14:paraId="58C975D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Стартиране на схемата</w:t>
            </w:r>
          </w:p>
        </w:tc>
        <w:tc>
          <w:tcPr>
            <w:tcW w:w="1134" w:type="dxa"/>
            <w:shd w:val="clear" w:color="auto" w:fill="C6EFCE"/>
            <w:vAlign w:val="center"/>
          </w:tcPr>
          <w:p w14:paraId="43BA6769"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11E0AB9"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88E4468"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4E3248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78FCDAE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vAlign w:val="center"/>
          </w:tcPr>
          <w:p w14:paraId="1765DE6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Стартиране на схема за обучение с капацитет за предоставяне на безплатно обучение на най-малко 2 200 микро-, малки и средни предприятия (със специален акцент върху микропредприятията и малките предприятия) въз основа на новоразработени обучения и материали за електронно обучение. Разработването на схемата за обучение се координира от министерството, отговарящо за обществените поръчки. </w:t>
            </w:r>
          </w:p>
          <w:p w14:paraId="3A11E83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Обученията предоставят най-важната теоретична и практическа информация за това как микро-, малките и средните предприятия могат успешно да се подготвят и да участват в процедури за възлагане на обществени поръчки. Материалите за обучение обхващат по-специално ефективното използване на средствата за правна защита и особеностите, възникващи при изпълнението на обществена поръчка.</w:t>
            </w:r>
          </w:p>
          <w:p w14:paraId="5C0654C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Гарантира се, че броят на участниците в обучения от едно и също предприятие е ограничен.</w:t>
            </w:r>
          </w:p>
          <w:p w14:paraId="79F03FF8" w14:textId="541439B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 се механизъм за онлайн регистрация за обученията и за достъп до курсове за електронно обучение. Гарантира се, че участието се наблюдава, като се използват данните за влизане от онлайн системата и тестват въпросите, на които трябва да се отговори по време на сесиите. Министерството, отговарящо за обществените поръчки, гарантира също така, че заинтересованите микро-, малки и средни предприятия също могат да се регистрират за уведомления по електронна поща относно предстоящи обучения с подробна информация за съдържанието на курса и процеса на регистрация.</w:t>
            </w:r>
          </w:p>
          <w:p w14:paraId="10D304D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Гарантира се, че i) участието на микро-, малки и средни предприятия се наблюдава непрекъснато, ii) поддържа се база данни за участниците, iii) се създава механизъм за последващи действия, който позволява на всички участници да предоставят обратна информация относно ефикасността и полезността на обученията и материалите за обучение. </w:t>
            </w:r>
          </w:p>
        </w:tc>
      </w:tr>
      <w:tr w:rsidR="00CE3BAD" w:rsidRPr="00782BF9" w14:paraId="7AACB683" w14:textId="77777777">
        <w:trPr>
          <w:gridBefore w:val="1"/>
          <w:wBefore w:w="7" w:type="dxa"/>
          <w:trHeight w:val="987"/>
        </w:trPr>
        <w:tc>
          <w:tcPr>
            <w:tcW w:w="800" w:type="dxa"/>
            <w:shd w:val="clear" w:color="auto" w:fill="C6EFCE"/>
            <w:vAlign w:val="center"/>
          </w:tcPr>
          <w:p w14:paraId="17001BA5" w14:textId="08F909E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206</w:t>
            </w:r>
          </w:p>
        </w:tc>
        <w:tc>
          <w:tcPr>
            <w:tcW w:w="1493" w:type="dxa"/>
            <w:shd w:val="clear" w:color="auto" w:fill="C6EFCE"/>
            <w:vAlign w:val="center"/>
          </w:tcPr>
          <w:p w14:paraId="7A314AF3" w14:textId="5BDFA4D9"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883" w:type="dxa"/>
            <w:shd w:val="clear" w:color="auto" w:fill="C6EFCE"/>
            <w:vAlign w:val="center"/>
          </w:tcPr>
          <w:p w14:paraId="50154D7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Целеви </w:t>
            </w:r>
          </w:p>
        </w:tc>
        <w:tc>
          <w:tcPr>
            <w:tcW w:w="1417" w:type="dxa"/>
            <w:shd w:val="clear" w:color="auto" w:fill="C6EFCE"/>
            <w:vAlign w:val="center"/>
          </w:tcPr>
          <w:p w14:paraId="5C493AA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Брой микро-, малки и средни предприятия, преминали обучение относно практиките в областта на обществените поръчки</w:t>
            </w:r>
          </w:p>
        </w:tc>
        <w:tc>
          <w:tcPr>
            <w:tcW w:w="1276" w:type="dxa"/>
            <w:shd w:val="clear" w:color="auto" w:fill="C6EFCE"/>
            <w:vAlign w:val="center"/>
          </w:tcPr>
          <w:p w14:paraId="005CC908" w14:textId="77777777" w:rsidR="00CE3BAD" w:rsidRPr="00782BF9" w:rsidRDefault="00CE3BAD">
            <w:pPr>
              <w:spacing w:after="0" w:line="240" w:lineRule="auto"/>
              <w:ind w:left="52"/>
              <w:textAlignment w:val="baseline"/>
              <w:rPr>
                <w:rFonts w:eastAsia="Times New Roman"/>
                <w:noProof/>
                <w:sz w:val="18"/>
                <w:lang w:val="bg-BG"/>
              </w:rPr>
            </w:pPr>
          </w:p>
        </w:tc>
        <w:tc>
          <w:tcPr>
            <w:tcW w:w="1134" w:type="dxa"/>
            <w:shd w:val="clear" w:color="auto" w:fill="C6EFCE"/>
            <w:vAlign w:val="center"/>
          </w:tcPr>
          <w:p w14:paraId="0298E4A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Брой</w:t>
            </w:r>
          </w:p>
        </w:tc>
        <w:tc>
          <w:tcPr>
            <w:tcW w:w="851" w:type="dxa"/>
            <w:shd w:val="clear" w:color="auto" w:fill="C6EFCE"/>
            <w:vAlign w:val="center"/>
          </w:tcPr>
          <w:p w14:paraId="3E882BE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0</w:t>
            </w:r>
          </w:p>
        </w:tc>
        <w:tc>
          <w:tcPr>
            <w:tcW w:w="850" w:type="dxa"/>
            <w:shd w:val="clear" w:color="auto" w:fill="C6EFCE"/>
            <w:vAlign w:val="center"/>
          </w:tcPr>
          <w:p w14:paraId="09098B0A" w14:textId="6C17F652"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1</w:t>
            </w:r>
            <w:r w:rsidRPr="00782BF9">
              <w:rPr>
                <w:noProof/>
                <w:color w:val="006100"/>
                <w:lang w:val="bg-BG"/>
              </w:rPr>
              <w:t xml:space="preserve"> </w:t>
            </w:r>
            <w:r w:rsidRPr="00782BF9">
              <w:rPr>
                <w:noProof/>
                <w:lang w:val="bg-BG"/>
              </w:rPr>
              <w:t>000</w:t>
            </w:r>
          </w:p>
        </w:tc>
        <w:tc>
          <w:tcPr>
            <w:tcW w:w="709" w:type="dxa"/>
            <w:shd w:val="clear" w:color="auto" w:fill="C6EFCE"/>
            <w:vAlign w:val="center"/>
          </w:tcPr>
          <w:p w14:paraId="4E27A66B"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6228420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tcPr>
          <w:p w14:paraId="3D7989EA" w14:textId="6E8404E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Целта се счита за изпълнена, когато представители на най-малко 1 000 микро-, малки и средни предприятия успешно са завършили поне едно от обученията или курсовете за електронно обучение, потвърдени от регистрите на курсовете за обучение или на курсовете за електронно обучение в рамките на схемата за обучение в съответствие с изискванията, посочени в етап 205. </w:t>
            </w:r>
          </w:p>
        </w:tc>
      </w:tr>
      <w:tr w:rsidR="00CE3BAD" w:rsidRPr="00782BF9" w14:paraId="6ECD71AD" w14:textId="77777777">
        <w:trPr>
          <w:gridBefore w:val="1"/>
          <w:wBefore w:w="7" w:type="dxa"/>
          <w:trHeight w:val="987"/>
        </w:trPr>
        <w:tc>
          <w:tcPr>
            <w:tcW w:w="800" w:type="dxa"/>
            <w:shd w:val="clear" w:color="auto" w:fill="C6EFCE"/>
            <w:vAlign w:val="center"/>
          </w:tcPr>
          <w:p w14:paraId="4EE2BDFE" w14:textId="1B615B7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207</w:t>
            </w:r>
          </w:p>
        </w:tc>
        <w:tc>
          <w:tcPr>
            <w:tcW w:w="1493" w:type="dxa"/>
            <w:shd w:val="clear" w:color="auto" w:fill="C6EFCE"/>
            <w:vAlign w:val="center"/>
          </w:tcPr>
          <w:p w14:paraId="6B9FA398" w14:textId="532ABE1B"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883" w:type="dxa"/>
            <w:shd w:val="clear" w:color="auto" w:fill="C6EFCE"/>
            <w:vAlign w:val="center"/>
          </w:tcPr>
          <w:p w14:paraId="6653F4C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Целеви </w:t>
            </w:r>
          </w:p>
        </w:tc>
        <w:tc>
          <w:tcPr>
            <w:tcW w:w="1417" w:type="dxa"/>
            <w:shd w:val="clear" w:color="auto" w:fill="C6EFCE"/>
          </w:tcPr>
          <w:p w14:paraId="3DE177BD" w14:textId="6121ED3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Общ брой микро-, малки и средни предприятия, преминали обучение в областта на обществените поръчки  </w:t>
            </w:r>
            <w:r w:rsidRPr="00782BF9">
              <w:rPr>
                <w:noProof/>
                <w:lang w:val="bg-BG"/>
              </w:rPr>
              <w:br/>
              <w:t>практики </w:t>
            </w:r>
          </w:p>
        </w:tc>
        <w:tc>
          <w:tcPr>
            <w:tcW w:w="1276" w:type="dxa"/>
            <w:shd w:val="clear" w:color="auto" w:fill="C6EFCE"/>
            <w:vAlign w:val="center"/>
          </w:tcPr>
          <w:p w14:paraId="0DBB6F85" w14:textId="77777777" w:rsidR="00CE3BAD" w:rsidRPr="00782BF9" w:rsidRDefault="00CE3BAD">
            <w:pPr>
              <w:spacing w:after="0" w:line="240" w:lineRule="auto"/>
              <w:ind w:left="52"/>
              <w:textAlignment w:val="baseline"/>
              <w:rPr>
                <w:rFonts w:eastAsia="Times New Roman"/>
                <w:noProof/>
                <w:sz w:val="18"/>
                <w:lang w:val="bg-BG"/>
              </w:rPr>
            </w:pPr>
          </w:p>
        </w:tc>
        <w:tc>
          <w:tcPr>
            <w:tcW w:w="1134" w:type="dxa"/>
            <w:shd w:val="clear" w:color="auto" w:fill="C6EFCE"/>
            <w:vAlign w:val="center"/>
          </w:tcPr>
          <w:p w14:paraId="6AB1FD55" w14:textId="4B19DF9A"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Брой</w:t>
            </w:r>
          </w:p>
        </w:tc>
        <w:tc>
          <w:tcPr>
            <w:tcW w:w="851" w:type="dxa"/>
            <w:shd w:val="clear" w:color="auto" w:fill="C6EFCE"/>
            <w:vAlign w:val="center"/>
          </w:tcPr>
          <w:p w14:paraId="495092AD" w14:textId="4D6FEF6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1</w:t>
            </w:r>
            <w:r w:rsidRPr="00782BF9">
              <w:rPr>
                <w:noProof/>
                <w:color w:val="006100"/>
                <w:lang w:val="bg-BG"/>
              </w:rPr>
              <w:t xml:space="preserve"> </w:t>
            </w:r>
            <w:r w:rsidRPr="00782BF9">
              <w:rPr>
                <w:noProof/>
                <w:lang w:val="bg-BG"/>
              </w:rPr>
              <w:t>000</w:t>
            </w:r>
          </w:p>
        </w:tc>
        <w:tc>
          <w:tcPr>
            <w:tcW w:w="850" w:type="dxa"/>
            <w:shd w:val="clear" w:color="auto" w:fill="C6EFCE"/>
            <w:vAlign w:val="center"/>
          </w:tcPr>
          <w:p w14:paraId="3317C6CC" w14:textId="68B6DF94"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w:t>
            </w:r>
            <w:r w:rsidRPr="00782BF9">
              <w:rPr>
                <w:noProof/>
                <w:color w:val="006100"/>
                <w:lang w:val="bg-BG"/>
              </w:rPr>
              <w:t xml:space="preserve"> </w:t>
            </w:r>
            <w:r w:rsidRPr="00782BF9">
              <w:rPr>
                <w:noProof/>
                <w:lang w:val="bg-BG"/>
              </w:rPr>
              <w:t>200</w:t>
            </w:r>
          </w:p>
        </w:tc>
        <w:tc>
          <w:tcPr>
            <w:tcW w:w="709" w:type="dxa"/>
            <w:shd w:val="clear" w:color="auto" w:fill="C6EFCE"/>
            <w:vAlign w:val="center"/>
          </w:tcPr>
          <w:p w14:paraId="323252A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4F9ABD7E" w14:textId="3AA4022B"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tcPr>
          <w:p w14:paraId="7E647445" w14:textId="46AC5C2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Целта се счита за изпълнена, когато представители на поне 1 200 допълнителни микро-, малки и средни предприятия (т.е. общо 2</w:t>
            </w:r>
            <w:r w:rsidRPr="00782BF9">
              <w:rPr>
                <w:noProof/>
                <w:color w:val="006100"/>
                <w:lang w:val="bg-BG"/>
              </w:rPr>
              <w:t xml:space="preserve"> </w:t>
            </w:r>
            <w:r w:rsidRPr="00782BF9">
              <w:rPr>
                <w:noProof/>
                <w:lang w:val="bg-BG"/>
              </w:rPr>
              <w:t>200 микро-, малки и средни предприятия) са завършили успешно поне едно от обученията или курсовете за електронно обучение, което е потвърдено от регистрите на курсовете за обучение или на курсовете за електронно обучение в рамките на схемата за обучение в съответствие с изискванията, посочени в етап 205. </w:t>
            </w:r>
          </w:p>
        </w:tc>
      </w:tr>
      <w:tr w:rsidR="00CE3BAD" w:rsidRPr="00782BF9" w14:paraId="2174C345" w14:textId="77777777">
        <w:trPr>
          <w:gridBefore w:val="1"/>
          <w:wBefore w:w="7" w:type="dxa"/>
          <w:trHeight w:val="987"/>
        </w:trPr>
        <w:tc>
          <w:tcPr>
            <w:tcW w:w="800" w:type="dxa"/>
            <w:shd w:val="clear" w:color="auto" w:fill="C6EFCE"/>
            <w:vAlign w:val="center"/>
          </w:tcPr>
          <w:p w14:paraId="5A8EE85E" w14:textId="6DFFB7C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208</w:t>
            </w:r>
          </w:p>
        </w:tc>
        <w:tc>
          <w:tcPr>
            <w:tcW w:w="1493" w:type="dxa"/>
            <w:shd w:val="clear" w:color="auto" w:fill="C6EFCE"/>
            <w:vAlign w:val="center"/>
          </w:tcPr>
          <w:p w14:paraId="377534FE" w14:textId="1C7E648E"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883" w:type="dxa"/>
            <w:shd w:val="clear" w:color="auto" w:fill="C6EFCE"/>
            <w:vAlign w:val="center"/>
          </w:tcPr>
          <w:p w14:paraId="267EBBC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tcPr>
          <w:p w14:paraId="66F5BFE4" w14:textId="4CFACC2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Оценка на схемата за обучение за улесняване на участието на микро-, малки и средни предприятия в процедури за възлагане на обществени поръчки</w:t>
            </w:r>
          </w:p>
        </w:tc>
        <w:tc>
          <w:tcPr>
            <w:tcW w:w="1276" w:type="dxa"/>
            <w:shd w:val="clear" w:color="auto" w:fill="C6EFCE"/>
            <w:vAlign w:val="center"/>
          </w:tcPr>
          <w:p w14:paraId="7CCF736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Окончателният доклад за оценка се оповестява публично</w:t>
            </w:r>
          </w:p>
        </w:tc>
        <w:tc>
          <w:tcPr>
            <w:tcW w:w="1134" w:type="dxa"/>
            <w:shd w:val="clear" w:color="auto" w:fill="C6EFCE"/>
            <w:vAlign w:val="center"/>
          </w:tcPr>
          <w:p w14:paraId="3D8C287D"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1" w:type="dxa"/>
            <w:shd w:val="clear" w:color="auto" w:fill="C6EFCE"/>
            <w:vAlign w:val="center"/>
          </w:tcPr>
          <w:p w14:paraId="44FA220B"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0" w:type="dxa"/>
            <w:shd w:val="clear" w:color="auto" w:fill="C6EFCE"/>
            <w:vAlign w:val="center"/>
          </w:tcPr>
          <w:p w14:paraId="4AF8E9A5"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709" w:type="dxa"/>
            <w:shd w:val="clear" w:color="auto" w:fill="C6EFCE"/>
            <w:vAlign w:val="center"/>
          </w:tcPr>
          <w:p w14:paraId="4A283D20"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04BDDAD5"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tcPr>
          <w:p w14:paraId="0280C79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Окончателният доклад за оценка се оповестява публично, в който се оценяват ефективността и ефикасността на мярката за обучение, по-специално чрез i) оценка на резултатите от схемата за обучение, ii) оценка на извлечените поуки и начините за подобряване на бъдещите схеми за обучение и iii) оценка на дългосрочните ефекти на схемата върху участието съответно на микро- и малки предприятия в процедури за възлагане на обществени поръчки. При оценката се взема предвид и обратната информация от участниците в обученията, събрани чрез механизма за последващи действия.</w:t>
            </w:r>
          </w:p>
        </w:tc>
      </w:tr>
      <w:tr w:rsidR="00CE3BAD" w:rsidRPr="00782BF9" w14:paraId="12B7AC7A" w14:textId="77777777">
        <w:trPr>
          <w:gridBefore w:val="1"/>
          <w:wBefore w:w="7" w:type="dxa"/>
          <w:trHeight w:val="987"/>
        </w:trPr>
        <w:tc>
          <w:tcPr>
            <w:tcW w:w="800" w:type="dxa"/>
            <w:shd w:val="clear" w:color="auto" w:fill="C6EFCE"/>
            <w:vAlign w:val="center"/>
          </w:tcPr>
          <w:p w14:paraId="3947DCDF" w14:textId="538EDD8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209</w:t>
            </w:r>
          </w:p>
        </w:tc>
        <w:tc>
          <w:tcPr>
            <w:tcW w:w="1493" w:type="dxa"/>
            <w:shd w:val="clear" w:color="auto" w:fill="C6EFCE"/>
          </w:tcPr>
          <w:p w14:paraId="14F11F65" w14:textId="3E79C93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883" w:type="dxa"/>
            <w:shd w:val="clear" w:color="auto" w:fill="C6EFCE"/>
            <w:vAlign w:val="center"/>
          </w:tcPr>
          <w:p w14:paraId="014E2B01" w14:textId="338E53A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tcPr>
          <w:p w14:paraId="2ED47984" w14:textId="762CB5C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Създаване на схема за подпомагане за компенсиране на разходите, свързани с участието в обществени поръчки на микро-, малки и средни предприятия </w:t>
            </w:r>
          </w:p>
        </w:tc>
        <w:tc>
          <w:tcPr>
            <w:tcW w:w="1276" w:type="dxa"/>
            <w:shd w:val="clear" w:color="auto" w:fill="C6EFCE"/>
            <w:vAlign w:val="center"/>
          </w:tcPr>
          <w:p w14:paraId="2846809E" w14:textId="2C46EB1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Стартиране на схемата</w:t>
            </w:r>
          </w:p>
        </w:tc>
        <w:tc>
          <w:tcPr>
            <w:tcW w:w="1134" w:type="dxa"/>
            <w:shd w:val="clear" w:color="auto" w:fill="C6EFCE"/>
            <w:vAlign w:val="center"/>
          </w:tcPr>
          <w:p w14:paraId="33C0ED33"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0B589DC7"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61A987C3"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3FCA2955" w14:textId="37B589A1"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49A069CF" w14:textId="4A6DA8C6"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vAlign w:val="center"/>
          </w:tcPr>
          <w:p w14:paraId="072248BE" w14:textId="438F557D" w:rsidR="00CE3BAD" w:rsidRPr="00782BF9" w:rsidRDefault="006B5475">
            <w:pPr>
              <w:pStyle w:val="P68B1DB1-Normal10"/>
              <w:spacing w:after="0" w:line="240" w:lineRule="auto"/>
              <w:ind w:left="52"/>
              <w:jc w:val="both"/>
              <w:textAlignment w:val="baseline"/>
              <w:rPr>
                <w:rFonts w:eastAsia="Times New Roman"/>
                <w:noProof/>
                <w:lang w:val="bg-BG"/>
              </w:rPr>
            </w:pPr>
            <w:r w:rsidRPr="00782BF9">
              <w:rPr>
                <w:noProof/>
                <w:lang w:val="bg-BG"/>
              </w:rPr>
              <w:t>Стартира се схема за подпомагане, предоставяща компенсация под формата на еднократна сума въз основа на обективни, недискриминационни и прозрачни критерии за подбор, която се изплаща пряко на микро-, малки и средни предприятия (със специален акцент върху микропредприятията и малките предприятия) за техните разходи, свързани с участието им в процедури за възлагане на обществени поръчки, за да се улесни участието им в обществени поръчки и да се намалят пречките пред навлизането им на пазара. Финансовата подкрепа по схемата за подпомагане покрива по-специално разходите за използване на акредитиран консултант в областта на обществените поръчки, но не покрива всички разходи за участие в процедура за възлагане на обществена поръчка, които се поемат от съответното предприятие.</w:t>
            </w:r>
          </w:p>
          <w:p w14:paraId="494D4B35" w14:textId="0FD184E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Допустими за подпомагане са само микропредприятията, малките и средните предприятия, които i) са подали валидна оферта в процедура за възлагане на обществена поръчка (т.е. оференти, които са представили пълна тръжна документация за тръжна процедура, отговаряща както на критериите за изключване, така и на критериите за подбор) и ii) които не са участвали в друга процедура за възлагане на обществена поръчка през дванадесетте месеца преди подаването на офертата в процедурата за възлагане на обществена поръчка.</w:t>
            </w:r>
          </w:p>
          <w:p w14:paraId="2A08126D" w14:textId="618F65D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Броят на заявленията за подпомагане от отделно предприятие е ограничен.</w:t>
            </w:r>
          </w:p>
        </w:tc>
      </w:tr>
      <w:tr w:rsidR="00CE3BAD" w:rsidRPr="00782BF9" w14:paraId="5767355F" w14:textId="77777777">
        <w:trPr>
          <w:gridBefore w:val="1"/>
          <w:wBefore w:w="7" w:type="dxa"/>
          <w:trHeight w:val="987"/>
        </w:trPr>
        <w:tc>
          <w:tcPr>
            <w:tcW w:w="800" w:type="dxa"/>
            <w:shd w:val="clear" w:color="auto" w:fill="C6EFCE"/>
            <w:vAlign w:val="center"/>
          </w:tcPr>
          <w:p w14:paraId="4531B003" w14:textId="641C946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210</w:t>
            </w:r>
          </w:p>
        </w:tc>
        <w:tc>
          <w:tcPr>
            <w:tcW w:w="1493" w:type="dxa"/>
            <w:shd w:val="clear" w:color="auto" w:fill="C6EFCE"/>
            <w:vAlign w:val="center"/>
          </w:tcPr>
          <w:p w14:paraId="39AAFA5E" w14:textId="2BCA984E"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883" w:type="dxa"/>
            <w:shd w:val="clear" w:color="auto" w:fill="C6EFCE"/>
            <w:vAlign w:val="center"/>
          </w:tcPr>
          <w:p w14:paraId="6F53C72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7C0C2FA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Извършване на междинна оценка на добавената стойност и ефективността на схемата за подпомагане</w:t>
            </w:r>
          </w:p>
        </w:tc>
        <w:tc>
          <w:tcPr>
            <w:tcW w:w="1276" w:type="dxa"/>
            <w:shd w:val="clear" w:color="auto" w:fill="C6EFCE"/>
            <w:vAlign w:val="center"/>
          </w:tcPr>
          <w:p w14:paraId="7A8D300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Окончателният доклад за оценка за междинната оценка се оповестява публично.</w:t>
            </w:r>
          </w:p>
        </w:tc>
        <w:tc>
          <w:tcPr>
            <w:tcW w:w="1134" w:type="dxa"/>
            <w:shd w:val="clear" w:color="auto" w:fill="C6EFCE"/>
            <w:vAlign w:val="center"/>
          </w:tcPr>
          <w:p w14:paraId="15792B7B"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485CF8B"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7C77FABC"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21DAE613"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65B93068"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vAlign w:val="center"/>
          </w:tcPr>
          <w:p w14:paraId="0C82E6E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Докладът за междинна оценка на добавената стойност и ефективността на схемата за подпомагане се оповестява публично. </w:t>
            </w:r>
          </w:p>
          <w:p w14:paraId="14E07BE4" w14:textId="4C97F0A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Оценката се основава по-специално на: I) интерес към финансовата подкрепа (участие в програмата), ii) процента на печелившите микро-, малки и средни предприятия, участвали в програмата в процедурите за възлагане на обществени поръчки, и iii) обратната информация, предоставена от микро-, малки и средни предприятия, получили подкрепа. В оценката се анализира също така в кои сектори извършват дейност участващите предприятия и дали те съответстват на секторите, в които участието на микро-, малки и средни предприятия като цяло е слабо. </w:t>
            </w:r>
          </w:p>
          <w:p w14:paraId="02FDA31D" w14:textId="606BFC2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 междинната оценка се анализира дали предприятията в други сектори са специално насочени към специални комуникационни дейности за повишаване на осведомеността за програмата и дали изпълнението на програмата ще бъде променено с оглед на резултатите от анализа.</w:t>
            </w:r>
          </w:p>
        </w:tc>
      </w:tr>
      <w:tr w:rsidR="00CE3BAD" w:rsidRPr="00782BF9" w14:paraId="50064359" w14:textId="77777777">
        <w:trPr>
          <w:gridBefore w:val="1"/>
          <w:wBefore w:w="7" w:type="dxa"/>
          <w:trHeight w:val="987"/>
        </w:trPr>
        <w:tc>
          <w:tcPr>
            <w:tcW w:w="800" w:type="dxa"/>
            <w:shd w:val="clear" w:color="auto" w:fill="C6EFCE"/>
            <w:vAlign w:val="center"/>
          </w:tcPr>
          <w:p w14:paraId="2D77734E" w14:textId="23952E1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211</w:t>
            </w:r>
          </w:p>
        </w:tc>
        <w:tc>
          <w:tcPr>
            <w:tcW w:w="1493" w:type="dxa"/>
            <w:shd w:val="clear" w:color="auto" w:fill="C6EFCE"/>
            <w:vAlign w:val="center"/>
          </w:tcPr>
          <w:p w14:paraId="5A8F3021" w14:textId="35DB7B48"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883" w:type="dxa"/>
            <w:shd w:val="clear" w:color="auto" w:fill="C6EFCE"/>
            <w:vAlign w:val="center"/>
          </w:tcPr>
          <w:p w14:paraId="4236560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Целеви </w:t>
            </w:r>
          </w:p>
        </w:tc>
        <w:tc>
          <w:tcPr>
            <w:tcW w:w="1417" w:type="dxa"/>
            <w:shd w:val="clear" w:color="auto" w:fill="C6EFCE"/>
            <w:vAlign w:val="center"/>
          </w:tcPr>
          <w:p w14:paraId="3990186D" w14:textId="58C8361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Брой микро-, малки и средни предприятия, които са получили еднократна подкрепа за компенсация на разходите за обществени поръчки </w:t>
            </w:r>
          </w:p>
        </w:tc>
        <w:tc>
          <w:tcPr>
            <w:tcW w:w="1276" w:type="dxa"/>
            <w:shd w:val="clear" w:color="auto" w:fill="C6EFCE"/>
            <w:vAlign w:val="center"/>
          </w:tcPr>
          <w:p w14:paraId="6805D00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1134" w:type="dxa"/>
            <w:shd w:val="clear" w:color="auto" w:fill="C6EFCE"/>
            <w:vAlign w:val="center"/>
          </w:tcPr>
          <w:p w14:paraId="420BADB6" w14:textId="0AA16D2A"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Брой</w:t>
            </w:r>
          </w:p>
        </w:tc>
        <w:tc>
          <w:tcPr>
            <w:tcW w:w="851" w:type="dxa"/>
            <w:shd w:val="clear" w:color="auto" w:fill="C6EFCE"/>
            <w:vAlign w:val="center"/>
          </w:tcPr>
          <w:p w14:paraId="5513E5EC" w14:textId="6DE5ABA9"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0</w:t>
            </w:r>
          </w:p>
        </w:tc>
        <w:tc>
          <w:tcPr>
            <w:tcW w:w="850" w:type="dxa"/>
            <w:shd w:val="clear" w:color="auto" w:fill="C6EFCE"/>
            <w:vAlign w:val="center"/>
          </w:tcPr>
          <w:p w14:paraId="77688185" w14:textId="7CB6C49B"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1</w:t>
            </w:r>
            <w:r w:rsidRPr="00782BF9">
              <w:rPr>
                <w:noProof/>
                <w:color w:val="006100"/>
                <w:lang w:val="bg-BG"/>
              </w:rPr>
              <w:t xml:space="preserve"> </w:t>
            </w:r>
            <w:r w:rsidRPr="00782BF9">
              <w:rPr>
                <w:noProof/>
                <w:lang w:val="bg-BG"/>
              </w:rPr>
              <w:t>800</w:t>
            </w:r>
          </w:p>
        </w:tc>
        <w:tc>
          <w:tcPr>
            <w:tcW w:w="709" w:type="dxa"/>
            <w:shd w:val="clear" w:color="auto" w:fill="C6EFCE"/>
            <w:vAlign w:val="center"/>
          </w:tcPr>
          <w:p w14:paraId="7F3DD60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0247ECF6" w14:textId="1EF77692"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tcPr>
          <w:p w14:paraId="1C5A51F1" w14:textId="7D8BDB6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Целта е постигната, когато най-малко 1 800 предприятия, участващи в обществени поръчки като оференти, са получили компенсация за свързаните с тях разходи в схемата за подпомагане в съответствие с изискванията, определени в ключов етап 209, както е доказано от официалните плащания и счетоводните регистри на органа, управляващ схемата за подпомагане. </w:t>
            </w:r>
          </w:p>
        </w:tc>
      </w:tr>
      <w:tr w:rsidR="00CE3BAD" w:rsidRPr="00782BF9" w14:paraId="2AE910DC" w14:textId="77777777">
        <w:trPr>
          <w:gridBefore w:val="1"/>
          <w:wBefore w:w="7" w:type="dxa"/>
          <w:trHeight w:val="987"/>
        </w:trPr>
        <w:tc>
          <w:tcPr>
            <w:tcW w:w="800" w:type="dxa"/>
            <w:shd w:val="clear" w:color="auto" w:fill="C6EFCE"/>
            <w:vAlign w:val="center"/>
          </w:tcPr>
          <w:p w14:paraId="1B52920A" w14:textId="3C2E6CD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212</w:t>
            </w:r>
          </w:p>
        </w:tc>
        <w:tc>
          <w:tcPr>
            <w:tcW w:w="1493" w:type="dxa"/>
            <w:shd w:val="clear" w:color="auto" w:fill="C6EFCE"/>
            <w:vAlign w:val="center"/>
          </w:tcPr>
          <w:p w14:paraId="49B941E7" w14:textId="5D4A9EBA"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883" w:type="dxa"/>
            <w:shd w:val="clear" w:color="auto" w:fill="C6EFCE"/>
            <w:vAlign w:val="center"/>
          </w:tcPr>
          <w:p w14:paraId="6322249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FE1ACD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Приключване на окончателната оценка на добавената стойност и ефективността на схемата за подпомагане</w:t>
            </w:r>
          </w:p>
        </w:tc>
        <w:tc>
          <w:tcPr>
            <w:tcW w:w="1276" w:type="dxa"/>
            <w:shd w:val="clear" w:color="auto" w:fill="C6EFCE"/>
            <w:vAlign w:val="center"/>
          </w:tcPr>
          <w:p w14:paraId="7FB15A1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Окончателният доклад за оценка се оповестява публично</w:t>
            </w:r>
          </w:p>
        </w:tc>
        <w:tc>
          <w:tcPr>
            <w:tcW w:w="1134" w:type="dxa"/>
            <w:shd w:val="clear" w:color="auto" w:fill="C6EFCE"/>
            <w:vAlign w:val="center"/>
          </w:tcPr>
          <w:p w14:paraId="51DB4E2C"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1" w:type="dxa"/>
            <w:shd w:val="clear" w:color="auto" w:fill="C6EFCE"/>
            <w:vAlign w:val="center"/>
          </w:tcPr>
          <w:p w14:paraId="6552D203"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850" w:type="dxa"/>
            <w:shd w:val="clear" w:color="auto" w:fill="C6EFCE"/>
            <w:vAlign w:val="center"/>
          </w:tcPr>
          <w:p w14:paraId="354FA9BD" w14:textId="77777777" w:rsidR="00CE3BAD" w:rsidRPr="00782BF9" w:rsidRDefault="00CE3BAD">
            <w:pPr>
              <w:spacing w:after="0" w:line="240" w:lineRule="auto"/>
              <w:ind w:left="52"/>
              <w:jc w:val="center"/>
              <w:textAlignment w:val="baseline"/>
              <w:rPr>
                <w:rFonts w:eastAsia="Times New Roman"/>
                <w:noProof/>
                <w:sz w:val="18"/>
                <w:lang w:val="bg-BG"/>
              </w:rPr>
            </w:pPr>
          </w:p>
        </w:tc>
        <w:tc>
          <w:tcPr>
            <w:tcW w:w="709" w:type="dxa"/>
            <w:shd w:val="clear" w:color="auto" w:fill="C6EFCE"/>
            <w:vAlign w:val="center"/>
          </w:tcPr>
          <w:p w14:paraId="4C2F79AC"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545B964C"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vAlign w:val="center"/>
          </w:tcPr>
          <w:p w14:paraId="58A1C12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Окончателният доклад за оценка на добавената стойност и ефективността на схемата за подпомагане се оповестява публично. </w:t>
            </w:r>
          </w:p>
          <w:p w14:paraId="507B729F" w14:textId="43C4269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Оценката се основава по-специално на i) интереса към финансовата подкрепа (участие в програмата), ii) процента на печелившите микро-, малки и средни предприятия, които са участвали в схемата за подпомагане в процедури за възлагане на обществени поръчки, и iii) обратната информация, предоставена от микро-, малки и средни предприятия, които са получили подкрепа. В оценката се анализира също така в кои сектори извършват дейност участващите предприятия и дали те съответстват на секторите, в които участието на микро-, малки и средни предприятия като цяло е слабо.</w:t>
            </w:r>
          </w:p>
        </w:tc>
      </w:tr>
      <w:tr w:rsidR="00CE3BAD" w:rsidRPr="00782BF9" w14:paraId="5F72F9DC" w14:textId="77777777">
        <w:trPr>
          <w:trHeight w:val="987"/>
        </w:trPr>
        <w:tc>
          <w:tcPr>
            <w:tcW w:w="807" w:type="dxa"/>
            <w:gridSpan w:val="2"/>
            <w:shd w:val="clear" w:color="auto" w:fill="C6EFCE"/>
          </w:tcPr>
          <w:p w14:paraId="1EBFF69C" w14:textId="5255164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213</w:t>
            </w:r>
          </w:p>
        </w:tc>
        <w:tc>
          <w:tcPr>
            <w:tcW w:w="1493" w:type="dxa"/>
            <w:shd w:val="clear" w:color="auto" w:fill="C6EFCE"/>
          </w:tcPr>
          <w:p w14:paraId="4564754B" w14:textId="4AC8275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C9.R15 Укрепване на ролята и правомощията на Националния съдебен съвет за противодействие на правомощията на председателя на Националната съдебна служба </w:t>
            </w:r>
          </w:p>
        </w:tc>
        <w:tc>
          <w:tcPr>
            <w:tcW w:w="883" w:type="dxa"/>
            <w:shd w:val="clear" w:color="auto" w:fill="C6EFCE"/>
          </w:tcPr>
          <w:p w14:paraId="39F4A80C"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Ключов етап</w:t>
            </w:r>
          </w:p>
        </w:tc>
        <w:tc>
          <w:tcPr>
            <w:tcW w:w="1417" w:type="dxa"/>
            <w:shd w:val="clear" w:color="auto" w:fill="C6EFCE"/>
          </w:tcPr>
          <w:p w14:paraId="79DF9A1D" w14:textId="77777777" w:rsidR="00CE3BAD" w:rsidRPr="00782BF9" w:rsidRDefault="006B5475">
            <w:pPr>
              <w:pStyle w:val="P68B1DB1-Normal10"/>
              <w:spacing w:after="0" w:line="240" w:lineRule="auto"/>
              <w:ind w:left="52"/>
              <w:rPr>
                <w:rFonts w:eastAsia="Times New Roman" w:cstheme="minorHAnsi"/>
                <w:noProof/>
                <w:lang w:val="bg-BG"/>
              </w:rPr>
            </w:pPr>
            <w:r w:rsidRPr="00782BF9">
              <w:rPr>
                <w:noProof/>
                <w:lang w:val="bg-BG"/>
              </w:rPr>
              <w:t>Влизане в сила на законодателни изменения за засилване на ролята на Националния съдебен съвет, като същевременно се гарантира неговата независимост</w:t>
            </w:r>
          </w:p>
        </w:tc>
        <w:tc>
          <w:tcPr>
            <w:tcW w:w="1276" w:type="dxa"/>
            <w:shd w:val="clear" w:color="auto" w:fill="C6EFCE"/>
          </w:tcPr>
          <w:p w14:paraId="12284EDD"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Разпоредба в законодателните изменения, указваща влизането им в сила</w:t>
            </w:r>
          </w:p>
        </w:tc>
        <w:tc>
          <w:tcPr>
            <w:tcW w:w="1134" w:type="dxa"/>
            <w:shd w:val="clear" w:color="auto" w:fill="C6EFCE"/>
          </w:tcPr>
          <w:p w14:paraId="2F661F5F"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7BCE43FE"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3313683A"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tcPr>
          <w:p w14:paraId="0A9243C7"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Т1 Г.</w:t>
            </w:r>
          </w:p>
        </w:tc>
        <w:tc>
          <w:tcPr>
            <w:tcW w:w="709" w:type="dxa"/>
            <w:shd w:val="clear" w:color="auto" w:fill="C6EFCE"/>
          </w:tcPr>
          <w:p w14:paraId="283EE071"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2023</w:t>
            </w:r>
          </w:p>
        </w:tc>
        <w:tc>
          <w:tcPr>
            <w:tcW w:w="4793" w:type="dxa"/>
            <w:shd w:val="clear" w:color="auto" w:fill="C6EFCE"/>
          </w:tcPr>
          <w:p w14:paraId="0F351CE8" w14:textId="77777777" w:rsidR="00CE3BAD" w:rsidRPr="00782BF9" w:rsidRDefault="006B5475">
            <w:pPr>
              <w:pStyle w:val="P68B1DB1-Normal10"/>
              <w:spacing w:after="0" w:line="240" w:lineRule="auto"/>
              <w:rPr>
                <w:rFonts w:eastAsia="Times New Roman"/>
                <w:noProof/>
                <w:lang w:val="bg-BG"/>
              </w:rPr>
            </w:pPr>
            <w:r w:rsidRPr="00782BF9">
              <w:rPr>
                <w:noProof/>
                <w:lang w:val="bg-BG"/>
              </w:rPr>
              <w:t xml:space="preserve">Преди подаването на първото искане за плащане съгласно плана за възстановяване и устойчивост законодателните изменения влизат в сила и започват да се прилагат, за да се гарантира укрепването на ролята и правомощията на Националния съдебен съвет (НСС) с цел ефективно неутрализиране на правомощията на председателя на Националната съдебна служба (НСС). </w:t>
            </w:r>
          </w:p>
          <w:p w14:paraId="03A29932" w14:textId="77777777" w:rsidR="00CE3BAD" w:rsidRPr="00782BF9" w:rsidRDefault="00CE3BAD">
            <w:pPr>
              <w:spacing w:after="0" w:line="240" w:lineRule="auto"/>
              <w:rPr>
                <w:rFonts w:eastAsia="Times New Roman" w:cstheme="minorHAnsi"/>
                <w:noProof/>
                <w:sz w:val="18"/>
                <w:lang w:val="bg-BG"/>
              </w:rPr>
            </w:pPr>
          </w:p>
          <w:p w14:paraId="0FDBCD63" w14:textId="77777777" w:rsidR="00CE3BAD" w:rsidRPr="00782BF9" w:rsidRDefault="006B5475">
            <w:pPr>
              <w:pStyle w:val="paragraph"/>
              <w:spacing w:before="0" w:beforeAutospacing="0" w:after="0" w:afterAutospacing="0"/>
              <w:textAlignment w:val="baseline"/>
              <w:rPr>
                <w:rFonts w:asciiTheme="minorHAnsi" w:hAnsiTheme="minorHAnsi" w:cstheme="minorHAnsi"/>
                <w:noProof/>
                <w:sz w:val="18"/>
                <w:lang w:val="bg-BG"/>
              </w:rPr>
            </w:pPr>
            <w:r w:rsidRPr="00782BF9">
              <w:rPr>
                <w:rStyle w:val="normaltextrun"/>
                <w:rFonts w:asciiTheme="minorHAnsi" w:hAnsiTheme="minorHAnsi"/>
                <w:noProof/>
                <w:sz w:val="18"/>
                <w:lang w:val="bg-BG"/>
              </w:rPr>
              <w:t xml:space="preserve">Законодателните изменения: </w:t>
            </w:r>
          </w:p>
          <w:p w14:paraId="7E63079B" w14:textId="77777777" w:rsidR="00CE3BAD" w:rsidRPr="00782BF9" w:rsidRDefault="006B5475">
            <w:pPr>
              <w:pStyle w:val="paragraph"/>
              <w:numPr>
                <w:ilvl w:val="0"/>
                <w:numId w:val="20"/>
              </w:numPr>
              <w:spacing w:before="0" w:beforeAutospacing="0" w:after="0" w:afterAutospacing="0"/>
              <w:textAlignment w:val="baseline"/>
              <w:rPr>
                <w:rStyle w:val="normaltextrun"/>
                <w:rFonts w:asciiTheme="minorHAnsi" w:hAnsiTheme="minorHAnsi" w:cstheme="minorBidi"/>
                <w:noProof/>
                <w:sz w:val="18"/>
                <w:lang w:val="bg-BG"/>
              </w:rPr>
            </w:pPr>
            <w:r w:rsidRPr="00782BF9">
              <w:rPr>
                <w:rStyle w:val="normaltextrun"/>
                <w:rFonts w:asciiTheme="minorHAnsi" w:hAnsiTheme="minorHAnsi"/>
                <w:noProof/>
                <w:sz w:val="18"/>
                <w:lang w:val="bg-BG"/>
              </w:rPr>
              <w:t xml:space="preserve">да се установят по-големи правомощия на Националния съдебен съвет, така че той да може ефективно да упражнява конституционната си роля в надзора на централното управление на съдилищата, като същевременно се запази независимостта на Съвета въз основа на избирането на неговите членове от съдии. </w:t>
            </w:r>
          </w:p>
          <w:p w14:paraId="3827D1CD" w14:textId="77777777" w:rsidR="00CE3BAD" w:rsidRPr="00782BF9" w:rsidRDefault="00CE3BAD">
            <w:pPr>
              <w:pStyle w:val="paragraph"/>
              <w:spacing w:before="0" w:beforeAutospacing="0" w:after="0" w:afterAutospacing="0"/>
              <w:ind w:left="720"/>
              <w:textAlignment w:val="baseline"/>
              <w:rPr>
                <w:rStyle w:val="normaltextrun"/>
                <w:rFonts w:asciiTheme="minorHAnsi" w:hAnsiTheme="minorHAnsi" w:cstheme="minorHAnsi"/>
                <w:noProof/>
                <w:sz w:val="18"/>
                <w:lang w:val="bg-BG"/>
              </w:rPr>
            </w:pPr>
          </w:p>
          <w:p w14:paraId="6AA86F20" w14:textId="77777777" w:rsidR="00CE3BAD" w:rsidRPr="00782BF9" w:rsidRDefault="006B5475">
            <w:pPr>
              <w:pStyle w:val="paragraph"/>
              <w:spacing w:before="0" w:beforeAutospacing="0" w:after="0" w:afterAutospacing="0"/>
              <w:ind w:left="360"/>
              <w:textAlignment w:val="baseline"/>
              <w:rPr>
                <w:rFonts w:asciiTheme="minorHAnsi" w:hAnsiTheme="minorHAnsi" w:cstheme="minorHAnsi"/>
                <w:noProof/>
                <w:sz w:val="18"/>
                <w:lang w:val="bg-BG"/>
              </w:rPr>
            </w:pPr>
            <w:r w:rsidRPr="00782BF9">
              <w:rPr>
                <w:rStyle w:val="normaltextrun"/>
                <w:rFonts w:asciiTheme="minorHAnsi" w:hAnsiTheme="minorHAnsi"/>
                <w:noProof/>
                <w:sz w:val="18"/>
                <w:lang w:val="bg-BG"/>
              </w:rPr>
              <w:t xml:space="preserve">По отношение на индивидуалните решения законодателните изменения гарантират, че Националният съдебен съвет дава мотивирано обвързващо становище по следните въпроси: </w:t>
            </w:r>
          </w:p>
          <w:p w14:paraId="5ABC0DAB" w14:textId="77777777" w:rsidR="00CE3BAD" w:rsidRPr="00782BF9" w:rsidRDefault="006B5475">
            <w:pPr>
              <w:pStyle w:val="paragraph"/>
              <w:numPr>
                <w:ilvl w:val="0"/>
                <w:numId w:val="21"/>
              </w:numPr>
              <w:spacing w:before="0" w:beforeAutospacing="0" w:after="0" w:afterAutospacing="0"/>
              <w:textAlignment w:val="baseline"/>
              <w:rPr>
                <w:rFonts w:asciiTheme="minorHAnsi" w:hAnsiTheme="minorHAnsi" w:cstheme="minorBidi"/>
                <w:noProof/>
                <w:sz w:val="18"/>
                <w:lang w:val="bg-BG"/>
              </w:rPr>
            </w:pPr>
            <w:r w:rsidRPr="00782BF9">
              <w:rPr>
                <w:rStyle w:val="normaltextrun"/>
                <w:rFonts w:asciiTheme="minorHAnsi" w:hAnsiTheme="minorHAnsi"/>
                <w:noProof/>
                <w:sz w:val="18"/>
                <w:lang w:val="bg-BG"/>
              </w:rPr>
              <w:t xml:space="preserve">отмяна от председателя на НСС на процедурите за назначаване на съдебни и съдебни изпълнителни длъжности, когато има поне един отговарящ на условията кандидат, подкрепен от съдиите в съответния съд; </w:t>
            </w:r>
          </w:p>
          <w:p w14:paraId="7B653A4D" w14:textId="77777777" w:rsidR="00CE3BAD" w:rsidRPr="00782BF9" w:rsidRDefault="006B5475">
            <w:pPr>
              <w:pStyle w:val="paragraph"/>
              <w:numPr>
                <w:ilvl w:val="0"/>
                <w:numId w:val="21"/>
              </w:numPr>
              <w:spacing w:before="0" w:beforeAutospacing="0" w:after="0" w:afterAutospacing="0"/>
              <w:textAlignment w:val="baseline"/>
              <w:rPr>
                <w:rFonts w:asciiTheme="minorHAnsi" w:hAnsiTheme="minorHAnsi" w:cstheme="minorBidi"/>
                <w:noProof/>
                <w:sz w:val="18"/>
                <w:lang w:val="bg-BG"/>
              </w:rPr>
            </w:pPr>
            <w:r w:rsidRPr="00782BF9">
              <w:rPr>
                <w:rStyle w:val="normaltextrun"/>
                <w:rFonts w:asciiTheme="minorHAnsi" w:hAnsiTheme="minorHAnsi"/>
                <w:noProof/>
                <w:sz w:val="18"/>
                <w:lang w:val="bg-BG"/>
              </w:rPr>
              <w:t xml:space="preserve">прехвърлянето на съдии, включително командироване, в друг съд от председателя на НСС, посочен в членове 27, 27/A, 31 и 32 от Закон CLXII от 2011 г., с изключение на командироването в НСС; </w:t>
            </w:r>
          </w:p>
          <w:p w14:paraId="757A8C5D" w14:textId="77777777" w:rsidR="00CE3BAD" w:rsidRPr="00782BF9" w:rsidRDefault="006B5475">
            <w:pPr>
              <w:pStyle w:val="paragraph"/>
              <w:numPr>
                <w:ilvl w:val="0"/>
                <w:numId w:val="21"/>
              </w:numPr>
              <w:spacing w:before="0" w:beforeAutospacing="0" w:after="0" w:afterAutospacing="0"/>
              <w:textAlignment w:val="baseline"/>
              <w:rPr>
                <w:rFonts w:asciiTheme="minorHAnsi" w:hAnsiTheme="minorHAnsi" w:cstheme="minorBidi"/>
                <w:noProof/>
                <w:sz w:val="18"/>
                <w:lang w:val="bg-BG"/>
              </w:rPr>
            </w:pPr>
            <w:r w:rsidRPr="00782BF9">
              <w:rPr>
                <w:rStyle w:val="normaltextrun"/>
                <w:rFonts w:asciiTheme="minorHAnsi" w:hAnsiTheme="minorHAnsi"/>
                <w:noProof/>
                <w:sz w:val="18"/>
                <w:lang w:val="bg-BG"/>
              </w:rPr>
              <w:t xml:space="preserve">отстраняването от председателя на НСС на съдии без тяхно съгласие от резерва от съдии, които разглеждат специални дела, включително административни дела; </w:t>
            </w:r>
          </w:p>
          <w:p w14:paraId="7967B74E" w14:textId="77777777" w:rsidR="00CE3BAD" w:rsidRPr="00782BF9" w:rsidRDefault="006B5475">
            <w:pPr>
              <w:pStyle w:val="paragraph"/>
              <w:numPr>
                <w:ilvl w:val="0"/>
                <w:numId w:val="21"/>
              </w:numPr>
              <w:spacing w:before="0" w:beforeAutospacing="0" w:after="0" w:afterAutospacing="0"/>
              <w:textAlignment w:val="baseline"/>
              <w:rPr>
                <w:rFonts w:asciiTheme="minorHAnsi" w:hAnsiTheme="minorHAnsi" w:cstheme="minorBidi"/>
                <w:noProof/>
                <w:sz w:val="18"/>
                <w:lang w:val="bg-BG"/>
              </w:rPr>
            </w:pPr>
            <w:r w:rsidRPr="00782BF9">
              <w:rPr>
                <w:rStyle w:val="normaltextrun"/>
                <w:rFonts w:asciiTheme="minorHAnsi" w:hAnsiTheme="minorHAnsi"/>
                <w:noProof/>
                <w:sz w:val="18"/>
                <w:lang w:val="bg-BG"/>
              </w:rPr>
              <w:t>пригодността на кандидатите за длъжността председател и заместник-председател на НСС, които могат да бъдат предложени съответно от президента на републиката или от президента на НОВ; критериите за пригодност, включително независимост, безпристрастност, почтеност и почтеност, се определят от закона. Законодателните изменения гарантират, че кандидатите, счетени за неподходящи от Националния съдебен съвет, имат достъп до ускорен съдебен контрол пред компетентния съд.</w:t>
            </w:r>
          </w:p>
          <w:p w14:paraId="1AF01E5A" w14:textId="77777777" w:rsidR="00CE3BAD" w:rsidRPr="00782BF9" w:rsidRDefault="00CE3BAD">
            <w:pPr>
              <w:pStyle w:val="paragraph"/>
              <w:spacing w:before="0" w:beforeAutospacing="0" w:after="0" w:afterAutospacing="0"/>
              <w:ind w:left="1440"/>
              <w:textAlignment w:val="baseline"/>
              <w:rPr>
                <w:rFonts w:asciiTheme="minorHAnsi" w:hAnsiTheme="minorHAnsi" w:cstheme="minorHAnsi"/>
                <w:noProof/>
                <w:sz w:val="18"/>
                <w:lang w:val="bg-BG"/>
              </w:rPr>
            </w:pPr>
          </w:p>
          <w:p w14:paraId="08C935A5" w14:textId="77777777" w:rsidR="00CE3BAD" w:rsidRPr="00782BF9" w:rsidRDefault="006B5475">
            <w:pPr>
              <w:pStyle w:val="P68B1DB1-paragraph20"/>
              <w:spacing w:before="0" w:beforeAutospacing="0" w:after="0" w:afterAutospacing="0"/>
              <w:ind w:left="360"/>
              <w:textAlignment w:val="baseline"/>
              <w:rPr>
                <w:rFonts w:cstheme="minorHAnsi"/>
                <w:noProof/>
                <w:lang w:val="bg-BG"/>
              </w:rPr>
            </w:pPr>
            <w:r w:rsidRPr="00782BF9">
              <w:rPr>
                <w:noProof/>
                <w:lang w:val="bg-BG"/>
              </w:rPr>
              <w:t>По отношение на регламентите законодателните изменения гарантират, че Националният съдебен съвет дава мотивирано обвързващо становище по следните въпроси:</w:t>
            </w:r>
          </w:p>
          <w:p w14:paraId="2A1BB157" w14:textId="77777777" w:rsidR="00CE3BAD" w:rsidRPr="00782BF9" w:rsidRDefault="006B5475">
            <w:pPr>
              <w:pStyle w:val="P68B1DB1-paragraph20"/>
              <w:numPr>
                <w:ilvl w:val="0"/>
                <w:numId w:val="27"/>
              </w:numPr>
              <w:spacing w:before="0" w:beforeAutospacing="0" w:after="0" w:afterAutospacing="0"/>
              <w:textAlignment w:val="baseline"/>
              <w:rPr>
                <w:rFonts w:cstheme="minorHAnsi"/>
                <w:noProof/>
                <w:lang w:val="bg-BG"/>
              </w:rPr>
            </w:pPr>
            <w:r w:rsidRPr="00782BF9">
              <w:rPr>
                <w:noProof/>
                <w:lang w:val="bg-BG"/>
              </w:rPr>
              <w:t xml:space="preserve">точковата система за оценка на кандидатурите за съдебни длъжности в законодателната рамка; </w:t>
            </w:r>
          </w:p>
          <w:p w14:paraId="036F2B81" w14:textId="77777777" w:rsidR="00CE3BAD" w:rsidRPr="00782BF9" w:rsidRDefault="006B5475">
            <w:pPr>
              <w:pStyle w:val="P68B1DB1-paragraph20"/>
              <w:numPr>
                <w:ilvl w:val="0"/>
                <w:numId w:val="27"/>
              </w:numPr>
              <w:spacing w:before="0" w:beforeAutospacing="0" w:after="0" w:afterAutospacing="0"/>
              <w:textAlignment w:val="baseline"/>
              <w:rPr>
                <w:rFonts w:cstheme="minorHAnsi"/>
                <w:noProof/>
                <w:lang w:val="bg-BG"/>
              </w:rPr>
            </w:pPr>
            <w:r w:rsidRPr="00782BF9">
              <w:rPr>
                <w:noProof/>
                <w:lang w:val="bg-BG"/>
              </w:rPr>
              <w:t xml:space="preserve">подробните условия за отпускането на бонуси и други ползи на съдиите и съдебните ръководители; </w:t>
            </w:r>
          </w:p>
          <w:p w14:paraId="5AE49F9F" w14:textId="77777777" w:rsidR="00CE3BAD" w:rsidRPr="00782BF9" w:rsidRDefault="006B5475">
            <w:pPr>
              <w:pStyle w:val="P68B1DB1-paragraph20"/>
              <w:numPr>
                <w:ilvl w:val="0"/>
                <w:numId w:val="27"/>
              </w:numPr>
              <w:spacing w:before="0" w:beforeAutospacing="0" w:after="0" w:afterAutospacing="0"/>
              <w:textAlignment w:val="baseline"/>
              <w:rPr>
                <w:rFonts w:cstheme="minorHAnsi"/>
                <w:noProof/>
                <w:lang w:val="bg-BG"/>
              </w:rPr>
            </w:pPr>
            <w:r w:rsidRPr="00782BF9">
              <w:rPr>
                <w:noProof/>
                <w:lang w:val="bg-BG"/>
              </w:rPr>
              <w:t xml:space="preserve">правилата, свързани със системата за обучение на съдии; </w:t>
            </w:r>
          </w:p>
          <w:p w14:paraId="0FCC739A" w14:textId="77777777" w:rsidR="00CE3BAD" w:rsidRPr="00782BF9" w:rsidRDefault="006B5475">
            <w:pPr>
              <w:pStyle w:val="P68B1DB1-paragraph20"/>
              <w:numPr>
                <w:ilvl w:val="0"/>
                <w:numId w:val="27"/>
              </w:numPr>
              <w:spacing w:before="0" w:beforeAutospacing="0" w:after="0" w:afterAutospacing="0"/>
              <w:textAlignment w:val="baseline"/>
              <w:rPr>
                <w:rFonts w:cstheme="minorHAnsi"/>
                <w:noProof/>
                <w:lang w:val="bg-BG"/>
              </w:rPr>
            </w:pPr>
            <w:r w:rsidRPr="00782BF9">
              <w:rPr>
                <w:noProof/>
                <w:lang w:val="bg-BG"/>
              </w:rPr>
              <w:t xml:space="preserve">таблицата с данни и методите за оценка на натовареността на съдиите, както и определянето на „натовареността на национално равнище при спорни и охранителни производства, разбити по съдебно равнище и по видове дела“, </w:t>
            </w:r>
          </w:p>
          <w:p w14:paraId="317B9072" w14:textId="77777777" w:rsidR="00CE3BAD" w:rsidRPr="00782BF9" w:rsidRDefault="006B5475">
            <w:pPr>
              <w:pStyle w:val="P68B1DB1-paragraph20"/>
              <w:numPr>
                <w:ilvl w:val="0"/>
                <w:numId w:val="27"/>
              </w:numPr>
              <w:spacing w:before="0" w:beforeAutospacing="0" w:after="0" w:afterAutospacing="0"/>
              <w:textAlignment w:val="baseline"/>
              <w:rPr>
                <w:rFonts w:cstheme="minorHAnsi"/>
                <w:noProof/>
                <w:lang w:val="bg-BG"/>
              </w:rPr>
            </w:pPr>
            <w:r w:rsidRPr="00782BF9">
              <w:rPr>
                <w:noProof/>
                <w:lang w:val="bg-BG"/>
              </w:rPr>
              <w:t xml:space="preserve">броя на съдебните длъжности във всеки съд в рамките, определени в годишния бюджет, включително Kúria и техните отдели; </w:t>
            </w:r>
          </w:p>
          <w:p w14:paraId="6C613369" w14:textId="77777777" w:rsidR="00CE3BAD" w:rsidRPr="00782BF9" w:rsidRDefault="00CE3BAD">
            <w:pPr>
              <w:spacing w:after="0" w:line="240" w:lineRule="auto"/>
              <w:rPr>
                <w:rFonts w:eastAsia="Times New Roman" w:cstheme="minorHAnsi"/>
                <w:noProof/>
                <w:sz w:val="18"/>
                <w:lang w:val="bg-BG"/>
              </w:rPr>
            </w:pPr>
          </w:p>
          <w:p w14:paraId="67FE46B7" w14:textId="77777777" w:rsidR="00CE3BAD" w:rsidRPr="00782BF9" w:rsidRDefault="006B5475">
            <w:pPr>
              <w:pStyle w:val="P68B1DB1-ListParagraph11"/>
              <w:numPr>
                <w:ilvl w:val="0"/>
                <w:numId w:val="20"/>
              </w:numPr>
              <w:spacing w:after="0" w:line="240" w:lineRule="auto"/>
              <w:rPr>
                <w:rFonts w:eastAsia="Times New Roman" w:cstheme="minorHAnsi"/>
                <w:noProof/>
                <w:lang w:val="bg-BG"/>
              </w:rPr>
            </w:pPr>
            <w:r w:rsidRPr="00782BF9">
              <w:rPr>
                <w:noProof/>
                <w:lang w:val="bg-BG"/>
              </w:rPr>
              <w:t>установяване на правото на Националния съдебен съвет на достъп до всички документи, информация и данни (включително лични данни), свързани с администрацията на съдилищата. Освен това законодателните изменения предвиждат, че Националният съдебен съвет определя структурата на шестмесечния доклад на председателя на НСС;</w:t>
            </w:r>
          </w:p>
          <w:p w14:paraId="20EBD930" w14:textId="77777777" w:rsidR="00CE3BAD" w:rsidRPr="00782BF9" w:rsidRDefault="00CE3BAD">
            <w:pPr>
              <w:pStyle w:val="ListParagraph"/>
              <w:spacing w:after="0" w:line="240" w:lineRule="auto"/>
              <w:rPr>
                <w:rFonts w:asciiTheme="minorHAnsi" w:eastAsia="Times New Roman" w:hAnsiTheme="minorHAnsi" w:cstheme="minorHAnsi"/>
                <w:noProof/>
                <w:sz w:val="18"/>
                <w:lang w:val="bg-BG"/>
              </w:rPr>
            </w:pPr>
          </w:p>
          <w:p w14:paraId="12F7BFD6" w14:textId="77777777" w:rsidR="00CE3BAD" w:rsidRPr="00782BF9" w:rsidRDefault="006B5475">
            <w:pPr>
              <w:pStyle w:val="P68B1DB1-ListParagraph11"/>
              <w:numPr>
                <w:ilvl w:val="0"/>
                <w:numId w:val="20"/>
              </w:numPr>
              <w:spacing w:after="0" w:line="240" w:lineRule="auto"/>
              <w:rPr>
                <w:rFonts w:eastAsia="Times New Roman" w:cstheme="minorHAnsi"/>
                <w:noProof/>
                <w:lang w:val="bg-BG"/>
              </w:rPr>
            </w:pPr>
            <w:r w:rsidRPr="00782BF9">
              <w:rPr>
                <w:noProof/>
                <w:lang w:val="bg-BG"/>
              </w:rPr>
              <w:t>да предостави на Националния съдебен съвет правоспособност и автономност при изпълнението на неговия бюджет и да гарантира, че Националният съдебен съвет разполага с подходящи ресурси, включително персонал и офиси, за да изпълнява задачите си по ефективен начин. Законодателните изменения предвиждат също така, че за да изпълняват задачите си в рамките на Националния съдебен съвет, съдиите — членове, имат право да бъдат освобождавани от правораздавателните си функции, доколкото председателите на окръжните съдилища (törvényszék) са освободени от правораздавателните си функции. Законодателните изменения предвиждат, че съдиите — членове на Националния съдебен съвет, не могат да бъдат преизбирани освен за следващия мандат, че съдиите — членове на Националния съдебен съвет, избират помежду си председателя на НСС, а председателите и заместник-председателите на съдилищата като членове на Националния съдебен съвет не участват в разискванията и гласуването по въпроси, свързани с тяхната административна дейност;</w:t>
            </w:r>
          </w:p>
          <w:p w14:paraId="45872D77" w14:textId="77777777" w:rsidR="00CE3BAD" w:rsidRPr="00782BF9" w:rsidRDefault="00CE3BAD">
            <w:pPr>
              <w:pStyle w:val="ListParagraph"/>
              <w:rPr>
                <w:rFonts w:asciiTheme="minorHAnsi" w:eastAsia="Times New Roman" w:hAnsiTheme="minorHAnsi" w:cstheme="minorHAnsi"/>
                <w:noProof/>
                <w:sz w:val="18"/>
                <w:lang w:val="bg-BG"/>
              </w:rPr>
            </w:pPr>
          </w:p>
          <w:p w14:paraId="6DE7F4F6" w14:textId="77777777" w:rsidR="00CE3BAD" w:rsidRPr="00782BF9" w:rsidRDefault="006B5475">
            <w:pPr>
              <w:pStyle w:val="P68B1DB1-ListParagraph11"/>
              <w:numPr>
                <w:ilvl w:val="0"/>
                <w:numId w:val="20"/>
              </w:numPr>
              <w:spacing w:after="0" w:line="240" w:lineRule="auto"/>
              <w:rPr>
                <w:rFonts w:eastAsia="Times New Roman" w:cstheme="minorHAnsi"/>
                <w:noProof/>
                <w:lang w:val="bg-BG"/>
              </w:rPr>
            </w:pPr>
            <w:r w:rsidRPr="00782BF9">
              <w:rPr>
                <w:noProof/>
                <w:lang w:val="bg-BG"/>
              </w:rPr>
              <w:t>да установи правото на Националния съдебен съвет да сезира компетентния съд и Конституционния съд, за да защитават своите прерогативи и да упражняват правата си;</w:t>
            </w:r>
          </w:p>
          <w:p w14:paraId="76AD6D30" w14:textId="77777777" w:rsidR="00CE3BAD" w:rsidRPr="00782BF9" w:rsidRDefault="00CE3BAD">
            <w:pPr>
              <w:pStyle w:val="ListParagraph"/>
              <w:rPr>
                <w:rFonts w:asciiTheme="minorHAnsi" w:eastAsia="Times New Roman" w:hAnsiTheme="minorHAnsi" w:cstheme="minorHAnsi"/>
                <w:noProof/>
                <w:sz w:val="18"/>
                <w:lang w:val="bg-BG"/>
              </w:rPr>
            </w:pPr>
          </w:p>
          <w:p w14:paraId="7642B2F6" w14:textId="77777777" w:rsidR="00CE3BAD" w:rsidRPr="00782BF9" w:rsidRDefault="006B5475">
            <w:pPr>
              <w:pStyle w:val="P68B1DB1-ListParagraph11"/>
              <w:numPr>
                <w:ilvl w:val="0"/>
                <w:numId w:val="20"/>
              </w:numPr>
              <w:spacing w:after="0" w:line="240" w:lineRule="auto"/>
              <w:rPr>
                <w:rFonts w:eastAsia="Times New Roman" w:cstheme="minorHAnsi"/>
                <w:noProof/>
                <w:lang w:val="bg-BG"/>
              </w:rPr>
            </w:pPr>
            <w:r w:rsidRPr="00782BF9">
              <w:rPr>
                <w:noProof/>
                <w:lang w:val="bg-BG"/>
              </w:rPr>
              <w:t>да въведе задължение за консултиране с Националния съдебен съвет относно законодателни предложения, засягащи правосъдната система, и правото да се предлага на правителството да инициира ново законодателство по същите въпроси;</w:t>
            </w:r>
          </w:p>
          <w:p w14:paraId="77D87030" w14:textId="77777777" w:rsidR="00CE3BAD" w:rsidRPr="00782BF9" w:rsidRDefault="00CE3BAD">
            <w:pPr>
              <w:pStyle w:val="ListParagraph"/>
              <w:rPr>
                <w:rFonts w:asciiTheme="minorHAnsi" w:eastAsia="Times New Roman" w:hAnsiTheme="minorHAnsi" w:cstheme="minorHAnsi"/>
                <w:noProof/>
                <w:sz w:val="18"/>
                <w:lang w:val="bg-BG"/>
              </w:rPr>
            </w:pPr>
          </w:p>
          <w:p w14:paraId="4554E623" w14:textId="77777777" w:rsidR="00CE3BAD" w:rsidRPr="00782BF9" w:rsidRDefault="006B5475">
            <w:pPr>
              <w:pStyle w:val="P68B1DB1-ListParagraph11"/>
              <w:numPr>
                <w:ilvl w:val="0"/>
                <w:numId w:val="20"/>
              </w:numPr>
              <w:spacing w:after="0" w:line="240" w:lineRule="auto"/>
              <w:rPr>
                <w:rFonts w:eastAsia="Times New Roman" w:cstheme="minorHAnsi"/>
                <w:noProof/>
                <w:lang w:val="bg-BG"/>
              </w:rPr>
            </w:pPr>
            <w:r w:rsidRPr="00782BF9">
              <w:rPr>
                <w:noProof/>
                <w:lang w:val="bg-BG"/>
              </w:rPr>
              <w:t>установяване в закона на недискреционни правила за определяне на временно изпълняващи длъжността председатели на съдилища чрез предварително определен ред за заемане на длъжности в съда, както следва: и) в отсъствието на председател на съда правомощията на председателя се упражняват от заместник-председателя; II) в отсъствието на заместник-председател правомощията на председателя се упражняват от ръководителя на отделение на съдиите с най-дълъг мандат като съдия; III) при липса на началник на отдел правомощията на председателя се упражняват от председателстващия съдия с най-дълъг мандат като съдия;</w:t>
            </w:r>
          </w:p>
          <w:p w14:paraId="650D9A90" w14:textId="77777777" w:rsidR="00CE3BAD" w:rsidRPr="00782BF9" w:rsidRDefault="00CE3BAD">
            <w:pPr>
              <w:pStyle w:val="ListParagraph"/>
              <w:rPr>
                <w:rFonts w:asciiTheme="minorHAnsi" w:eastAsia="Times New Roman" w:hAnsiTheme="minorHAnsi" w:cstheme="minorHAnsi"/>
                <w:noProof/>
                <w:sz w:val="18"/>
                <w:lang w:val="bg-BG"/>
              </w:rPr>
            </w:pPr>
          </w:p>
          <w:p w14:paraId="55EF7BF3" w14:textId="77777777" w:rsidR="00CE3BAD" w:rsidRPr="00782BF9" w:rsidRDefault="006B5475">
            <w:pPr>
              <w:pStyle w:val="P68B1DB1-ListParagraph21"/>
              <w:numPr>
                <w:ilvl w:val="0"/>
                <w:numId w:val="20"/>
              </w:numPr>
              <w:spacing w:after="0" w:line="240" w:lineRule="auto"/>
              <w:rPr>
                <w:rFonts w:asciiTheme="minorHAnsi" w:eastAsia="Times New Roman" w:hAnsiTheme="minorHAnsi"/>
                <w:noProof/>
                <w:lang w:val="bg-BG"/>
              </w:rPr>
            </w:pPr>
            <w:r w:rsidRPr="00782BF9">
              <w:rPr>
                <w:rFonts w:asciiTheme="minorHAnsi" w:hAnsiTheme="minorHAnsi"/>
                <w:noProof/>
                <w:lang w:val="bg-BG"/>
              </w:rPr>
              <w:t>да забранят реинтеграцията от страна на председателя на НСС на съдии след командироването им на съдебна инстанция, по-висока от тази, в която са се произнесли преди командироването им</w:t>
            </w:r>
            <w:r w:rsidRPr="00782BF9">
              <w:rPr>
                <w:noProof/>
                <w:lang w:val="bg-BG"/>
              </w:rPr>
              <w:t>.</w:t>
            </w:r>
          </w:p>
        </w:tc>
      </w:tr>
      <w:tr w:rsidR="00CE3BAD" w:rsidRPr="00782BF9" w14:paraId="534BEDCA" w14:textId="77777777">
        <w:trPr>
          <w:trHeight w:val="987"/>
        </w:trPr>
        <w:tc>
          <w:tcPr>
            <w:tcW w:w="807" w:type="dxa"/>
            <w:gridSpan w:val="2"/>
            <w:shd w:val="clear" w:color="auto" w:fill="C6EFCE"/>
          </w:tcPr>
          <w:p w14:paraId="58E84BEE" w14:textId="26F6CD2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214</w:t>
            </w:r>
          </w:p>
        </w:tc>
        <w:tc>
          <w:tcPr>
            <w:tcW w:w="1493" w:type="dxa"/>
            <w:shd w:val="clear" w:color="auto" w:fill="C6EFCE"/>
          </w:tcPr>
          <w:p w14:paraId="62B5CF96" w14:textId="0A075CE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C9.R16 Укрепване на независимостта на съдебната власт на Върховния съд (Kúria)</w:t>
            </w:r>
          </w:p>
        </w:tc>
        <w:tc>
          <w:tcPr>
            <w:tcW w:w="883" w:type="dxa"/>
            <w:shd w:val="clear" w:color="auto" w:fill="C6EFCE"/>
          </w:tcPr>
          <w:p w14:paraId="73E99D6F"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Ключов етап</w:t>
            </w:r>
          </w:p>
        </w:tc>
        <w:tc>
          <w:tcPr>
            <w:tcW w:w="1417" w:type="dxa"/>
            <w:shd w:val="clear" w:color="auto" w:fill="C6EFCE"/>
          </w:tcPr>
          <w:p w14:paraId="64499366" w14:textId="77777777" w:rsidR="00CE3BAD" w:rsidRPr="00782BF9" w:rsidRDefault="006B5475">
            <w:pPr>
              <w:pStyle w:val="P68B1DB1-Normal10"/>
              <w:spacing w:after="0" w:line="240" w:lineRule="auto"/>
              <w:ind w:left="52"/>
              <w:rPr>
                <w:rFonts w:eastAsia="Times New Roman" w:cstheme="minorHAnsi"/>
                <w:noProof/>
                <w:lang w:val="bg-BG"/>
              </w:rPr>
            </w:pPr>
            <w:r w:rsidRPr="00782BF9">
              <w:rPr>
                <w:noProof/>
                <w:lang w:val="bg-BG"/>
              </w:rPr>
              <w:t>Влизане в сила на изменения за укрепване на независимостта на съдебната власт на Върховния съд</w:t>
            </w:r>
          </w:p>
        </w:tc>
        <w:tc>
          <w:tcPr>
            <w:tcW w:w="1276" w:type="dxa"/>
            <w:shd w:val="clear" w:color="auto" w:fill="C6EFCE"/>
          </w:tcPr>
          <w:p w14:paraId="75A8956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Приети и ефективни изменения на правилата за избор на председател на Kúria, схемата за разпределяне на делата и функционирането на Kúria</w:t>
            </w:r>
          </w:p>
        </w:tc>
        <w:tc>
          <w:tcPr>
            <w:tcW w:w="1134" w:type="dxa"/>
            <w:shd w:val="clear" w:color="auto" w:fill="C6EFCE"/>
          </w:tcPr>
          <w:p w14:paraId="5F7993F2" w14:textId="77777777" w:rsidR="00CE3BAD" w:rsidRPr="00782BF9" w:rsidRDefault="00CE3BAD">
            <w:pPr>
              <w:spacing w:after="0" w:line="240" w:lineRule="auto"/>
              <w:ind w:left="52"/>
              <w:textAlignment w:val="baseline"/>
              <w:rPr>
                <w:rFonts w:eastAsia="Times New Roman" w:cstheme="minorHAnsi"/>
                <w:noProof/>
                <w:sz w:val="18"/>
                <w:lang w:val="bg-BG"/>
              </w:rPr>
            </w:pPr>
          </w:p>
        </w:tc>
        <w:tc>
          <w:tcPr>
            <w:tcW w:w="851" w:type="dxa"/>
            <w:shd w:val="clear" w:color="auto" w:fill="C6EFCE"/>
          </w:tcPr>
          <w:p w14:paraId="562D95D6" w14:textId="77777777" w:rsidR="00CE3BAD" w:rsidRPr="00782BF9" w:rsidRDefault="00CE3BAD">
            <w:pPr>
              <w:spacing w:after="0" w:line="240" w:lineRule="auto"/>
              <w:ind w:left="52"/>
              <w:textAlignment w:val="baseline"/>
              <w:rPr>
                <w:rFonts w:eastAsia="Times New Roman" w:cstheme="minorHAnsi"/>
                <w:noProof/>
                <w:sz w:val="18"/>
                <w:lang w:val="bg-BG"/>
              </w:rPr>
            </w:pPr>
          </w:p>
        </w:tc>
        <w:tc>
          <w:tcPr>
            <w:tcW w:w="850" w:type="dxa"/>
            <w:shd w:val="clear" w:color="auto" w:fill="C6EFCE"/>
          </w:tcPr>
          <w:p w14:paraId="2DDA144D" w14:textId="77777777" w:rsidR="00CE3BAD" w:rsidRPr="00782BF9" w:rsidRDefault="00CE3BAD">
            <w:pPr>
              <w:spacing w:after="0" w:line="240" w:lineRule="auto"/>
              <w:ind w:left="52"/>
              <w:textAlignment w:val="baseline"/>
              <w:rPr>
                <w:rFonts w:eastAsia="Times New Roman" w:cstheme="minorHAnsi"/>
                <w:noProof/>
                <w:sz w:val="18"/>
                <w:lang w:val="bg-BG"/>
              </w:rPr>
            </w:pPr>
          </w:p>
        </w:tc>
        <w:tc>
          <w:tcPr>
            <w:tcW w:w="709" w:type="dxa"/>
            <w:shd w:val="clear" w:color="auto" w:fill="C6EFCE"/>
          </w:tcPr>
          <w:p w14:paraId="2249947B"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Т1 Г.</w:t>
            </w:r>
          </w:p>
        </w:tc>
        <w:tc>
          <w:tcPr>
            <w:tcW w:w="709" w:type="dxa"/>
            <w:shd w:val="clear" w:color="auto" w:fill="C6EFCE"/>
          </w:tcPr>
          <w:p w14:paraId="7BD20999"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2023</w:t>
            </w:r>
          </w:p>
        </w:tc>
        <w:tc>
          <w:tcPr>
            <w:tcW w:w="4793" w:type="dxa"/>
            <w:shd w:val="clear" w:color="auto" w:fill="C6EFCE"/>
          </w:tcPr>
          <w:p w14:paraId="43C72765" w14:textId="77777777" w:rsidR="00CE3BAD" w:rsidRPr="00782BF9" w:rsidRDefault="006B5475">
            <w:pPr>
              <w:pStyle w:val="P68B1DB1-Normal10"/>
              <w:spacing w:after="0" w:line="240" w:lineRule="auto"/>
              <w:rPr>
                <w:rFonts w:eastAsia="Times New Roman" w:cstheme="minorHAnsi"/>
                <w:noProof/>
                <w:lang w:val="bg-BG"/>
              </w:rPr>
            </w:pPr>
            <w:r w:rsidRPr="00782BF9">
              <w:rPr>
                <w:noProof/>
                <w:lang w:val="bg-BG"/>
              </w:rPr>
              <w:t xml:space="preserve">Преди подаването на първото искане за плащане по плана за възстановяване и устойчивост: </w:t>
            </w:r>
          </w:p>
          <w:p w14:paraId="4A3F2E6C" w14:textId="77777777" w:rsidR="00CE3BAD" w:rsidRPr="00782BF9" w:rsidRDefault="006B5475">
            <w:pPr>
              <w:pStyle w:val="P68B1DB1-ListParagraph11"/>
              <w:numPr>
                <w:ilvl w:val="0"/>
                <w:numId w:val="22"/>
              </w:numPr>
              <w:spacing w:after="160" w:line="259" w:lineRule="auto"/>
              <w:rPr>
                <w:rFonts w:eastAsia="Times New Roman" w:cstheme="minorHAnsi"/>
                <w:noProof/>
                <w:lang w:val="bg-BG"/>
              </w:rPr>
            </w:pPr>
            <w:r w:rsidRPr="00782BF9">
              <w:rPr>
                <w:noProof/>
                <w:lang w:val="bg-BG"/>
              </w:rPr>
              <w:t>законодателните изменения влизат в сила и започват да се прилагат, с които се изменят правилата за избор на председател на Kúria, за да се гарантира, че: и) кандидатите имат най-малко пет години опит като съдия; II) председателят на Kúria не може да бъде преизбиран; националният съдебен съвет дава мотивирано обвързващо становище относно годността на кандидатите за поста председател на Kúria, които могат да бъдат предложени от президента на Републиката. Критериите за пригодност, включително независимост, безпристрастност, почтеност и почтеност, се определят от закона. Законодателните изменения гарантират, че кандидатите, счетени за неподходящи от Националния съдебен съвет, имат достъп до ускорен съдебен контрол пред компетентния съд;</w:t>
            </w:r>
          </w:p>
          <w:p w14:paraId="74E4D22D" w14:textId="77777777" w:rsidR="00CE3BAD" w:rsidRPr="00782BF9" w:rsidRDefault="00CE3BAD">
            <w:pPr>
              <w:pStyle w:val="ListParagraph"/>
              <w:rPr>
                <w:rFonts w:asciiTheme="minorHAnsi" w:eastAsia="Times New Roman" w:hAnsiTheme="minorHAnsi" w:cstheme="minorHAnsi"/>
                <w:noProof/>
                <w:sz w:val="18"/>
                <w:lang w:val="bg-BG"/>
              </w:rPr>
            </w:pPr>
          </w:p>
          <w:p w14:paraId="09600C9A" w14:textId="77777777" w:rsidR="00CE3BAD" w:rsidRPr="00782BF9" w:rsidRDefault="006B5475">
            <w:pPr>
              <w:pStyle w:val="P68B1DB1-ListParagraph11"/>
              <w:numPr>
                <w:ilvl w:val="0"/>
                <w:numId w:val="22"/>
              </w:numPr>
              <w:spacing w:after="160" w:line="259" w:lineRule="auto"/>
              <w:rPr>
                <w:rFonts w:eastAsia="Times New Roman"/>
                <w:noProof/>
                <w:lang w:val="bg-BG"/>
              </w:rPr>
            </w:pPr>
            <w:r w:rsidRPr="00782BF9">
              <w:rPr>
                <w:noProof/>
                <w:lang w:val="bg-BG"/>
              </w:rPr>
              <w:t>законодателните изменения и другите изменения на правилата относно схемата за разпределение на делата на Kúria влизат в сила и започват да се прилагат, което гарантира, че: I) делата, заведени по електронен път, получават номер на делото без човешка намеса; II) делата се разпределят на състави съгласно предварително установени обективни критерии; III) съставът на съдебния състав по делото следва предварително определен алгоритъм; IV) страните в производството да могат да проверят въз основа на преписката дали правилата за разпределяне на делата са били надлежно приложени; V) съдебният съвет на Kúria и съответните отделения на съдиите („kollégium“) дават обвързващо становище относно схемата за разпределяне на делата;</w:t>
            </w:r>
          </w:p>
          <w:p w14:paraId="44D013FC" w14:textId="77777777" w:rsidR="00CE3BAD" w:rsidRPr="00782BF9" w:rsidRDefault="00CE3BAD">
            <w:pPr>
              <w:pStyle w:val="ListParagraph"/>
              <w:rPr>
                <w:rFonts w:asciiTheme="minorHAnsi" w:eastAsia="Times New Roman" w:hAnsiTheme="minorHAnsi" w:cstheme="minorHAnsi"/>
                <w:noProof/>
                <w:sz w:val="18"/>
                <w:lang w:val="bg-BG"/>
              </w:rPr>
            </w:pPr>
          </w:p>
          <w:p w14:paraId="7D9B928B" w14:textId="77777777" w:rsidR="00CE3BAD" w:rsidRPr="00782BF9" w:rsidRDefault="006B5475">
            <w:pPr>
              <w:pStyle w:val="P68B1DB1-ListParagraph11"/>
              <w:numPr>
                <w:ilvl w:val="0"/>
                <w:numId w:val="22"/>
              </w:numPr>
              <w:spacing w:after="0" w:line="240" w:lineRule="auto"/>
              <w:rPr>
                <w:rFonts w:eastAsia="Times New Roman" w:cstheme="minorHAnsi"/>
                <w:noProof/>
                <w:lang w:val="bg-BG"/>
              </w:rPr>
            </w:pPr>
            <w:r w:rsidRPr="00782BF9">
              <w:rPr>
                <w:noProof/>
                <w:lang w:val="bg-BG"/>
              </w:rPr>
              <w:t xml:space="preserve">законодателните изменения влизат в сила и започват да се прилагат, с които се изменят правилата относно функционирането на Kúria чрез </w:t>
            </w:r>
          </w:p>
          <w:p w14:paraId="5451E331" w14:textId="77777777" w:rsidR="00CE3BAD" w:rsidRPr="00782BF9" w:rsidRDefault="006B5475">
            <w:pPr>
              <w:pStyle w:val="P68B1DB1-ListParagraph11"/>
              <w:numPr>
                <w:ilvl w:val="0"/>
                <w:numId w:val="23"/>
              </w:numPr>
              <w:spacing w:after="0" w:line="240" w:lineRule="auto"/>
              <w:rPr>
                <w:rFonts w:eastAsia="Times New Roman" w:cstheme="minorHAnsi"/>
                <w:noProof/>
                <w:lang w:val="bg-BG"/>
              </w:rPr>
            </w:pPr>
            <w:r w:rsidRPr="00782BF9">
              <w:rPr>
                <w:noProof/>
                <w:lang w:val="bg-BG"/>
              </w:rPr>
              <w:t xml:space="preserve">за установяване на по-големи правомощия на съдебния съвет на Kúria и съответните отдели на съдиите („kollégium“), като по-специално се гарантира, че те дават задължително становище относно </w:t>
            </w:r>
          </w:p>
          <w:p w14:paraId="6485C303" w14:textId="77777777" w:rsidR="00CE3BAD" w:rsidRPr="00782BF9" w:rsidRDefault="006B5475">
            <w:pPr>
              <w:pStyle w:val="P68B1DB1-ListParagraph11"/>
              <w:numPr>
                <w:ilvl w:val="0"/>
                <w:numId w:val="24"/>
              </w:numPr>
              <w:spacing w:after="0" w:line="240" w:lineRule="auto"/>
              <w:rPr>
                <w:rFonts w:eastAsia="Times New Roman" w:cstheme="minorHAnsi"/>
                <w:noProof/>
                <w:lang w:val="bg-BG"/>
              </w:rPr>
            </w:pPr>
            <w:r w:rsidRPr="00782BF9">
              <w:rPr>
                <w:noProof/>
                <w:lang w:val="bg-BG"/>
              </w:rPr>
              <w:t>кандидати за поста на председатели и заместник-председатели на отделите на съдиите, председателстващите съдии и генералния секретар на Kúria;</w:t>
            </w:r>
          </w:p>
          <w:p w14:paraId="7A973FB9" w14:textId="77777777" w:rsidR="00CE3BAD" w:rsidRPr="00782BF9" w:rsidRDefault="006B5475">
            <w:pPr>
              <w:pStyle w:val="P68B1DB1-ListParagraph11"/>
              <w:numPr>
                <w:ilvl w:val="0"/>
                <w:numId w:val="24"/>
              </w:numPr>
              <w:spacing w:after="0" w:line="240" w:lineRule="auto"/>
              <w:rPr>
                <w:rFonts w:eastAsia="Times New Roman" w:cstheme="minorHAnsi"/>
                <w:noProof/>
                <w:lang w:val="bg-BG"/>
              </w:rPr>
            </w:pPr>
            <w:r w:rsidRPr="00782BF9">
              <w:rPr>
                <w:noProof/>
                <w:lang w:val="bg-BG"/>
              </w:rPr>
              <w:t>командироване в Kúria;</w:t>
            </w:r>
          </w:p>
          <w:p w14:paraId="1774A328" w14:textId="77777777" w:rsidR="00CE3BAD" w:rsidRPr="00782BF9" w:rsidRDefault="006B5475">
            <w:pPr>
              <w:pStyle w:val="P68B1DB1-ListParagraph11"/>
              <w:numPr>
                <w:ilvl w:val="0"/>
                <w:numId w:val="23"/>
              </w:numPr>
              <w:spacing w:after="0" w:line="240" w:lineRule="auto"/>
              <w:rPr>
                <w:rFonts w:eastAsia="Times New Roman" w:cstheme="minorHAnsi"/>
                <w:noProof/>
                <w:lang w:val="bg-BG"/>
              </w:rPr>
            </w:pPr>
            <w:r w:rsidRPr="00782BF9">
              <w:rPr>
                <w:noProof/>
                <w:lang w:val="bg-BG"/>
              </w:rPr>
              <w:t>премахване на възможността членовете на Конституционния съд да стават съдии и след това да бъдат назначавани в Kúria, без да се следва обичайната процедура за кандидатстване,</w:t>
            </w:r>
          </w:p>
          <w:p w14:paraId="70A3EE40" w14:textId="77777777" w:rsidR="00CE3BAD" w:rsidRPr="00782BF9" w:rsidRDefault="006B5475">
            <w:pPr>
              <w:pStyle w:val="P68B1DB1-ListParagraph11"/>
              <w:numPr>
                <w:ilvl w:val="0"/>
                <w:numId w:val="23"/>
              </w:numPr>
              <w:spacing w:after="0" w:line="240" w:lineRule="auto"/>
              <w:rPr>
                <w:rFonts w:eastAsia="Times New Roman" w:cstheme="minorHAnsi"/>
                <w:noProof/>
                <w:lang w:val="bg-BG"/>
              </w:rPr>
            </w:pPr>
            <w:r w:rsidRPr="00782BF9">
              <w:rPr>
                <w:noProof/>
                <w:lang w:val="bg-BG"/>
              </w:rPr>
              <w:t>гарантиране, че Националният съдебен съвет дава мотивирано обвързващо становище относно пригодността на кандидатите за длъжността заместник-председател на Kúria, което може да бъде предложено от председателя на Kúria. Критериите за пригодност, включително независимост, безпристрастност, почтеност и почтеност, се определят от закона. Законодателните изменения гарантират, че кандидатите, счетени за неподходящи от Националния съдебен съвет, имат достъп до ускорен съдебен контрол пред компетентния съд.</w:t>
            </w:r>
          </w:p>
          <w:p w14:paraId="5BF7FA58" w14:textId="54F8DDC0" w:rsidR="00CE3BAD" w:rsidRPr="00782BF9" w:rsidRDefault="006B5475">
            <w:pPr>
              <w:pStyle w:val="P68B1DB1-ListParagraph11"/>
              <w:numPr>
                <w:ilvl w:val="0"/>
                <w:numId w:val="23"/>
              </w:numPr>
              <w:spacing w:after="0" w:line="240" w:lineRule="auto"/>
              <w:rPr>
                <w:rFonts w:eastAsia="Times New Roman"/>
                <w:noProof/>
                <w:lang w:val="bg-BG"/>
              </w:rPr>
            </w:pPr>
            <w:r w:rsidRPr="00782BF9">
              <w:rPr>
                <w:noProof/>
                <w:lang w:val="bg-BG"/>
              </w:rPr>
              <w:t>гарантиране, че засилените правомощия на Националния съдебен съвет, посочени в етап 213, се прилагат и по отношение на председателя на Kúria, когато действа като орган по назначаването (в съответствие със Закон CLXII от 2011 г.).</w:t>
            </w:r>
          </w:p>
        </w:tc>
      </w:tr>
      <w:tr w:rsidR="00CE3BAD" w:rsidRPr="00782BF9" w14:paraId="1AAACF30" w14:textId="77777777">
        <w:trPr>
          <w:trHeight w:val="1950"/>
        </w:trPr>
        <w:tc>
          <w:tcPr>
            <w:tcW w:w="807" w:type="dxa"/>
            <w:gridSpan w:val="2"/>
            <w:shd w:val="clear" w:color="auto" w:fill="C6EFCE"/>
          </w:tcPr>
          <w:p w14:paraId="22EE46D6" w14:textId="1E935D1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215</w:t>
            </w:r>
          </w:p>
        </w:tc>
        <w:tc>
          <w:tcPr>
            <w:tcW w:w="1493" w:type="dxa"/>
            <w:shd w:val="clear" w:color="auto" w:fill="C6EFCE"/>
          </w:tcPr>
          <w:p w14:paraId="2A203B29" w14:textId="0FAB6B0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C9.R17 Премахване на пречките пред отправянето на преюдициални запитвания до Съда на Европейския съюз</w:t>
            </w:r>
          </w:p>
          <w:p w14:paraId="318A6F4F" w14:textId="77777777" w:rsidR="00CE3BAD" w:rsidRPr="00782BF9" w:rsidRDefault="00CE3BAD">
            <w:pPr>
              <w:spacing w:after="0"/>
              <w:ind w:left="52"/>
              <w:textAlignment w:val="baseline"/>
              <w:rPr>
                <w:rFonts w:eastAsia="Times New Roman" w:cstheme="minorHAnsi"/>
                <w:noProof/>
                <w:sz w:val="18"/>
                <w:lang w:val="bg-BG"/>
              </w:rPr>
            </w:pPr>
          </w:p>
        </w:tc>
        <w:tc>
          <w:tcPr>
            <w:tcW w:w="883" w:type="dxa"/>
            <w:shd w:val="clear" w:color="auto" w:fill="C6EFCE"/>
          </w:tcPr>
          <w:p w14:paraId="26DCF441"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Ключов етап</w:t>
            </w:r>
          </w:p>
        </w:tc>
        <w:tc>
          <w:tcPr>
            <w:tcW w:w="1417" w:type="dxa"/>
            <w:shd w:val="clear" w:color="auto" w:fill="C6EFCE"/>
          </w:tcPr>
          <w:p w14:paraId="05933131" w14:textId="77777777" w:rsidR="00CE3BAD" w:rsidRPr="00782BF9" w:rsidRDefault="006B5475">
            <w:pPr>
              <w:pStyle w:val="P68B1DB1-Normal10"/>
              <w:spacing w:after="0" w:line="240" w:lineRule="auto"/>
              <w:ind w:left="52"/>
              <w:rPr>
                <w:rFonts w:eastAsia="Times New Roman" w:cstheme="minorHAnsi"/>
                <w:noProof/>
                <w:lang w:val="bg-BG"/>
              </w:rPr>
            </w:pPr>
            <w:r w:rsidRPr="00782BF9">
              <w:rPr>
                <w:noProof/>
                <w:lang w:val="bg-BG"/>
              </w:rPr>
              <w:t>Влизане в сила на законодателни изменения с цел премахване на пречките пред отправянето на преюдициални запитвания до Съда на Европейския съюз</w:t>
            </w:r>
          </w:p>
        </w:tc>
        <w:tc>
          <w:tcPr>
            <w:tcW w:w="1276" w:type="dxa"/>
            <w:shd w:val="clear" w:color="auto" w:fill="C6EFCE"/>
          </w:tcPr>
          <w:p w14:paraId="7AD2D487"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 xml:space="preserve">Разпоредба в законодателните изменения, указваща влизането им в сила  </w:t>
            </w:r>
          </w:p>
        </w:tc>
        <w:tc>
          <w:tcPr>
            <w:tcW w:w="1134" w:type="dxa"/>
            <w:shd w:val="clear" w:color="auto" w:fill="C6EFCE"/>
          </w:tcPr>
          <w:p w14:paraId="053033EF"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25451917"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66E042D9"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tcPr>
          <w:p w14:paraId="44716137"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Т1 Г.</w:t>
            </w:r>
          </w:p>
        </w:tc>
        <w:tc>
          <w:tcPr>
            <w:tcW w:w="709" w:type="dxa"/>
            <w:shd w:val="clear" w:color="auto" w:fill="C6EFCE"/>
          </w:tcPr>
          <w:p w14:paraId="4CAB416A"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2023</w:t>
            </w:r>
          </w:p>
        </w:tc>
        <w:tc>
          <w:tcPr>
            <w:tcW w:w="4793" w:type="dxa"/>
            <w:shd w:val="clear" w:color="auto" w:fill="C6EFCE"/>
          </w:tcPr>
          <w:p w14:paraId="60F94F74" w14:textId="77777777" w:rsidR="00CE3BAD" w:rsidRPr="00782BF9" w:rsidRDefault="006B5475">
            <w:pPr>
              <w:pStyle w:val="P68B1DB1-Normal10"/>
              <w:spacing w:after="0" w:line="240" w:lineRule="auto"/>
              <w:rPr>
                <w:rFonts w:eastAsia="Times New Roman" w:cstheme="minorHAnsi"/>
                <w:noProof/>
                <w:lang w:val="bg-BG"/>
              </w:rPr>
            </w:pPr>
            <w:r w:rsidRPr="00782BF9">
              <w:rPr>
                <w:noProof/>
                <w:lang w:val="bg-BG"/>
              </w:rPr>
              <w:t xml:space="preserve">Преди подаването на първото искане за плащане съгласно плана за възстановяване и устойчивост законодателните изменения влизат в сила и започват да се прилагат, за да се гарантира, че: </w:t>
            </w:r>
          </w:p>
          <w:p w14:paraId="576A0E13" w14:textId="6C7A65B1" w:rsidR="00CE3BAD" w:rsidRPr="00782BF9" w:rsidRDefault="006B5475">
            <w:pPr>
              <w:pStyle w:val="P68B1DB1-Normal10"/>
              <w:rPr>
                <w:rFonts w:eastAsia="Calibri" w:cstheme="minorHAnsi"/>
                <w:noProof/>
                <w:lang w:val="bg-BG"/>
              </w:rPr>
            </w:pPr>
            <w:r w:rsidRPr="00782BF9">
              <w:rPr>
                <w:noProof/>
                <w:lang w:val="bg-BG"/>
              </w:rPr>
              <w:t>I) Член 666 и сл. от Наказателно-процесуалния кодекс се изменят, за да се премахне възможността Kúria да упражнява контрол за законосъобразност на решението на съдия да отправи преюдициално запитване до Съда на Европейския съюз, и ii) член 490 от Наказателно-процесуалния кодекс за спиране на производството се изменя, за да се премахнат пречките пред съда да отправи преюдициално запитване в съответствие с член 267 ДФЕС.</w:t>
            </w:r>
          </w:p>
        </w:tc>
      </w:tr>
      <w:tr w:rsidR="00CE3BAD" w:rsidRPr="00782BF9" w14:paraId="7F6AEC62" w14:textId="77777777">
        <w:trPr>
          <w:trHeight w:val="987"/>
        </w:trPr>
        <w:tc>
          <w:tcPr>
            <w:tcW w:w="807" w:type="dxa"/>
            <w:gridSpan w:val="2"/>
            <w:shd w:val="clear" w:color="auto" w:fill="C6EFCE"/>
          </w:tcPr>
          <w:p w14:paraId="25DB2793" w14:textId="204E831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216</w:t>
            </w:r>
          </w:p>
        </w:tc>
        <w:tc>
          <w:tcPr>
            <w:tcW w:w="1493" w:type="dxa"/>
            <w:shd w:val="clear" w:color="auto" w:fill="C6EFCE"/>
          </w:tcPr>
          <w:p w14:paraId="638A02A6" w14:textId="21E7449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C9.R18 Реформа относно преразглеждането на окончателни решения от Конституционния съд</w:t>
            </w:r>
          </w:p>
        </w:tc>
        <w:tc>
          <w:tcPr>
            <w:tcW w:w="883" w:type="dxa"/>
            <w:shd w:val="clear" w:color="auto" w:fill="C6EFCE"/>
          </w:tcPr>
          <w:p w14:paraId="409488C0"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Ключов етап</w:t>
            </w:r>
          </w:p>
        </w:tc>
        <w:tc>
          <w:tcPr>
            <w:tcW w:w="1417" w:type="dxa"/>
            <w:shd w:val="clear" w:color="auto" w:fill="C6EFCE"/>
          </w:tcPr>
          <w:p w14:paraId="1D4EFD8D" w14:textId="77777777" w:rsidR="00CE3BAD" w:rsidRPr="00782BF9" w:rsidRDefault="006B5475">
            <w:pPr>
              <w:pStyle w:val="P68B1DB1-Normal10"/>
              <w:spacing w:after="0" w:line="240" w:lineRule="auto"/>
              <w:ind w:left="52"/>
              <w:rPr>
                <w:rFonts w:eastAsia="Times New Roman" w:cstheme="minorHAnsi"/>
                <w:noProof/>
                <w:lang w:val="bg-BG"/>
              </w:rPr>
            </w:pPr>
            <w:r w:rsidRPr="00782BF9">
              <w:rPr>
                <w:noProof/>
                <w:lang w:val="bg-BG"/>
              </w:rPr>
              <w:t>Влизане в сила на законодателни изменения за премахване на възможността публичните органи да оспорват окончателни решения пред Конституционния съд</w:t>
            </w:r>
          </w:p>
        </w:tc>
        <w:tc>
          <w:tcPr>
            <w:tcW w:w="1276" w:type="dxa"/>
            <w:shd w:val="clear" w:color="auto" w:fill="C6EFCE"/>
          </w:tcPr>
          <w:p w14:paraId="7A61CEDB"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 xml:space="preserve">Разпоредба в законодателните изменения, указваща влизането им в сила  </w:t>
            </w:r>
          </w:p>
        </w:tc>
        <w:tc>
          <w:tcPr>
            <w:tcW w:w="1134" w:type="dxa"/>
            <w:shd w:val="clear" w:color="auto" w:fill="C6EFCE"/>
          </w:tcPr>
          <w:p w14:paraId="1549901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1" w:type="dxa"/>
            <w:shd w:val="clear" w:color="auto" w:fill="C6EFCE"/>
          </w:tcPr>
          <w:p w14:paraId="42295E7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0" w:type="dxa"/>
            <w:shd w:val="clear" w:color="auto" w:fill="C6EFCE"/>
          </w:tcPr>
          <w:p w14:paraId="4819666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709" w:type="dxa"/>
            <w:shd w:val="clear" w:color="auto" w:fill="C6EFCE"/>
          </w:tcPr>
          <w:p w14:paraId="117A443A"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Т1 Г.</w:t>
            </w:r>
          </w:p>
        </w:tc>
        <w:tc>
          <w:tcPr>
            <w:tcW w:w="709" w:type="dxa"/>
            <w:shd w:val="clear" w:color="auto" w:fill="C6EFCE"/>
          </w:tcPr>
          <w:p w14:paraId="1A983180"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2023</w:t>
            </w:r>
          </w:p>
        </w:tc>
        <w:tc>
          <w:tcPr>
            <w:tcW w:w="4793" w:type="dxa"/>
            <w:shd w:val="clear" w:color="auto" w:fill="C6EFCE"/>
          </w:tcPr>
          <w:p w14:paraId="5BAFB977" w14:textId="77777777" w:rsidR="00CE3BAD" w:rsidRPr="00782BF9" w:rsidRDefault="006B5475">
            <w:pPr>
              <w:pStyle w:val="P68B1DB1-Normal10"/>
              <w:rPr>
                <w:rFonts w:eastAsia="Calibri"/>
                <w:noProof/>
                <w:lang w:val="bg-BG"/>
              </w:rPr>
            </w:pPr>
            <w:r w:rsidRPr="00782BF9">
              <w:rPr>
                <w:noProof/>
                <w:lang w:val="bg-BG"/>
              </w:rPr>
              <w:t>Преди подаването на първото искане за плащане съгласно плана за възстановяване и устойчивост законодателните изменения влизат в сила и започват да се прилагат, за да се гарантира, че се премахва възможността, въведена през 2019 г. чрез изменение на член 27 от Закон CLI от 2011 г., публичните органи да оспорват пред Конституционния съд окончателните съдебни решения.</w:t>
            </w:r>
          </w:p>
        </w:tc>
      </w:tr>
      <w:tr w:rsidR="00CE3BAD" w:rsidRPr="00782BF9" w14:paraId="3F90420A" w14:textId="77777777">
        <w:trPr>
          <w:gridBefore w:val="1"/>
          <w:wBefore w:w="7" w:type="dxa"/>
          <w:trHeight w:val="987"/>
        </w:trPr>
        <w:tc>
          <w:tcPr>
            <w:tcW w:w="800" w:type="dxa"/>
            <w:shd w:val="clear" w:color="auto" w:fill="C6EFCE"/>
            <w:vAlign w:val="center"/>
          </w:tcPr>
          <w:p w14:paraId="796800FB" w14:textId="0ECD790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217</w:t>
            </w:r>
          </w:p>
        </w:tc>
        <w:tc>
          <w:tcPr>
            <w:tcW w:w="1493" w:type="dxa"/>
            <w:shd w:val="clear" w:color="auto" w:fill="C6EFCE"/>
            <w:vAlign w:val="center"/>
          </w:tcPr>
          <w:p w14:paraId="25FA8A48" w14:textId="19BC2FBC" w:rsidR="00CE3BAD" w:rsidRPr="00782BF9" w:rsidRDefault="006B5475">
            <w:pPr>
              <w:pStyle w:val="P68B1DB1-Normal10"/>
              <w:spacing w:after="0" w:line="240" w:lineRule="auto"/>
              <w:ind w:left="52"/>
              <w:rPr>
                <w:rFonts w:eastAsia="Times New Roman"/>
                <w:noProof/>
                <w:lang w:val="bg-BG"/>
              </w:rPr>
            </w:pPr>
            <w:r w:rsidRPr="00782BF9">
              <w:rPr>
                <w:noProof/>
                <w:lang w:val="bg-BG"/>
              </w:rPr>
              <w:t>C9.R19 Засилени правни разпоредби, определящи мерки за изпълнение, мониторинг, одит и контрол, за да се гарантира правилното използване на подкрепата от Съюза</w:t>
            </w:r>
          </w:p>
        </w:tc>
        <w:tc>
          <w:tcPr>
            <w:tcW w:w="883" w:type="dxa"/>
            <w:shd w:val="clear" w:color="auto" w:fill="C6EFCE"/>
            <w:vAlign w:val="center"/>
          </w:tcPr>
          <w:p w14:paraId="1797B19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Ключов етап </w:t>
            </w:r>
          </w:p>
        </w:tc>
        <w:tc>
          <w:tcPr>
            <w:tcW w:w="1417" w:type="dxa"/>
            <w:shd w:val="clear" w:color="auto" w:fill="C6EFCE"/>
            <w:vAlign w:val="center"/>
          </w:tcPr>
          <w:p w14:paraId="3185BC7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Правен мандат за изпълнението, одита и контрола на плана за възстановяване и устойчивост</w:t>
            </w:r>
          </w:p>
        </w:tc>
        <w:tc>
          <w:tcPr>
            <w:tcW w:w="1276" w:type="dxa"/>
            <w:shd w:val="clear" w:color="auto" w:fill="C6EFCE"/>
            <w:vAlign w:val="center"/>
          </w:tcPr>
          <w:p w14:paraId="729CC2D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правителственото постановление относно ролите и отговорностите на органите, участващи в изпълнението, одита и контрола на унгарския план за възстановяване и устойчивост</w:t>
            </w:r>
          </w:p>
        </w:tc>
        <w:tc>
          <w:tcPr>
            <w:tcW w:w="1134" w:type="dxa"/>
            <w:shd w:val="clear" w:color="auto" w:fill="C6EFCE"/>
          </w:tcPr>
          <w:p w14:paraId="02EB1A6F"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1061B885"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0FF06F88"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15F37B2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38C7D98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65F14538" w14:textId="4CF554C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правителственото постановление за установяване на правния мандат на органите, участващи в изпълнението, одита и контрола на изпълнението на плана за възстановяване и устойчивост в Унгария, преди подаването на първото искане за плащане съгласно плана за възстановяване и устойчивост.</w:t>
            </w:r>
          </w:p>
          <w:p w14:paraId="73F9571F" w14:textId="47787D6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 постановлението се определят най-малко ролите и отговорностите на тези органи, които гарантират: а) събирането и надеждността на данните, свързани с постигането на ключовите етапи и целите, и мониторинга на тяхното постигане; б) наличието на подробни процедури за изготвяне и надеждност на декларациите за управлението, одитните обобщения и исканията за плащане; в) че са въведени необходимите процедури за събиране и съхраняване на данни за крайните получатели, изпълнителите, подизпълнителите и действителните собственици в съответствие с член 22 от Регламент (ЕС) 2021/241 за създаване на Механизъм за възстановяване и устойчивост; г) че правилата относно конфликта на интереси се прилагат за целия персонал, участващ в изпълнението, включително подготвителните действия, контрола (включително за вътрешните и външните оценители в процедурите за възлагане на обществени поръчки) и одита на плана за възстановяване и устойчивост, както и за всички крайни получатели, възлагащи органи, изпълнители, подизпълнители, както и консултантски дружества, участващи в подготовката и изпълнението на проекти; д) че правилата относно конфликтите на интереси изрично се отнасят до ситуации, включващи семеен, емоционален живот, политическа или национална принадлежност, икономически интерес или всякакъв друг пряк или косвен личен интерес, който може да бъде възприет като конфликт на интереси в съответствие с член 61 от Регламент (ЕС, Евратом) 2018/1046 и съответното известие на Комисията („Насоки относно избягването и управлението на конфликти на интереси съгласно Финансовия регламент“ [C 121/01]); е) че всички лица по буква г) са задължени да издадат декларация за липсата на конфликт на интереси за всеки отделен случай, ако участват във вземането на решения относно отделни проекти (по-специално решения относно допустимостта, оценката на риска, подбора на проекти, междинните и окончателните процедури за контрол, управлението на нередностите и свързаните с одита решения), които се съхраняват в продължение на най-малко 5 години; ж) че истинността на декларациите за конфликт на интереси се контролира редовно и ефективно и резултатите от този контрол се съхраняват в продължение на най-малко пет години; з) че е установен редовен и ефективен надзор на персонала на чувствителни длъжности (като например управление на нередностите, контрол и оценка на риска) и че редовната ротация на персонала на тези длъжности се осигурява въз основа на методика, която започва да се прилага не по-късно от 31 март 2023 г.; и) че оферентите не участват в търгове в процедури за възлагане на обществени поръчки, в случай че бъде установен конфликт на интереси, който е от значение за тях в конкретната оферта.</w:t>
            </w:r>
          </w:p>
        </w:tc>
      </w:tr>
      <w:tr w:rsidR="00CE3BAD" w:rsidRPr="00782BF9" w14:paraId="2241395C" w14:textId="77777777">
        <w:trPr>
          <w:gridBefore w:val="1"/>
          <w:wBefore w:w="7" w:type="dxa"/>
          <w:trHeight w:val="987"/>
        </w:trPr>
        <w:tc>
          <w:tcPr>
            <w:tcW w:w="800" w:type="dxa"/>
            <w:shd w:val="clear" w:color="auto" w:fill="C6EFCE"/>
            <w:vAlign w:val="center"/>
          </w:tcPr>
          <w:p w14:paraId="1C424430" w14:textId="724F9E0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218</w:t>
            </w:r>
          </w:p>
        </w:tc>
        <w:tc>
          <w:tcPr>
            <w:tcW w:w="1493" w:type="dxa"/>
            <w:shd w:val="clear" w:color="auto" w:fill="C6EFCE"/>
            <w:vAlign w:val="center"/>
          </w:tcPr>
          <w:p w14:paraId="353EB503" w14:textId="5759FC2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C9.R19 Засилени правни разпоредби, определящи мерки за изпълнение, мониторинг, одит и контрол, за да се гарантира правилното използване на подкрепата от Съюза</w:t>
            </w:r>
          </w:p>
        </w:tc>
        <w:tc>
          <w:tcPr>
            <w:tcW w:w="883" w:type="dxa"/>
            <w:shd w:val="clear" w:color="auto" w:fill="C6EFCE"/>
            <w:vAlign w:val="center"/>
          </w:tcPr>
          <w:p w14:paraId="41B30A2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0C9A7B9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Изменение на правните разпоредби, свързани с изпълнението, мониторинга, контрола и одита на европейските структурни и инвестиционни фондове и фондовете съгласно Регламент (ЕС) 2021/1060 в Унгария</w:t>
            </w:r>
          </w:p>
        </w:tc>
        <w:tc>
          <w:tcPr>
            <w:tcW w:w="1276" w:type="dxa"/>
            <w:shd w:val="clear" w:color="auto" w:fill="C6EFCE"/>
            <w:vAlign w:val="center"/>
          </w:tcPr>
          <w:p w14:paraId="1D84843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Разпоредба в правителствените укази относно изпълнението, мониторинга, контрола и одита на европейските структурни и инвестиционни фондове и фондовете съгласно Регламент (ЕС) 2021/1060 в Унгария, указваща влизане в сила</w:t>
            </w:r>
          </w:p>
        </w:tc>
        <w:tc>
          <w:tcPr>
            <w:tcW w:w="1134" w:type="dxa"/>
            <w:shd w:val="clear" w:color="auto" w:fill="C6EFCE"/>
          </w:tcPr>
          <w:p w14:paraId="7FD0C71B"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07735F8E"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70259117"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C3C1CA2"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592367A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3E4CC57E" w14:textId="65494C8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изменението на правителствените укази, уреждащи изпълнението, мониторинга, контрола и одита на европейските структурни и инвестиционни фондове съгласно Регламент (ЕС) № 1303/2013 и на фондовете съгласно Регламент (ЕС) 2021/1060 в Унгария преди подаването на първото искане за плащане съгласно плана за възстановяване и устойчивост. Измененията гарантират най-малко следното: а) въвеждане на правила и процедури за по-ефективно предотвратяване, разкриване и коригиране на конфликти на интереси; б) че правилата за конфликт на интереси се прилагат за целия персонал, участващ в изпълнението, включително подготвителните действия, контрола (включително за вътрешните и външните оценители в процедурите за възлагане на обществени поръчки) и одита на горепосочените средства, както и за всички бенефициери и крайни получатели, възлагащи органи, изпълнители, подизпълнители, както и консултантски фирми, участващи в подготовката и изпълнението на проектите; в) тези правила относно конфликтите на интереси изрично се отнасят до ситуации, включващи семеен, емоционален живот, политическа или национална принадлежност, икономически интерес или всякакъв друг пряк или косвен личен интерес, който може да бъде възприет като конфликт на интереси в съответствие с член 61 от Регламент (ЕС, Евратом) 2018/1046 и съответното известие на Комисията („Насоки относно избягването и управлението на конфликти на интереси съгласно Финансовия регламент“ [C 121/01]); г) че всички лица по буква б) са задължени да издадат декларация за липсата на конфликт на интереси за всеки отделен случай, ако участват във вземането на решения относно отделни проекти (по-специално решения относно допустимостта, оценката на риска, подбора на проекти, междинните и окончателните процедури за контрол, управлението на нередностите и свързаните с одита решения), които се съхраняват за срок от най-малко пет години; д) че истинността на декларациите за конфликт на интереси се контролира редовно и ефективно и че резултатите от този контрол се съхраняват в продължение на най-малко пет години; е) че е установен редовен и ефективен надзор на персонала на чувствителни длъжности (като например управление на нередностите, контрол и оценка на риска) и че редовната ротация на персонала на тези длъжности се осигурява въз основа на методика, която започва да се прилага не по-късно от 31 март 2023 г.; ж) че оферентите не участват в търгове в процедури за възлагане на обществени поръчки, в случай че бъде установен конфликт на интереси, който е от значение за тях в конкретната оферта.</w:t>
            </w:r>
          </w:p>
        </w:tc>
      </w:tr>
      <w:tr w:rsidR="00CE3BAD" w:rsidRPr="00782BF9" w14:paraId="5EF398B9" w14:textId="77777777">
        <w:trPr>
          <w:gridBefore w:val="1"/>
          <w:wBefore w:w="7" w:type="dxa"/>
          <w:trHeight w:val="2286"/>
        </w:trPr>
        <w:tc>
          <w:tcPr>
            <w:tcW w:w="800" w:type="dxa"/>
            <w:shd w:val="clear" w:color="auto" w:fill="C6EFCE"/>
            <w:vAlign w:val="center"/>
          </w:tcPr>
          <w:p w14:paraId="3B4235F2" w14:textId="7176D3A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219</w:t>
            </w:r>
          </w:p>
        </w:tc>
        <w:tc>
          <w:tcPr>
            <w:tcW w:w="1493" w:type="dxa"/>
            <w:shd w:val="clear" w:color="auto" w:fill="C6EFCE"/>
            <w:vAlign w:val="center"/>
          </w:tcPr>
          <w:p w14:paraId="761C4F3D" w14:textId="2582BF6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C9.R19 Засилени правни разпоредби, определящи мерки за изпълнение, мониторинг, одит и контрол, за да се гарантира правилното използване на подкрепата от Съюза</w:t>
            </w:r>
          </w:p>
        </w:tc>
        <w:tc>
          <w:tcPr>
            <w:tcW w:w="883" w:type="dxa"/>
            <w:shd w:val="clear" w:color="auto" w:fill="C6EFCE"/>
            <w:vAlign w:val="center"/>
          </w:tcPr>
          <w:p w14:paraId="3718DE8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501ED01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Приемане и начало на прилагането на насоки за гарантиране на ефективното предотвратяване, разкриване и коригиране на конфликти на интереси за персонала на всички органи, участващи в изпълнението, контрола и одита на подкрепата от Съюза в Унгария</w:t>
            </w:r>
          </w:p>
        </w:tc>
        <w:tc>
          <w:tcPr>
            <w:tcW w:w="1276" w:type="dxa"/>
            <w:shd w:val="clear" w:color="auto" w:fill="C6EFCE"/>
            <w:vAlign w:val="center"/>
          </w:tcPr>
          <w:p w14:paraId="4922E34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Начало на прилагането на подробни насоки относно конфликта на интереси</w:t>
            </w:r>
          </w:p>
        </w:tc>
        <w:tc>
          <w:tcPr>
            <w:tcW w:w="1134" w:type="dxa"/>
            <w:shd w:val="clear" w:color="auto" w:fill="C6EFCE"/>
            <w:vAlign w:val="center"/>
          </w:tcPr>
          <w:p w14:paraId="5A7595C6"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BFFA03F"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48B3907D"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2BBAF223"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3DE803A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tcPr>
          <w:p w14:paraId="08E1F15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подаването на първото искане за плащане съгласно плана за възстановяване и устойчивост се приемат и започват да се прилагат всеобхватни насоки, гарантиращи ефективното предотвратяване, разкриване и коригиране на ситуации на конфликт на интереси в съответствие с член 61 от Регламент (ЕС, Евратом) 2018/1046 и свързаното с него известие на Комисията („Насоки относно избягването и управлението на конфликти на интереси съгласно Финансовия регламент“ [C 121/01]). В насоките се определят подробни задачи и задължения за всеки от органите, участващи в изпълнението, управлението и контрола на подкрепата от Съюза, като се гарантира ефективното предотвратяване, разкриване, контрол и коригиране на ситуации на конфликт на интереси.</w:t>
            </w:r>
          </w:p>
        </w:tc>
      </w:tr>
      <w:tr w:rsidR="00CE3BAD" w:rsidRPr="00782BF9" w14:paraId="257F8C35" w14:textId="77777777">
        <w:trPr>
          <w:gridBefore w:val="1"/>
          <w:wBefore w:w="7" w:type="dxa"/>
          <w:trHeight w:val="987"/>
        </w:trPr>
        <w:tc>
          <w:tcPr>
            <w:tcW w:w="800" w:type="dxa"/>
            <w:shd w:val="clear" w:color="auto" w:fill="C6EFCE"/>
            <w:vAlign w:val="center"/>
          </w:tcPr>
          <w:p w14:paraId="4236EB6A" w14:textId="4FBA9B6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220</w:t>
            </w:r>
          </w:p>
        </w:tc>
        <w:tc>
          <w:tcPr>
            <w:tcW w:w="1493" w:type="dxa"/>
            <w:shd w:val="clear" w:color="auto" w:fill="C6EFCE"/>
            <w:vAlign w:val="center"/>
          </w:tcPr>
          <w:p w14:paraId="4FF22529" w14:textId="5C9EB193" w:rsidR="00CE3BAD" w:rsidRPr="00782BF9" w:rsidRDefault="006B5475">
            <w:pPr>
              <w:pStyle w:val="P68B1DB1-Normal10"/>
              <w:spacing w:after="0" w:line="240" w:lineRule="auto"/>
              <w:ind w:left="52"/>
              <w:rPr>
                <w:rFonts w:eastAsia="Times New Roman"/>
                <w:noProof/>
                <w:lang w:val="bg-BG"/>
              </w:rPr>
            </w:pPr>
            <w:r w:rsidRPr="00782BF9">
              <w:rPr>
                <w:noProof/>
                <w:lang w:val="bg-BG"/>
              </w:rPr>
              <w:t>C9.R20 Ефективна стратегия за борба с измамите и корупцията за изпълнението, одита и контрола на подкрепата от Съюза</w:t>
            </w:r>
          </w:p>
        </w:tc>
        <w:tc>
          <w:tcPr>
            <w:tcW w:w="883" w:type="dxa"/>
            <w:shd w:val="clear" w:color="auto" w:fill="C6EFCE"/>
            <w:vAlign w:val="center"/>
          </w:tcPr>
          <w:p w14:paraId="1788861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Ключов етап </w:t>
            </w:r>
          </w:p>
        </w:tc>
        <w:tc>
          <w:tcPr>
            <w:tcW w:w="1417" w:type="dxa"/>
            <w:shd w:val="clear" w:color="auto" w:fill="C6EFCE"/>
            <w:vAlign w:val="center"/>
          </w:tcPr>
          <w:p w14:paraId="6B8BEA6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Осигуряване на ефективно предотвратяване, разкриване и коригиране на измами и корупция при изпълнението на подкрепата от Съюза чрез изготвяне и прилагане на ефективна стратегия за борба с измамите и корупцията за подкрепа от Съюза</w:t>
            </w:r>
          </w:p>
        </w:tc>
        <w:tc>
          <w:tcPr>
            <w:tcW w:w="1276" w:type="dxa"/>
            <w:shd w:val="clear" w:color="auto" w:fill="C6EFCE"/>
            <w:vAlign w:val="center"/>
          </w:tcPr>
          <w:p w14:paraId="71AD56E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стратегия за борба с измамите и корупцията с цел подкрепа от Съюза</w:t>
            </w:r>
          </w:p>
        </w:tc>
        <w:tc>
          <w:tcPr>
            <w:tcW w:w="1134" w:type="dxa"/>
            <w:shd w:val="clear" w:color="auto" w:fill="C6EFCE"/>
          </w:tcPr>
          <w:p w14:paraId="21EBA6C6"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6869BF16"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3BD4A1EF"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75519B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46C8CE7C"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tcPr>
          <w:p w14:paraId="20A643B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приема и привежда в сила преди подаването на първото искане за плащане съгласно плана за възстановяване и устойчивост стратегия за борба с измамите и корупцията за цялата подкрепа от Съюза, в която се определят i) подробните роли и отговорности на различните субекти, участващи в изпълнението на всяка финансова подкрепа от Съюза в Унгария по отношение на предотвратяването, разкриването и коригирането на измами, конфликти на интереси и корупция; II) оценката на основните рискове, фактори и практики на измама, конфликт на интереси и корупция; и гарантиране на ефективното предотвратяване, разкриване и коригиране на измамите и корупцията.</w:t>
            </w:r>
          </w:p>
        </w:tc>
      </w:tr>
      <w:tr w:rsidR="00CE3BAD" w:rsidRPr="00782BF9" w14:paraId="1B711372" w14:textId="77777777">
        <w:trPr>
          <w:gridBefore w:val="1"/>
          <w:wBefore w:w="7" w:type="dxa"/>
          <w:trHeight w:val="987"/>
        </w:trPr>
        <w:tc>
          <w:tcPr>
            <w:tcW w:w="800" w:type="dxa"/>
            <w:shd w:val="clear" w:color="auto" w:fill="C6EFCE"/>
            <w:vAlign w:val="center"/>
          </w:tcPr>
          <w:p w14:paraId="29329BDB" w14:textId="3CD2A32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221</w:t>
            </w:r>
          </w:p>
        </w:tc>
        <w:tc>
          <w:tcPr>
            <w:tcW w:w="1493" w:type="dxa"/>
            <w:shd w:val="clear" w:color="auto" w:fill="C6EFCE"/>
            <w:vAlign w:val="center"/>
          </w:tcPr>
          <w:p w14:paraId="1591E8CB" w14:textId="2F475B5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C9.R20 Ефективна стратегия за борба с измамите и корупцията за изпълнението, одита и контрола на подкрепата от Съюза</w:t>
            </w:r>
          </w:p>
        </w:tc>
        <w:tc>
          <w:tcPr>
            <w:tcW w:w="883" w:type="dxa"/>
            <w:shd w:val="clear" w:color="auto" w:fill="C6EFCE"/>
            <w:vAlign w:val="center"/>
          </w:tcPr>
          <w:p w14:paraId="199C6B1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0C640A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Осигуряване на ефективно предотвратяване, разкриване и коригиране на измами и корупция при изпълнението на подкрепата от Съюза чрез изготвяне и прилагане на ефективен план за действие, свързан със стратегията за борба с измамите и корупцията за подкрепа от Съюза</w:t>
            </w:r>
          </w:p>
        </w:tc>
        <w:tc>
          <w:tcPr>
            <w:tcW w:w="1276" w:type="dxa"/>
            <w:shd w:val="clear" w:color="auto" w:fill="C6EFCE"/>
            <w:vAlign w:val="center"/>
          </w:tcPr>
          <w:p w14:paraId="70AB2FF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план за действие, свързан със стратегията за борба с измамите и корупцията с цел подкрепа от Съюза</w:t>
            </w:r>
          </w:p>
        </w:tc>
        <w:tc>
          <w:tcPr>
            <w:tcW w:w="1134" w:type="dxa"/>
            <w:shd w:val="clear" w:color="auto" w:fill="C6EFCE"/>
          </w:tcPr>
          <w:p w14:paraId="725B1241"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2AD8426C"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4578F7FC"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4CCE54B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2294C5F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407BC4F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подаването на първото искане за плащане съгласно плана за възстановяване и устойчивост правителството приема и въвежда в сила план за действие, свързан със стратегията за борба с измамите и корупцията за цялата подкрепа от Съюза, в който се определят подробно ролите и отговорностите на различните субекти, участващи в изпълнението на всяка финансова подкрепа от Съюза в Унгария по отношение на предотвратяването, разкриването и коригирането на измами или корупция.</w:t>
            </w:r>
          </w:p>
          <w:p w14:paraId="673FF399" w14:textId="482A7B3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Планът за действие: I) определяне на ясни и всеобхватни действия, насочени към всяка от целите, определени в стратегията за борба с измамите и корупцията; II) определяне на ясни срокове за изпълнението на всяко от действията; III) възлага всяко от действията на орган, отговорен за ефективното му изпълнение; IV) определяне на конкретни, измерими и свързани с тях показатели за измерване на напредъка в изпълнението на всяко от действията; V) определя подходящи мерки за редовен преглед на действията с оглед на доказателствата.</w:t>
            </w:r>
          </w:p>
        </w:tc>
      </w:tr>
      <w:tr w:rsidR="00CE3BAD" w:rsidRPr="00782BF9" w14:paraId="3FFF6763" w14:textId="77777777">
        <w:trPr>
          <w:gridBefore w:val="1"/>
          <w:wBefore w:w="7" w:type="dxa"/>
          <w:trHeight w:val="987"/>
        </w:trPr>
        <w:tc>
          <w:tcPr>
            <w:tcW w:w="800" w:type="dxa"/>
            <w:shd w:val="clear" w:color="auto" w:fill="C6EFCE"/>
            <w:vAlign w:val="center"/>
          </w:tcPr>
          <w:p w14:paraId="5C03AE3D" w14:textId="2243246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222</w:t>
            </w:r>
          </w:p>
        </w:tc>
        <w:tc>
          <w:tcPr>
            <w:tcW w:w="1493" w:type="dxa"/>
            <w:shd w:val="clear" w:color="auto" w:fill="C6EFCE"/>
            <w:vAlign w:val="center"/>
          </w:tcPr>
          <w:p w14:paraId="14405259" w14:textId="70455872"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C9.R21 Пълно и ефективно използване на системата Arachne за цялата подкрепа от Съюза</w:t>
            </w:r>
          </w:p>
        </w:tc>
        <w:tc>
          <w:tcPr>
            <w:tcW w:w="883" w:type="dxa"/>
            <w:shd w:val="clear" w:color="auto" w:fill="C6EFCE"/>
            <w:vAlign w:val="center"/>
          </w:tcPr>
          <w:p w14:paraId="02A3E14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6406E69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Осигуряване на ефективно предотвратяване, разкриване и коригиране на измами и корупция при изпълнението на подкрепата от Съюза чрез подходящи механизми, гарантиращи ефективното използване на инструмента за оценка на риска Arachne</w:t>
            </w:r>
          </w:p>
        </w:tc>
        <w:tc>
          <w:tcPr>
            <w:tcW w:w="1276" w:type="dxa"/>
            <w:shd w:val="clear" w:color="auto" w:fill="C6EFCE"/>
            <w:vAlign w:val="center"/>
          </w:tcPr>
          <w:p w14:paraId="77C921B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Започване на прилагането на процедури, гарантиращи системното използване на инструмента за оценка на риска Arachne с цел ефективно предотвратяване и разкриване на измами, корупция, конфликт на интереси и други нередности</w:t>
            </w:r>
          </w:p>
        </w:tc>
        <w:tc>
          <w:tcPr>
            <w:tcW w:w="1134" w:type="dxa"/>
            <w:shd w:val="clear" w:color="auto" w:fill="C6EFCE"/>
          </w:tcPr>
          <w:p w14:paraId="7A1F9224"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28366A7D"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4A9FF72E"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75DA7B45"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59B804EB"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03A1992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подаването на първото искане за плащане съгласно плана за възстановяване и устойчивост правителството одобрява и започва да прилага процедури, определящи условията за системно и разширено използване на всички функционалности на инструмента за измерване на риска Arachne при изпълнението на унгарския план за възстановяване и устойчивост и всяка друга подкрепа от бюджета на Съюза (включително за подкрепа от Съюза за бюджетния период 2014—2020 г.) с цел ефективно предотвратяване и разкриване на конфликт на интереси, измами, корупция, двойно финансиране и други нередности.</w:t>
            </w:r>
          </w:p>
          <w:p w14:paraId="697CD7E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Процедурите гарантират, че:</w:t>
            </w:r>
          </w:p>
          <w:p w14:paraId="75730930" w14:textId="10174BB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и) на всеки два месеца съответните национални органи качват в системата Arachne всички данни за полетата с данни, посочени в приложимите регламенти на ЕС, свързани с изпълнението на всяка подкрепа от Съюза в рамките на който и да е бюджетен период. По отношение на европейските структурни и инвестиционни фондове за бюджетния период 2014—2020 г. всички набори от данни (включително данни за крайните получатели, подробни данни за изпълнителите/подизпълнителите и разходите), събрани през съответния период, се качват в системата Arachne (с изключение на това, че качването на данни относно измененията и допълненията на договори, информацията за експертите, участващи в изпълнението на договорите, и информацията за партньорите в консорциума започва от 31 януари 2023 г.); </w:t>
            </w:r>
          </w:p>
          <w:p w14:paraId="59345B9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II) съответните национални органи осигуряват систематични, редовни и ефективни последващи действия във връзка с оценката на риска, генерирана от системата Arachne — включително за предварителната проверка на кандидатите — с цел ефективно предотвратяване и разкриване на конфликти на интереси, измами, корупция, двойно финансиране и други нередности, като тези органи са задължени да вземат предвид тези резултати от оценката на риска и да гарантират, че това е посочено в приложимите национални законодателни актове и е отразено в приложимите работни процеси, насоки (които ще бъдат издадени и въведени до 30 ноември 2022 г.) и процеса на вземане на решения на тези органи; и че</w:t>
            </w:r>
          </w:p>
          <w:p w14:paraId="48AA921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III) съответните одитни органи в Унгария и в съответните служби на Комисията и контролни органи имат пълен достъп до функционалностите на системата Arachne за целите на тяхната оценка на риска и до наборите от данни в системата.</w:t>
            </w:r>
          </w:p>
          <w:p w14:paraId="52B334D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след въвеждането на процедурите — в съответствие с горепосочените изисквания — които са задължителни за всички органи, посочени по-горе, и при условие че те се прилагат на практика от тези органи.</w:t>
            </w:r>
          </w:p>
        </w:tc>
      </w:tr>
      <w:tr w:rsidR="00CE3BAD" w:rsidRPr="00782BF9" w14:paraId="6D001D6E" w14:textId="77777777">
        <w:trPr>
          <w:gridBefore w:val="1"/>
          <w:wBefore w:w="7" w:type="dxa"/>
          <w:trHeight w:val="987"/>
        </w:trPr>
        <w:tc>
          <w:tcPr>
            <w:tcW w:w="800" w:type="dxa"/>
            <w:shd w:val="clear" w:color="auto" w:fill="C6EFCE"/>
            <w:vAlign w:val="center"/>
          </w:tcPr>
          <w:p w14:paraId="442E12C9" w14:textId="3ACDF96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223</w:t>
            </w:r>
          </w:p>
        </w:tc>
        <w:tc>
          <w:tcPr>
            <w:tcW w:w="1493" w:type="dxa"/>
            <w:shd w:val="clear" w:color="auto" w:fill="C6EFCE"/>
            <w:vAlign w:val="center"/>
          </w:tcPr>
          <w:p w14:paraId="36939059" w14:textId="1F999DB3" w:rsidR="00CE3BAD" w:rsidRPr="00782BF9" w:rsidRDefault="006B5475">
            <w:pPr>
              <w:pStyle w:val="P68B1DB1-Normal10"/>
              <w:spacing w:after="0" w:line="240" w:lineRule="auto"/>
              <w:ind w:left="52"/>
              <w:textAlignment w:val="baseline"/>
              <w:rPr>
                <w:rFonts w:ascii="Calibri" w:eastAsia="Calibri" w:hAnsi="Calibri" w:cs="Calibri"/>
                <w:noProof/>
                <w:lang w:val="bg-BG"/>
              </w:rPr>
            </w:pPr>
            <w:r w:rsidRPr="00782BF9">
              <w:rPr>
                <w:noProof/>
                <w:lang w:val="bg-BG"/>
              </w:rPr>
              <w:t>C9.R21 Пълно и ефективно използване на системата Arachne за цялата подкрепа от Съюза</w:t>
            </w:r>
          </w:p>
        </w:tc>
        <w:tc>
          <w:tcPr>
            <w:tcW w:w="883" w:type="dxa"/>
            <w:shd w:val="clear" w:color="auto" w:fill="C6EFCE"/>
            <w:vAlign w:val="center"/>
          </w:tcPr>
          <w:p w14:paraId="56156C5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0EE92BE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Осигуряване на ефективно предотвратяване, разкриване и коригиране на измами и корупция при прилагането на подкрепата от Съюза чрез потвърждаване на адекватността на процедурите за системно и ефективно използване на инструмента за оценка на риска Arachne</w:t>
            </w:r>
          </w:p>
        </w:tc>
        <w:tc>
          <w:tcPr>
            <w:tcW w:w="1276" w:type="dxa"/>
            <w:shd w:val="clear" w:color="auto" w:fill="C6EFCE"/>
            <w:vAlign w:val="center"/>
          </w:tcPr>
          <w:p w14:paraId="22470E6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Окончателен одитен доклад без резерви на EUTAF, потвърждаващ адекватността на процедурите за системно и ефективно използване на инструмента за оценка на риска Arachne и пълнотата на данните, качени в Arachne</w:t>
            </w:r>
          </w:p>
        </w:tc>
        <w:tc>
          <w:tcPr>
            <w:tcW w:w="1134" w:type="dxa"/>
            <w:shd w:val="clear" w:color="auto" w:fill="C6EFCE"/>
          </w:tcPr>
          <w:p w14:paraId="1B0016BB"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6D74B5D5"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3170AB89"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4A7163B0"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7B0A2443"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4F1E099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подаването на първото искане за плащане по плана за възстановяване и устойчивост:</w:t>
            </w:r>
          </w:p>
          <w:p w14:paraId="4E61B074" w14:textId="090881F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а) разработват се подробни и обвързващи процедурни насоки, които започват да се прилагат от всички органи, изброени в ключов етап 222, в които се определят стъпките, които трябва да бъдат предприети, в случай че системата Arachne покаже риск; </w:t>
            </w:r>
          </w:p>
          <w:p w14:paraId="14BB3580" w14:textId="55BA8B0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окончателен одитен доклад с одитно становище без резерви от одитния орган (EUTAF) потвърждава целесъобразността на процедурите, посочени в етап 222, като проверява дали i) процедурите гарантират качването на пълен набор от информация на всеки два месеца; II) данните, определени в приложимото право на Съюза, действително са качени изцяло в Arachne и iii) националният орган, изпълнителните органи/управляващите органи и междинните звена са въвели подходящи механизми, за да гарантират систематичното, редовно и ефективно проследяване на оценките на риска, генерирани от системата Arachne (въз основа на подробни процедурни насоки, с които разполагат).</w:t>
            </w:r>
          </w:p>
        </w:tc>
      </w:tr>
      <w:tr w:rsidR="00CE3BAD" w:rsidRPr="00782BF9" w14:paraId="1D1ECDB4" w14:textId="77777777">
        <w:trPr>
          <w:gridBefore w:val="1"/>
          <w:wBefore w:w="7" w:type="dxa"/>
          <w:trHeight w:val="987"/>
        </w:trPr>
        <w:tc>
          <w:tcPr>
            <w:tcW w:w="800" w:type="dxa"/>
            <w:shd w:val="clear" w:color="auto" w:fill="C6EFCE"/>
            <w:vAlign w:val="center"/>
          </w:tcPr>
          <w:p w14:paraId="3FAAD63B" w14:textId="7A3DAC7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224</w:t>
            </w:r>
          </w:p>
        </w:tc>
        <w:tc>
          <w:tcPr>
            <w:tcW w:w="1493" w:type="dxa"/>
            <w:shd w:val="clear" w:color="auto" w:fill="C6EFCE"/>
            <w:vAlign w:val="center"/>
          </w:tcPr>
          <w:p w14:paraId="17E9744C" w14:textId="047A5F7A" w:rsidR="00CE3BAD" w:rsidRPr="00782BF9" w:rsidRDefault="006B5475">
            <w:pPr>
              <w:pStyle w:val="P68B1DB1-Normal10"/>
              <w:spacing w:after="0" w:line="240" w:lineRule="auto"/>
              <w:ind w:left="52"/>
              <w:rPr>
                <w:rFonts w:eastAsia="Times New Roman"/>
                <w:noProof/>
                <w:lang w:val="bg-BG"/>
              </w:rPr>
            </w:pPr>
            <w:r w:rsidRPr="00782BF9">
              <w:rPr>
                <w:noProof/>
                <w:lang w:val="bg-BG"/>
              </w:rPr>
              <w:t>C9.R22 Създаване на дирекция за вътрешен одит и почтеност с цел засилване на контрола върху конфликтите на интереси при изпълнението на подкрепата от Съюза</w:t>
            </w:r>
          </w:p>
        </w:tc>
        <w:tc>
          <w:tcPr>
            <w:tcW w:w="883" w:type="dxa"/>
            <w:shd w:val="clear" w:color="auto" w:fill="C6EFCE"/>
            <w:vAlign w:val="center"/>
          </w:tcPr>
          <w:p w14:paraId="721F396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32EB4F8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Осигуряване на ефективно предотвратяване, разкриване и коригиране на измами и корупция при изпълнението на подкрепата от Съюза чрез създаването и пълноценното функциониране на нова дирекция „Вътрешен одит и почтеност“ (DIAI)</w:t>
            </w:r>
          </w:p>
        </w:tc>
        <w:tc>
          <w:tcPr>
            <w:tcW w:w="1276" w:type="dxa"/>
            <w:shd w:val="clear" w:color="auto" w:fill="C6EFCE"/>
            <w:vAlign w:val="center"/>
          </w:tcPr>
          <w:p w14:paraId="0856158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Нова дирекция „Вътрешен одит и почтеност“ (DIAI), създадена към министерството, отговарящо за изпълнението на подкрепата от Съюза, разполага с пълен персонал, разполага с необходимия персонал, прилага се правилник за нейните процедури и вътрешни процеси и тя функционира пълноценно</w:t>
            </w:r>
          </w:p>
        </w:tc>
        <w:tc>
          <w:tcPr>
            <w:tcW w:w="1134" w:type="dxa"/>
            <w:shd w:val="clear" w:color="auto" w:fill="C6EFCE"/>
          </w:tcPr>
          <w:p w14:paraId="6985AE91"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4886E38A"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79D4106D"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578729FF"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7762F3F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2A369D95" w14:textId="5AFBF30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 да се повиши ефективността на механизмите за одит и контрол, свързани с подкрепата от Съюза, и ефективното изпълнение на стратегията за борба с измамите и корупцията, определена в етап 220, се създава нова дирекция за вътрешен одит и почтеност (DIAI) посредством закон, който влиза в сила, а DIAI разполага с пълен персонал и е напълно функционална в министерството, отговарящо за изпълнението на подкрепата от Съюза, преди подаването на първото искане за плащане съгласно плана за възстановяване и устойчивост.</w:t>
            </w:r>
          </w:p>
          <w:p w14:paraId="0C481601" w14:textId="0F89DE1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Законът гарантира: I) пълната независимост на DIAI чрез подходящи гаранции (включително по отношение на назначаването на високопоставени служители, продължителността на техния мандат без възможност за освобождаването им и т.н.); II) подборът на персонала на DIAI се основава на обективни критерии, разработени в сътрудничество с Органа по интегритета (етап 160), и че Органът по интегритета упражнява надзор върху процеса на набиране на персонал; III) че DIAI разполага с подходящи правомощия да действа по отношение на всеки национален орган или структура, участващи по какъвто и да е начин в изпълнението на подкрепата от Съюза в Унгария; IV) че при поискване DIAI предоставя незабавно пълен достъп до всички декларации за конфликт на интереси и до всички свои досиета на Органа по интегритета; V) до 30 ноември 2022 г. да бъдат въведени подходящи процедурни правила и насоки (включително относно разпределянето и последователността на случаите в DIAI), с които се уреждат институционалната структура, методите на работа и процедурите на DIAI и на Органа по интегритета, да се предоставят достатъчно гаранции, че той може да упражнява надзор върху спазването на тези процедурни правила и насоки; VI) заделяне на достатъчно ресурси за задачите, които трябва да бъдат изпълнени от DIAI; VII) DIAI редовно контролира (въз основа на извадки и доклади за съмнения) валидността на декларациите за конфликт на интереси на всички съответни служители, участващи в изпълнението, включително подготвителните действия, контрола (включително на вътрешните и външните оценители при процедури за възлагане на обществени поръчки) на всяка подкрепа от Съюза в Унгария, както и на всички крайни получатели, бенефициери, получатели, възлагащи органи, изпълнители, подизпълнители, както и консултантски дружества, участващи в подготовката и изпълнението на проектите (въз основа на двугодишни планове за контрол), и че информацията относно тези проверки се съхранява в продължение на най-малко пет години; VIII) създаване на страница на основната страница на портала palyazat.gov.hu, за да се даде възможност за анонимно докладване на всяко подозрение за конфликт на интереси по отношение на лица, участващи в изпълнението и контрола на подкрепата от Съюза в Унгария; IX) че DIAI своевременно разследва докладваните подозрения; X) че DIAI ежегодно изготвя подробен доклад за работата си до Органа по интегритета.</w:t>
            </w:r>
          </w:p>
          <w:p w14:paraId="4480D2A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когато законът за създаване на DIAI с поне горепосочените изисквания е влязъл в сила, всички позиции на DIAI са запълнени и Органът по интегритета не е изразил опасения по отношение на процеса на набиране на персонал, необходимите процедурни правила на DIAI, както и насоките, уреждащи неговата работа, са влезли в сила, а DIAI функционира пълноценно и е започнала своята работа.</w:t>
            </w:r>
          </w:p>
        </w:tc>
      </w:tr>
      <w:tr w:rsidR="00CE3BAD" w:rsidRPr="00782BF9" w14:paraId="0CE9CCC2" w14:textId="77777777">
        <w:trPr>
          <w:trHeight w:val="987"/>
        </w:trPr>
        <w:tc>
          <w:tcPr>
            <w:tcW w:w="807" w:type="dxa"/>
            <w:gridSpan w:val="2"/>
            <w:shd w:val="clear" w:color="auto" w:fill="C6EFCE"/>
            <w:vAlign w:val="center"/>
          </w:tcPr>
          <w:p w14:paraId="2A912011" w14:textId="11C09F02" w:rsidR="00CE3BAD" w:rsidRPr="00782BF9" w:rsidRDefault="006B5475">
            <w:pPr>
              <w:pStyle w:val="P68B1DB1-Normal10"/>
              <w:spacing w:line="240" w:lineRule="auto"/>
              <w:rPr>
                <w:rFonts w:eastAsia="Times New Roman"/>
                <w:noProof/>
                <w:lang w:val="bg-BG"/>
              </w:rPr>
            </w:pPr>
            <w:r w:rsidRPr="00782BF9">
              <w:rPr>
                <w:noProof/>
                <w:lang w:val="bg-BG"/>
              </w:rPr>
              <w:t>225</w:t>
            </w:r>
          </w:p>
        </w:tc>
        <w:tc>
          <w:tcPr>
            <w:tcW w:w="1493" w:type="dxa"/>
            <w:shd w:val="clear" w:color="auto" w:fill="C6EFCE"/>
            <w:vAlign w:val="center"/>
          </w:tcPr>
          <w:p w14:paraId="1C87FEF9" w14:textId="3F5EED8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В9.R23 Осигуряване на капацитета на EUTAF да изпълнява ефективно задачите си</w:t>
            </w:r>
          </w:p>
        </w:tc>
        <w:tc>
          <w:tcPr>
            <w:tcW w:w="883" w:type="dxa"/>
            <w:shd w:val="clear" w:color="auto" w:fill="C6EFCE"/>
            <w:vAlign w:val="center"/>
          </w:tcPr>
          <w:p w14:paraId="284D6549" w14:textId="77777777" w:rsidR="00CE3BAD" w:rsidRPr="00782BF9" w:rsidRDefault="006B5475">
            <w:pPr>
              <w:pStyle w:val="P68B1DB1-Normal12"/>
              <w:spacing w:line="240" w:lineRule="auto"/>
              <w:rPr>
                <w:rFonts w:eastAsia="Times New Roman"/>
                <w:noProof/>
                <w:lang w:val="bg-BG"/>
              </w:rPr>
            </w:pPr>
            <w:r w:rsidRPr="00782BF9">
              <w:rPr>
                <w:noProof/>
                <w:lang w:val="bg-BG"/>
              </w:rPr>
              <w:t>Ключов етап</w:t>
            </w:r>
          </w:p>
        </w:tc>
        <w:tc>
          <w:tcPr>
            <w:tcW w:w="1417" w:type="dxa"/>
            <w:shd w:val="clear" w:color="auto" w:fill="C6EFCE"/>
            <w:vAlign w:val="center"/>
          </w:tcPr>
          <w:p w14:paraId="3C33584B" w14:textId="02D95A84" w:rsidR="00CE3BAD" w:rsidRPr="00782BF9" w:rsidRDefault="006B5475">
            <w:pPr>
              <w:pStyle w:val="P68B1DB1-Normal12"/>
              <w:spacing w:line="240" w:lineRule="auto"/>
              <w:rPr>
                <w:rFonts w:eastAsia="Times New Roman"/>
                <w:noProof/>
                <w:lang w:val="bg-BG"/>
              </w:rPr>
            </w:pPr>
            <w:r w:rsidRPr="00782BF9">
              <w:rPr>
                <w:noProof/>
                <w:lang w:val="bg-BG"/>
              </w:rPr>
              <w:t>Осигуряване на ефективно предотвратяване, разкриване и коригиране на измами и корупция при изпълнението на подкрепата от Съюза чрез подходящ капацитет за EUTAF</w:t>
            </w:r>
          </w:p>
        </w:tc>
        <w:tc>
          <w:tcPr>
            <w:tcW w:w="1276" w:type="dxa"/>
            <w:shd w:val="clear" w:color="auto" w:fill="C6EFCE"/>
            <w:vAlign w:val="center"/>
          </w:tcPr>
          <w:p w14:paraId="18CF069F" w14:textId="79DD4D87" w:rsidR="00CE3BAD" w:rsidRPr="00782BF9" w:rsidRDefault="006B5475">
            <w:pPr>
              <w:pStyle w:val="P68B1DB1-Normal12"/>
              <w:spacing w:line="240" w:lineRule="auto"/>
              <w:rPr>
                <w:rFonts w:eastAsia="Times New Roman"/>
                <w:noProof/>
                <w:lang w:val="bg-BG"/>
              </w:rPr>
            </w:pPr>
            <w:r w:rsidRPr="00782BF9">
              <w:rPr>
                <w:noProof/>
                <w:lang w:val="bg-BG"/>
              </w:rPr>
              <w:t>Влизане в сила на законодателни изменения за предоставяне на необходимите финансови и човешки ресурси на EUTAF</w:t>
            </w:r>
          </w:p>
        </w:tc>
        <w:tc>
          <w:tcPr>
            <w:tcW w:w="1134" w:type="dxa"/>
            <w:shd w:val="clear" w:color="auto" w:fill="C6EFCE"/>
          </w:tcPr>
          <w:p w14:paraId="593DBF47" w14:textId="77777777" w:rsidR="00CE3BAD" w:rsidRPr="00782BF9" w:rsidRDefault="006B5475">
            <w:pPr>
              <w:pStyle w:val="P68B1DB1-Normal12"/>
              <w:spacing w:line="240" w:lineRule="auto"/>
              <w:rPr>
                <w:rFonts w:eastAsia="Times New Roman"/>
                <w:noProof/>
                <w:lang w:val="bg-BG"/>
              </w:rPr>
            </w:pPr>
            <w:r w:rsidRPr="00782BF9">
              <w:rPr>
                <w:noProof/>
                <w:lang w:val="bg-BG"/>
              </w:rPr>
              <w:t xml:space="preserve"> </w:t>
            </w:r>
          </w:p>
        </w:tc>
        <w:tc>
          <w:tcPr>
            <w:tcW w:w="851" w:type="dxa"/>
            <w:shd w:val="clear" w:color="auto" w:fill="C6EFCE"/>
          </w:tcPr>
          <w:p w14:paraId="30DFE581" w14:textId="77777777" w:rsidR="00CE3BAD" w:rsidRPr="00782BF9" w:rsidRDefault="006B5475">
            <w:pPr>
              <w:pStyle w:val="P68B1DB1-Normal12"/>
              <w:spacing w:line="240" w:lineRule="auto"/>
              <w:rPr>
                <w:rFonts w:eastAsia="Times New Roman"/>
                <w:noProof/>
                <w:lang w:val="bg-BG"/>
              </w:rPr>
            </w:pPr>
            <w:r w:rsidRPr="00782BF9">
              <w:rPr>
                <w:noProof/>
                <w:lang w:val="bg-BG"/>
              </w:rPr>
              <w:t xml:space="preserve"> </w:t>
            </w:r>
          </w:p>
        </w:tc>
        <w:tc>
          <w:tcPr>
            <w:tcW w:w="850" w:type="dxa"/>
            <w:shd w:val="clear" w:color="auto" w:fill="C6EFCE"/>
          </w:tcPr>
          <w:p w14:paraId="1874501F" w14:textId="77777777" w:rsidR="00CE3BAD" w:rsidRPr="00782BF9" w:rsidRDefault="006B5475">
            <w:pPr>
              <w:pStyle w:val="P68B1DB1-Normal12"/>
              <w:spacing w:line="240" w:lineRule="auto"/>
              <w:rPr>
                <w:rFonts w:eastAsia="Times New Roman"/>
                <w:noProof/>
                <w:lang w:val="bg-BG"/>
              </w:rPr>
            </w:pPr>
            <w:r w:rsidRPr="00782BF9">
              <w:rPr>
                <w:noProof/>
                <w:lang w:val="bg-BG"/>
              </w:rPr>
              <w:t xml:space="preserve"> </w:t>
            </w:r>
          </w:p>
        </w:tc>
        <w:tc>
          <w:tcPr>
            <w:tcW w:w="709" w:type="dxa"/>
            <w:shd w:val="clear" w:color="auto" w:fill="C6EFCE"/>
            <w:vAlign w:val="center"/>
          </w:tcPr>
          <w:p w14:paraId="413268F6" w14:textId="15369D8E" w:rsidR="00CE3BAD" w:rsidRPr="00782BF9" w:rsidRDefault="006B5475">
            <w:pPr>
              <w:pStyle w:val="P68B1DB1-Normal12"/>
              <w:spacing w:line="240" w:lineRule="auto"/>
              <w:jc w:val="center"/>
              <w:rPr>
                <w:rFonts w:eastAsia="Times New Roman"/>
                <w:noProof/>
                <w:lang w:val="bg-BG"/>
              </w:rPr>
            </w:pPr>
            <w:r w:rsidRPr="00782BF9">
              <w:rPr>
                <w:noProof/>
                <w:lang w:val="bg-BG"/>
              </w:rPr>
              <w:t>Т4 Г.</w:t>
            </w:r>
          </w:p>
        </w:tc>
        <w:tc>
          <w:tcPr>
            <w:tcW w:w="709" w:type="dxa"/>
            <w:shd w:val="clear" w:color="auto" w:fill="C6EFCE"/>
            <w:vAlign w:val="center"/>
          </w:tcPr>
          <w:p w14:paraId="45F18BF2" w14:textId="6B4712E5" w:rsidR="00CE3BAD" w:rsidRPr="00782BF9" w:rsidRDefault="006B5475">
            <w:pPr>
              <w:pStyle w:val="P68B1DB1-Normal12"/>
              <w:spacing w:line="240" w:lineRule="auto"/>
              <w:jc w:val="center"/>
              <w:rPr>
                <w:rFonts w:eastAsia="Times New Roman"/>
                <w:noProof/>
                <w:lang w:val="bg-BG"/>
              </w:rPr>
            </w:pPr>
            <w:r w:rsidRPr="00782BF9">
              <w:rPr>
                <w:noProof/>
                <w:lang w:val="bg-BG"/>
              </w:rPr>
              <w:t>2022</w:t>
            </w:r>
          </w:p>
        </w:tc>
        <w:tc>
          <w:tcPr>
            <w:tcW w:w="4793" w:type="dxa"/>
            <w:shd w:val="clear" w:color="auto" w:fill="C6EFCE"/>
            <w:vAlign w:val="center"/>
          </w:tcPr>
          <w:p w14:paraId="5E928FF0" w14:textId="2D1F992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подаването на първото искане за плащане съгласно плана за възстановяване и устойчивост влизат в сила законодателни изменения, с които се осигуряват необходимите финансови и човешки ресурси, за да може EUTAF да запази своята независимост и да ѝ даде възможност да изпълнява задачите си ефективно и своевременно. </w:t>
            </w:r>
          </w:p>
          <w:p w14:paraId="37A8DFE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Законодателните изменения гарантират, че: </w:t>
            </w:r>
          </w:p>
          <w:p w14:paraId="64A2621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Годишният бюджет на EUTAF се определя въз основа на първоначално предложение от EUTAF и се изменя само ако това е публично обосновано и не подкопава способността на EUTAF да изпълнява задачите си ефективно и своевременно. </w:t>
            </w:r>
          </w:p>
          <w:p w14:paraId="449A80B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Възнаграждението на ръководителя и на персонала на EUTAF се определя съответно на 70 % от възнаграждението на председателя и на персонала на Държавната сметна палата. </w:t>
            </w:r>
          </w:p>
          <w:p w14:paraId="7648132A" w14:textId="75E7C72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Ръководителят на EUTAF разполага със същите или сходни правомощия за вземане на решения относно основните принципи на политиката и обезщетенията за заплати, както и относно условията на труд като тези, приложими за председателя на Държавната сметна палата. Всяка договореност, която се отклонява от приложимите за Държавната сметна палата, е възможна само след писмено и надлежно обосновано предложение от ръководителя на EUTAF. </w:t>
            </w:r>
          </w:p>
          <w:p w14:paraId="46141EA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Функционалната и професионалната независимост на EUTAF се запазва и персоналът на EUTAF продължава да не търси или приема указания във връзка с одитната си дейност.</w:t>
            </w:r>
            <w:r w:rsidRPr="00782BF9">
              <w:rPr>
                <w:rFonts w:ascii="Calibri" w:hAnsi="Calibri"/>
                <w:noProof/>
                <w:lang w:val="bg-BG"/>
              </w:rPr>
              <w:t xml:space="preserve"> </w:t>
            </w:r>
          </w:p>
        </w:tc>
      </w:tr>
      <w:tr w:rsidR="00CE3BAD" w:rsidRPr="00782BF9" w14:paraId="4D39456A" w14:textId="77777777">
        <w:trPr>
          <w:gridBefore w:val="1"/>
          <w:wBefore w:w="7" w:type="dxa"/>
          <w:trHeight w:val="987"/>
        </w:trPr>
        <w:tc>
          <w:tcPr>
            <w:tcW w:w="800" w:type="dxa"/>
            <w:shd w:val="clear" w:color="auto" w:fill="C6EFCE"/>
            <w:vAlign w:val="center"/>
          </w:tcPr>
          <w:p w14:paraId="41C6353A" w14:textId="33E5681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226</w:t>
            </w:r>
          </w:p>
        </w:tc>
        <w:tc>
          <w:tcPr>
            <w:tcW w:w="1493" w:type="dxa"/>
            <w:shd w:val="clear" w:color="auto" w:fill="C6EFCE"/>
            <w:vAlign w:val="center"/>
          </w:tcPr>
          <w:p w14:paraId="6BF4CCCE" w14:textId="0678EF57" w:rsidR="00CE3BAD" w:rsidRPr="00782BF9" w:rsidRDefault="006B5475">
            <w:pPr>
              <w:pStyle w:val="P68B1DB1-Normal10"/>
              <w:spacing w:after="0" w:line="240" w:lineRule="auto"/>
              <w:ind w:left="52"/>
              <w:rPr>
                <w:rFonts w:eastAsia="Times New Roman"/>
                <w:noProof/>
                <w:lang w:val="bg-BG"/>
              </w:rPr>
            </w:pPr>
            <w:r w:rsidRPr="00782BF9">
              <w:rPr>
                <w:noProof/>
                <w:lang w:val="bg-BG"/>
              </w:rPr>
              <w:t>C9.R24 Засилване на сътрудничеството с OLAF с цел засилване на разкриването на измами, свързани с изпълнението на подкрепата на Съюза</w:t>
            </w:r>
          </w:p>
        </w:tc>
        <w:tc>
          <w:tcPr>
            <w:tcW w:w="883" w:type="dxa"/>
            <w:shd w:val="clear" w:color="auto" w:fill="C6EFCE"/>
            <w:vAlign w:val="center"/>
          </w:tcPr>
          <w:p w14:paraId="2961F9C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Ключов етап </w:t>
            </w:r>
          </w:p>
        </w:tc>
        <w:tc>
          <w:tcPr>
            <w:tcW w:w="1417" w:type="dxa"/>
            <w:shd w:val="clear" w:color="auto" w:fill="C6EFCE"/>
            <w:vAlign w:val="center"/>
          </w:tcPr>
          <w:p w14:paraId="2EB7A2A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Определяне на национален орган, отговарящ за подпомагането на OLAF при проверките на място в Унгария и въвеждането на възможност за налагане на финансови санкции на несътрудничещи икономически субекти</w:t>
            </w:r>
          </w:p>
        </w:tc>
        <w:tc>
          <w:tcPr>
            <w:tcW w:w="1276" w:type="dxa"/>
            <w:shd w:val="clear" w:color="auto" w:fill="C6EFCE"/>
            <w:vAlign w:val="center"/>
          </w:tcPr>
          <w:p w14:paraId="55E7C15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законодателно изменение за определяне на компетентния орган и на законодателно изменение, с което се въвежда възможността за налагане на възпиращи финансови санкции на несътрудничещи икономически субекти</w:t>
            </w:r>
          </w:p>
        </w:tc>
        <w:tc>
          <w:tcPr>
            <w:tcW w:w="1134" w:type="dxa"/>
            <w:shd w:val="clear" w:color="auto" w:fill="C6EFCE"/>
          </w:tcPr>
          <w:p w14:paraId="36F07321"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tcPr>
          <w:p w14:paraId="417D9AFF"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tcPr>
          <w:p w14:paraId="0AAFF298"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1AFA6F6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1490DFD8"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14E82D0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преди подаването на първото искане за плащане по плана за възстановяване и устойчивост:</w:t>
            </w:r>
          </w:p>
          <w:p w14:paraId="2A13101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 на изменение на Закон CXXII от 2010 г. относно Nemzeti Adó- és Vámhivatal за определяне на Националната данъчна и митническа администрация (Nemzeti Adó- és Vámhivatal, NAV) за компетентен национален орган, който да подпомага OLAF при извършването на проверки на място в Унгария и когато икономически оператор, който подлежи на тези проверки, откаже да сътрудничи. Изменението включва описание на процедурата, която трябва да се следва. Тя също така въвежда възможността за присъствие на финансов служител по искане на OLAF. Финансовата охрана дава възможност на OLAF да извършва своите проверки и инспекции на място, по-специално като осигурява правоприлагане с цел защита на доказателствата, както е предвидено в Регламент (ЕС, Евратом) № 883/2013 и Регламент (Евратом, ЕО) № 2185/96. Това включва следните видове интервенции: а) вземане на вещи на място [раздел 36/L от Закон CXXII от 2010 г. за Nemzeti Adó- és Vámhivatal (наричан по-нататък NAVtv.)], б) искане на информация [раздел 36 от NAVtv.], в) проверка на самоличността [раздел 36/A от NAVtv.], г) влизане на място, което не се определя като частно жилище [раздел 36/G от NAVtv.], д) защита на сцената [раздел 36/I (1) от NAVtv.]. В изменението се посочва, че ако за тази помощ е необходимо разрешение от съдебен орган, такова разрешение се подава от националната АФКОС (национална координационна служба за борба с измамите) най-малко 72 часа предварително. Въз основа на такова разрешение OLAF може да поиска предварително присъствието на финансовия служител, ако съществува риск от съпротива срещу планирана проверка и инспекция на място.</w:t>
            </w:r>
          </w:p>
          <w:p w14:paraId="385C6FC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II) на изменение на Закон XXIX от 2004 г. за въвеждане на възпиращ финансов вид санкция, която да се налага, в случай че икономически оператор откаже да сътрудничи на OLAF за целите на проверките и инспекциите на място. </w:t>
            </w:r>
          </w:p>
        </w:tc>
      </w:tr>
      <w:tr w:rsidR="00CE3BAD" w:rsidRPr="00782BF9" w14:paraId="7494A0D5" w14:textId="77777777">
        <w:trPr>
          <w:trHeight w:val="282"/>
        </w:trPr>
        <w:tc>
          <w:tcPr>
            <w:tcW w:w="807" w:type="dxa"/>
            <w:gridSpan w:val="2"/>
            <w:shd w:val="clear" w:color="auto" w:fill="C6EFCE"/>
            <w:vAlign w:val="center"/>
          </w:tcPr>
          <w:p w14:paraId="5A0CACB0" w14:textId="380DB31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227</w:t>
            </w:r>
          </w:p>
        </w:tc>
        <w:tc>
          <w:tcPr>
            <w:tcW w:w="1493" w:type="dxa"/>
            <w:shd w:val="clear" w:color="auto" w:fill="C6EFCE"/>
            <w:vAlign w:val="center"/>
          </w:tcPr>
          <w:p w14:paraId="3349BBEC" w14:textId="5DA9F81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C9.R25 Ефективно изпълнение, контрол и одит на плана за възстановяване и устойчивост и защита на финансовите интереси на Съюза</w:t>
            </w:r>
          </w:p>
        </w:tc>
        <w:tc>
          <w:tcPr>
            <w:tcW w:w="883" w:type="dxa"/>
            <w:shd w:val="clear" w:color="auto" w:fill="C6EFCE"/>
            <w:vAlign w:val="center"/>
          </w:tcPr>
          <w:p w14:paraId="2EBB1A5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5AEF1C2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Система за мониторинг на изпълнението на унгарския план за възстановяване и устойчивост</w:t>
            </w:r>
          </w:p>
        </w:tc>
        <w:tc>
          <w:tcPr>
            <w:tcW w:w="1276" w:type="dxa"/>
            <w:shd w:val="clear" w:color="auto" w:fill="C6EFCE"/>
            <w:vAlign w:val="center"/>
          </w:tcPr>
          <w:p w14:paraId="2217F11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Одитен доклад, потвърждаващ функционалните възможности и функционирането на системата от регистри за плана за възстановяване и устойчивост</w:t>
            </w:r>
          </w:p>
        </w:tc>
        <w:tc>
          <w:tcPr>
            <w:tcW w:w="1134" w:type="dxa"/>
            <w:shd w:val="clear" w:color="auto" w:fill="C6EFCE"/>
            <w:vAlign w:val="center"/>
          </w:tcPr>
          <w:p w14:paraId="0B89C36D"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3F1AD090"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02C00559"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1B99E36D"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79B699FF"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6D3ED4D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подаването на първото искане за плащане съгласно плана за възстановяване и устойчивост се създава система от регистри за мониторинг на изпълнението на плана за възстановяване и устойчивост.</w:t>
            </w:r>
          </w:p>
          <w:p w14:paraId="1E77B95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Системата включва най-малко следните функции:</w:t>
            </w:r>
          </w:p>
          <w:p w14:paraId="720DD68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а) събиране на данни и мониторинг на постигането на ключовите етапи и целите;</w:t>
            </w:r>
          </w:p>
          <w:p w14:paraId="17EB10E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 събира, съхранява и осигурява достъп до данните, изисквани съгласно член 22, параграф 2, буква г), подточки i) — iii) от Регламента за МВУ.</w:t>
            </w:r>
          </w:p>
          <w:p w14:paraId="2FF3E8C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Достъп до тези данни се предоставя на всички съответни национални и европейски органи за целите на одита и контрола. Данните, налични в системата от регистри, се предоставят в системата Arachne на всеки два месеца, за да се получи достъп до пълния списък на показателите за риска по МВУ.</w:t>
            </w:r>
          </w:p>
          <w:p w14:paraId="3B34D32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Окончателният одитен доклад от одитния орган (EUTAF) с одитно становище без резерви потвърждава функционалните възможности на системата от регистри и че системата е напълно функционална и функционира.</w:t>
            </w:r>
          </w:p>
        </w:tc>
      </w:tr>
      <w:tr w:rsidR="00CE3BAD" w:rsidRPr="00782BF9" w14:paraId="1BA7C645" w14:textId="77777777">
        <w:trPr>
          <w:trHeight w:val="987"/>
        </w:trPr>
        <w:tc>
          <w:tcPr>
            <w:tcW w:w="807" w:type="dxa"/>
            <w:gridSpan w:val="2"/>
            <w:shd w:val="clear" w:color="auto" w:fill="C6EFCE"/>
            <w:vAlign w:val="center"/>
          </w:tcPr>
          <w:p w14:paraId="04EAF149" w14:textId="38F6452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228</w:t>
            </w:r>
          </w:p>
        </w:tc>
        <w:tc>
          <w:tcPr>
            <w:tcW w:w="1493" w:type="dxa"/>
            <w:shd w:val="clear" w:color="auto" w:fill="C6EFCE"/>
            <w:vAlign w:val="center"/>
          </w:tcPr>
          <w:p w14:paraId="44373232" w14:textId="53773AF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C9.R25 Ефективно изпълнение, контрол и одит на плана за възстановяване и устойчивост и защита на финансовите интереси на Съюза</w:t>
            </w:r>
          </w:p>
        </w:tc>
        <w:tc>
          <w:tcPr>
            <w:tcW w:w="883" w:type="dxa"/>
            <w:shd w:val="clear" w:color="auto" w:fill="C6EFCE"/>
            <w:vAlign w:val="center"/>
          </w:tcPr>
          <w:p w14:paraId="148D763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11FDE65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Гарантиране на ефективен одит на изпълнението на унгарския план за възстановяване и устойчивост</w:t>
            </w:r>
          </w:p>
        </w:tc>
        <w:tc>
          <w:tcPr>
            <w:tcW w:w="1276" w:type="dxa"/>
            <w:shd w:val="clear" w:color="auto" w:fill="C6EFCE"/>
            <w:vAlign w:val="center"/>
          </w:tcPr>
          <w:p w14:paraId="547A6BD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одитна стратегия на EUTAF за плана за възстановяване и устойчивост</w:t>
            </w:r>
          </w:p>
        </w:tc>
        <w:tc>
          <w:tcPr>
            <w:tcW w:w="1134" w:type="dxa"/>
            <w:shd w:val="clear" w:color="auto" w:fill="C6EFCE"/>
            <w:vAlign w:val="center"/>
          </w:tcPr>
          <w:p w14:paraId="77875DC8"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1F25C396"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06CD03C6"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021671D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3219ED58"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27B3113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Приемане и влизане в сила на одитна стратегия за одитния орган (EUTAF), която гарантира ефективния одит на изпълнението на плана за възстановяване и устойчивост в съответствие с международно приетите одитни стандарти преди подаването на първото искане за плащане съгласно плана за възстановяване и устойчивост. В стратегията се определят най-малко методиката и подходът към оценката на риска, честотата и вида на одитите (като например одити на системи и проекти, документни одити и одити на място), които трябва да се извършват на различните етапи от изпълнението на реформите и инвестициите, изпълнявани съгласно плана за възстановяване и устойчивост, както и надеждността на данните в подкрепа на постигането на ключовите етапи и целите.</w:t>
            </w:r>
          </w:p>
        </w:tc>
      </w:tr>
      <w:tr w:rsidR="00CE3BAD" w:rsidRPr="00782BF9" w14:paraId="389199BE" w14:textId="77777777">
        <w:trPr>
          <w:trHeight w:val="987"/>
        </w:trPr>
        <w:tc>
          <w:tcPr>
            <w:tcW w:w="807" w:type="dxa"/>
            <w:gridSpan w:val="2"/>
            <w:shd w:val="clear" w:color="auto" w:fill="C6EFCE"/>
            <w:vAlign w:val="center"/>
          </w:tcPr>
          <w:p w14:paraId="6C171315" w14:textId="2A0AE3A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229</w:t>
            </w:r>
          </w:p>
        </w:tc>
        <w:tc>
          <w:tcPr>
            <w:tcW w:w="1493" w:type="dxa"/>
            <w:shd w:val="clear" w:color="auto" w:fill="C6EFCE"/>
            <w:vAlign w:val="center"/>
          </w:tcPr>
          <w:p w14:paraId="4C44087C" w14:textId="490B42C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C9.R26 Подобряване на прозрачността и достъпа до публична информация</w:t>
            </w:r>
          </w:p>
        </w:tc>
        <w:tc>
          <w:tcPr>
            <w:tcW w:w="883" w:type="dxa"/>
            <w:shd w:val="clear" w:color="auto" w:fill="C6EFCE"/>
            <w:vAlign w:val="center"/>
          </w:tcPr>
          <w:p w14:paraId="690660A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34B5C35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законодателен акт, гарантиращ правна предвидимост при дела за достъп до обществена информация в съда</w:t>
            </w:r>
          </w:p>
        </w:tc>
        <w:tc>
          <w:tcPr>
            <w:tcW w:w="1276" w:type="dxa"/>
            <w:shd w:val="clear" w:color="auto" w:fill="C6EFCE"/>
            <w:vAlign w:val="center"/>
          </w:tcPr>
          <w:p w14:paraId="3C1321E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Разпоредба в законодателния акт, указваща влизането в сила</w:t>
            </w:r>
          </w:p>
        </w:tc>
        <w:tc>
          <w:tcPr>
            <w:tcW w:w="1134" w:type="dxa"/>
            <w:shd w:val="clear" w:color="auto" w:fill="C6EFCE"/>
            <w:vAlign w:val="center"/>
          </w:tcPr>
          <w:p w14:paraId="45080065"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5F03F0FD"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354112FF"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1C82887F"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56BB2B08"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656EA2E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Влизане в сила на законодателство, предвиждащо извънредна процедура за искания за достъп до публична информация. </w:t>
            </w:r>
          </w:p>
          <w:p w14:paraId="606C5F5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 тази извънредна процедура се определят същите процесуални стъпки и срокове като тези, които се прилагат в случаите на коригиране на печата, както е посочено в Закон CXXX от 2016 г. относно гражданските производства (членове 495—501), с единственото изключение, че срокът за призоваване в раздел 497 (1) от Закон CXXX от 2016 г. е най-малко три работни дни.</w:t>
            </w:r>
          </w:p>
        </w:tc>
      </w:tr>
      <w:tr w:rsidR="00CE3BAD" w:rsidRPr="00782BF9" w14:paraId="1EF0467F" w14:textId="77777777">
        <w:trPr>
          <w:trHeight w:val="987"/>
        </w:trPr>
        <w:tc>
          <w:tcPr>
            <w:tcW w:w="807" w:type="dxa"/>
            <w:gridSpan w:val="2"/>
            <w:shd w:val="clear" w:color="auto" w:fill="C6EFCE"/>
            <w:vAlign w:val="center"/>
          </w:tcPr>
          <w:p w14:paraId="44C3D667" w14:textId="75A183B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230</w:t>
            </w:r>
          </w:p>
        </w:tc>
        <w:tc>
          <w:tcPr>
            <w:tcW w:w="1493" w:type="dxa"/>
            <w:shd w:val="clear" w:color="auto" w:fill="C6EFCE"/>
            <w:vAlign w:val="center"/>
          </w:tcPr>
          <w:p w14:paraId="28051917" w14:textId="605D50C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C9.R26 Подобряване на прозрачността и достъпа до публична информация</w:t>
            </w:r>
          </w:p>
        </w:tc>
        <w:tc>
          <w:tcPr>
            <w:tcW w:w="883" w:type="dxa"/>
            <w:shd w:val="clear" w:color="auto" w:fill="C6EFCE"/>
            <w:vAlign w:val="center"/>
          </w:tcPr>
          <w:p w14:paraId="66A061D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31D76BA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законодателни изменения, гарантиращи по-голяма прозрачност на публичната информация</w:t>
            </w:r>
          </w:p>
        </w:tc>
        <w:tc>
          <w:tcPr>
            <w:tcW w:w="1276" w:type="dxa"/>
            <w:shd w:val="clear" w:color="auto" w:fill="C6EFCE"/>
            <w:vAlign w:val="center"/>
          </w:tcPr>
          <w:p w14:paraId="304A802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Разпоредби в законодателните изменения, указващи влизането им в сила</w:t>
            </w:r>
          </w:p>
        </w:tc>
        <w:tc>
          <w:tcPr>
            <w:tcW w:w="1134" w:type="dxa"/>
            <w:shd w:val="clear" w:color="auto" w:fill="C6EFCE"/>
            <w:vAlign w:val="center"/>
          </w:tcPr>
          <w:p w14:paraId="35230367"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1B4658D7"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74CB0273"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2B29E785"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01A3A8F8"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7E95E8C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Влизане в сила на измененията на Закон CXII от 2011 г. за свободата на информацията и Правителствено постановление № 301/2016 (IX. 30.) за да се установи основното правило, че публичната информация се предоставя безплатно, а таксите за достъп до такава публична информация могат да се прилагат само при изключителни и ясно определени обстоятелства. Във връзка с това измененията: </w:t>
            </w:r>
          </w:p>
          <w:p w14:paraId="58107E2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 Премахване на възможността за начисляване на разходи за труд, свързани с изпълнението на искания за достъп до публична информация;</w:t>
            </w:r>
          </w:p>
          <w:p w14:paraId="0BC46B6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II) Определя публично достъпни единични разходи, свързани с разходите за копиране и предоставяне на исканата информация;</w:t>
            </w:r>
          </w:p>
          <w:p w14:paraId="0959CC2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III) Установява правилото, че начисляваните такси не надвишават действителните разходи, направени от притежателя на поисканата публична информация при изпълнението на това искане за информация във връзка с разходните категории по подточка ii), и само ако тези разходи надвишават 10 000 HUF;</w:t>
            </w:r>
          </w:p>
          <w:p w14:paraId="54F8C2D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IV) Да въведе разумно нисък общ таван от максимум 190 000 HUF за свързаните разходи, които могат да бъдат взети предвид от публичен орган при изпълнението на индивидуално искане за достъп до обществена информация; и че</w:t>
            </w:r>
          </w:p>
          <w:p w14:paraId="66568193" w14:textId="31FFB3A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V) Гарантира, че всяка информация, предоставена при искане за достъп до информация, се предоставя едновременно в централния регистър, посочен в етап 175. (Когато е възможно, това се извършва във формата, приложим за централния регистър, посочен в етап 175. В случаите, когато информацията не може да бъде структурирана в този формат, тя се оповестява публично на уебсайта на централния регистър във формат, позволяващ търсене, който позволява изтеглянето, извличането и повторното използване на данните.)</w:t>
            </w:r>
          </w:p>
          <w:p w14:paraId="1FB5C05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Измененията относно единичните разходи по подточка ii) и метода за изчисляване на таксите, които могат да бъдат начислени за достъп до искания за информация, се основават на предложение на Националния орган за защита на данните и свобода на информацията (NAIH). </w:t>
            </w:r>
          </w:p>
          <w:p w14:paraId="1AA09E9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законодателно изменение, с което се отменя прилагането на разпоредбите на Правителствено постановление 521/2020 (IX. 25.) за отклоняване от някои правила за достъп до информация по време на състояние на опасност и за гарантиране, че не се въвеждат допълнителни законодателни ограничения за достъпа до публична информация.</w:t>
            </w:r>
          </w:p>
        </w:tc>
      </w:tr>
      <w:tr w:rsidR="00CE3BAD" w:rsidRPr="00782BF9" w14:paraId="0CF893AF" w14:textId="77777777">
        <w:trPr>
          <w:trHeight w:val="987"/>
        </w:trPr>
        <w:tc>
          <w:tcPr>
            <w:tcW w:w="807" w:type="dxa"/>
            <w:gridSpan w:val="2"/>
            <w:shd w:val="clear" w:color="auto" w:fill="C6EFCE"/>
            <w:vAlign w:val="center"/>
          </w:tcPr>
          <w:p w14:paraId="3F128889" w14:textId="71450D5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231</w:t>
            </w:r>
          </w:p>
        </w:tc>
        <w:tc>
          <w:tcPr>
            <w:tcW w:w="1493" w:type="dxa"/>
            <w:shd w:val="clear" w:color="auto" w:fill="C6EFCE"/>
            <w:vAlign w:val="center"/>
          </w:tcPr>
          <w:p w14:paraId="450CC44A" w14:textId="5E34B6B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C9.R26 Подобряване на прозрачността и достъпа до публична информация</w:t>
            </w:r>
          </w:p>
        </w:tc>
        <w:tc>
          <w:tcPr>
            <w:tcW w:w="883" w:type="dxa"/>
            <w:shd w:val="clear" w:color="auto" w:fill="C6EFCE"/>
            <w:vAlign w:val="center"/>
          </w:tcPr>
          <w:p w14:paraId="15D3208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5F93A61F" w14:textId="253C209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Доклад на Националния орган за защита на данните и свобода на информацията относно достъпа до обществена информация (1)</w:t>
            </w:r>
          </w:p>
        </w:tc>
        <w:tc>
          <w:tcPr>
            <w:tcW w:w="1276" w:type="dxa"/>
            <w:shd w:val="clear" w:color="auto" w:fill="C6EFCE"/>
            <w:vAlign w:val="center"/>
          </w:tcPr>
          <w:p w14:paraId="3E58CD40" w14:textId="0EBAB0D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доклада на Националния орган за защита на данните и свобода на информацията относно спазването от страна на публичните органи на съответните им задължения по отношение на достъпа до публична информация</w:t>
            </w:r>
          </w:p>
        </w:tc>
        <w:tc>
          <w:tcPr>
            <w:tcW w:w="1134" w:type="dxa"/>
            <w:shd w:val="clear" w:color="auto" w:fill="C6EFCE"/>
            <w:vAlign w:val="center"/>
          </w:tcPr>
          <w:p w14:paraId="6FC6EFDB"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3DEC9C12"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392C2D97"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EDDC588"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4CEFDDC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291C005F" w14:textId="2B1E471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NAIH извършва цялостни и подробни проверки на всички публични органи поне два пъти годишно и при подаване на жалба, за да прецени дали те спазват съответните си изисквания за прозрачност на публичните данни и за предоставяне на достъп до данни от обществен интерес. </w:t>
            </w:r>
          </w:p>
          <w:p w14:paraId="324717A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Констатациите от проверките се излагат в подробен доклад, в който се посочват недостатъците за всеки съответен публичен орган (като се посочва най-малко броят на получените искания за достъп до публични данни, броят на жалбите, свързани със споделянето на публични данни, броят на изпълнените искания и броят на дните, необходими за тяхното изпълнение), как недостатъците се отстраняват и проследяват, както и препоръки за подобряване на достъпа до публични данни. </w:t>
            </w:r>
          </w:p>
          <w:p w14:paraId="6C622A2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Етапната цел се счита за изпълнена, когато шестмесечният доклад, обхващащ втората половина на 2022 г., бъде оповестен публично в своята цялост. </w:t>
            </w:r>
          </w:p>
        </w:tc>
      </w:tr>
      <w:tr w:rsidR="00CE3BAD" w:rsidRPr="00782BF9" w14:paraId="35771A18" w14:textId="77777777">
        <w:trPr>
          <w:trHeight w:val="141"/>
        </w:trPr>
        <w:tc>
          <w:tcPr>
            <w:tcW w:w="807" w:type="dxa"/>
            <w:gridSpan w:val="2"/>
            <w:shd w:val="clear" w:color="auto" w:fill="C6EFCE"/>
            <w:vAlign w:val="center"/>
          </w:tcPr>
          <w:p w14:paraId="37464EF5" w14:textId="4ACD89C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232</w:t>
            </w:r>
          </w:p>
        </w:tc>
        <w:tc>
          <w:tcPr>
            <w:tcW w:w="1493" w:type="dxa"/>
            <w:shd w:val="clear" w:color="auto" w:fill="C6EFCE"/>
            <w:vAlign w:val="center"/>
          </w:tcPr>
          <w:p w14:paraId="1F4FD131" w14:textId="1811D39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C9.R26 Подобряване на прозрачността и достъпа до публична информация</w:t>
            </w:r>
          </w:p>
        </w:tc>
        <w:tc>
          <w:tcPr>
            <w:tcW w:w="883" w:type="dxa"/>
            <w:shd w:val="clear" w:color="auto" w:fill="C6EFCE"/>
            <w:vAlign w:val="center"/>
          </w:tcPr>
          <w:p w14:paraId="5419038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5EA8BA10" w14:textId="4399752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Доклад на Националния орган за защита на данните и свобода на информацията относно достъпа до обществена информация (2)</w:t>
            </w:r>
          </w:p>
        </w:tc>
        <w:tc>
          <w:tcPr>
            <w:tcW w:w="1276" w:type="dxa"/>
            <w:shd w:val="clear" w:color="auto" w:fill="C6EFCE"/>
            <w:vAlign w:val="center"/>
          </w:tcPr>
          <w:p w14:paraId="09F6F339" w14:textId="712F229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доклада на Националния орган за защита на данните и свобода на информацията относно спазването от страна на публичните органи на съответните им задължения по отношение на достъпа до публична информация</w:t>
            </w:r>
          </w:p>
        </w:tc>
        <w:tc>
          <w:tcPr>
            <w:tcW w:w="1134" w:type="dxa"/>
            <w:shd w:val="clear" w:color="auto" w:fill="C6EFCE"/>
            <w:vAlign w:val="center"/>
          </w:tcPr>
          <w:p w14:paraId="61DD8B66"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0B39C304"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41FB26B4"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5B088E5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7249C6B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vAlign w:val="center"/>
          </w:tcPr>
          <w:p w14:paraId="135876C1" w14:textId="384DFBA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NAIH извършва цялостни и подробни проверки на всички публични органи поне два пъти годишно и при подаване на жалба, за да прецени дали те спазват съответните си изисквания за прозрачност на публичните данни и за предоставяне на достъп до данни от обществен интерес. </w:t>
            </w:r>
          </w:p>
          <w:p w14:paraId="43D086B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Констатациите от проверките се излагат в подробен доклад, в който се посочват недостатъците за всеки съответен публичен орган (като се посочва най-малко броят на получените искания за достъп до публични данни, броят на жалбите, свързани със споделянето на публични данни, броят на изпълнените искания и броят на дните, необходими за тяхното изпълнение), как недостатъците се отстраняват и проследяват, както и препоръки за подобряване на достъпа до публични данни. </w:t>
            </w:r>
          </w:p>
          <w:p w14:paraId="31CD8BC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Етапната цел се счита за изпълнена, когато шестмесечният доклад, обхващащ първата половина на 2024 г., е публично достъпен в своята цялост и общо четири доклада са публично достъпни. </w:t>
            </w:r>
          </w:p>
        </w:tc>
      </w:tr>
      <w:tr w:rsidR="00CE3BAD" w:rsidRPr="00782BF9" w14:paraId="2C4AE102" w14:textId="77777777">
        <w:trPr>
          <w:trHeight w:val="987"/>
        </w:trPr>
        <w:tc>
          <w:tcPr>
            <w:tcW w:w="807" w:type="dxa"/>
            <w:gridSpan w:val="2"/>
            <w:shd w:val="clear" w:color="auto" w:fill="C6EFCE"/>
            <w:vAlign w:val="center"/>
          </w:tcPr>
          <w:p w14:paraId="3530E04A" w14:textId="320F450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233</w:t>
            </w:r>
          </w:p>
        </w:tc>
        <w:tc>
          <w:tcPr>
            <w:tcW w:w="1493" w:type="dxa"/>
            <w:shd w:val="clear" w:color="auto" w:fill="C6EFCE"/>
            <w:vAlign w:val="center"/>
          </w:tcPr>
          <w:p w14:paraId="2F193AFE" w14:textId="5AE112E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C9.R26 Подобряване на прозрачността и достъпа до публична информация</w:t>
            </w:r>
          </w:p>
        </w:tc>
        <w:tc>
          <w:tcPr>
            <w:tcW w:w="883" w:type="dxa"/>
            <w:shd w:val="clear" w:color="auto" w:fill="C6EFCE"/>
            <w:vAlign w:val="center"/>
          </w:tcPr>
          <w:p w14:paraId="75F9006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6C908ED5" w14:textId="22BB192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Доклад на Националния орган за защита на данните и свобода на информацията относно достъпа до обществена информация (3)</w:t>
            </w:r>
          </w:p>
        </w:tc>
        <w:tc>
          <w:tcPr>
            <w:tcW w:w="1276" w:type="dxa"/>
            <w:shd w:val="clear" w:color="auto" w:fill="C6EFCE"/>
            <w:vAlign w:val="center"/>
          </w:tcPr>
          <w:p w14:paraId="00C47C7E" w14:textId="7EC0691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докладите на Националния орган за защита на данните и свобода на информацията относно спазването от страна на публичните органи на съответните им задължения по отношение на достъпа до публична информация</w:t>
            </w:r>
          </w:p>
        </w:tc>
        <w:tc>
          <w:tcPr>
            <w:tcW w:w="1134" w:type="dxa"/>
            <w:shd w:val="clear" w:color="auto" w:fill="C6EFCE"/>
            <w:vAlign w:val="center"/>
          </w:tcPr>
          <w:p w14:paraId="0CE88BA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1" w:type="dxa"/>
            <w:shd w:val="clear" w:color="auto" w:fill="C6EFCE"/>
            <w:vAlign w:val="center"/>
          </w:tcPr>
          <w:p w14:paraId="50430B2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0" w:type="dxa"/>
            <w:shd w:val="clear" w:color="auto" w:fill="C6EFCE"/>
            <w:vAlign w:val="center"/>
          </w:tcPr>
          <w:p w14:paraId="3710531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709" w:type="dxa"/>
            <w:shd w:val="clear" w:color="auto" w:fill="C6EFCE"/>
            <w:vAlign w:val="center"/>
          </w:tcPr>
          <w:p w14:paraId="085163A5" w14:textId="20ACD1E1"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356857D5" w14:textId="20FC73CA"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vAlign w:val="center"/>
          </w:tcPr>
          <w:p w14:paraId="7EFE4444" w14:textId="368DAB7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NAIHH извършва цялостни и подробни проверки на всички публични органи поне два пъти годишно и при подаване на жалба, за да прецени дали те спазват съответните си изисквания за прозрачност на публичните данни и за предоставяне на достъп до данни от обществен интерес.</w:t>
            </w:r>
          </w:p>
          <w:p w14:paraId="7B8DE64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Констатациите от проверките се излагат в подробен доклад, в който се посочват недостатъците за всеки съответен публичен орган (като се посочва най-малко броят на получените искания за достъп до публични данни, броят на жалбите, свързани със споделянето на публични данни, броят на изпълнените искания и броят на дните, необходими за тяхното изпълнение), как недостатъците се отстраняват и проследяват, както и препоръки за подобряване на достъпа до публични данни. </w:t>
            </w:r>
          </w:p>
          <w:p w14:paraId="0DC727B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Етапната цел се счита за изпълнена, когато шестмесечният доклад, обхващащ първата половина на 2026 г., е публично достъпен в своята цялост и общо осем доклада са публично достъпни. </w:t>
            </w:r>
          </w:p>
        </w:tc>
      </w:tr>
      <w:tr w:rsidR="00CE3BAD" w:rsidRPr="00782BF9" w14:paraId="58306E01" w14:textId="77777777">
        <w:trPr>
          <w:trHeight w:val="282"/>
        </w:trPr>
        <w:tc>
          <w:tcPr>
            <w:tcW w:w="807" w:type="dxa"/>
            <w:gridSpan w:val="2"/>
            <w:shd w:val="clear" w:color="auto" w:fill="C6EFCE"/>
            <w:vAlign w:val="center"/>
          </w:tcPr>
          <w:p w14:paraId="1BAFF02E" w14:textId="58C0C3B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br w:type="page"/>
              <w:t>234</w:t>
            </w:r>
          </w:p>
        </w:tc>
        <w:tc>
          <w:tcPr>
            <w:tcW w:w="1493" w:type="dxa"/>
            <w:shd w:val="clear" w:color="auto" w:fill="C6EFCE"/>
            <w:vAlign w:val="center"/>
          </w:tcPr>
          <w:p w14:paraId="479DE2A3" w14:textId="546EF5A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883" w:type="dxa"/>
            <w:shd w:val="clear" w:color="auto" w:fill="C6EFCE"/>
            <w:vAlign w:val="center"/>
          </w:tcPr>
          <w:p w14:paraId="0F0C5D7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686A2DF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законодателен акт за определяне на рамката за ефективно включване на всички съответни заинтересовани страни в изпълнението на унгарския план за възстановяване и устойчивост</w:t>
            </w:r>
          </w:p>
        </w:tc>
        <w:tc>
          <w:tcPr>
            <w:tcW w:w="1276" w:type="dxa"/>
            <w:shd w:val="clear" w:color="auto" w:fill="C6EFCE"/>
            <w:vAlign w:val="center"/>
          </w:tcPr>
          <w:p w14:paraId="4C723C1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Разпоредба в законодателния акт, указваща влизане в сила </w:t>
            </w:r>
          </w:p>
        </w:tc>
        <w:tc>
          <w:tcPr>
            <w:tcW w:w="1134" w:type="dxa"/>
            <w:shd w:val="clear" w:color="auto" w:fill="C6EFCE"/>
            <w:vAlign w:val="center"/>
          </w:tcPr>
          <w:p w14:paraId="55790724"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1F13CB6B"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56F8B75"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3345DB33"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19F7093F"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352A87E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законодателен акт за определяне на рамката за консултации със съответните заинтересовани страни по време на изпълнението на унгарския план за възстановяване и устойчивост. Този законодателен акт:</w:t>
            </w:r>
          </w:p>
          <w:p w14:paraId="3BADB1B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 Изготвя обвързваща стратегия, в която се определят задачите и отговорностите за това как основните заинтересовани страни да бъдат включени в изпълнението на мерките от плана за възстановяване и устойчивост;</w:t>
            </w:r>
          </w:p>
          <w:p w14:paraId="1186B349" w14:textId="5B1698E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 Създава мониторингов комитет, съставен от заинтересованите страни и социалните партньори, които са от значение за изпълнението на компонентите на плана за възстановяване и устойчивост. На мониторинговия комитет се възлага да наблюдава непрекъснато ефективното изпълнение на плана за възстановяване и устойчивост. Всички членове на мониторинговия комитет имат едни и същи права и задължения. Най-малко 50 % от членовете на мониторинговия комитет представляват организации на гражданското общество, независими от правителството и публичните органи, които работят в областта на една или повече от следните области: социална политика; образованието; пазар на труда; здравеопазване; околна среда; борба с изменението на климата; енергия; устойчивото развитие; устойчив транспорт; насърчаване на основните права, равното третиране и недискриминацията; борба с корупцията; и прозрачност. Членовете на мониторинговия комитет, представляващи гражданското общество, се избират чрез открит, прозрачен и недискриминационен процес на подбор въз основа на обективни критерии, свързани с експертния опит и заслугите. Всеки от тези членове притежава доказан експертен опит в една или повече от горепосочените области, доказан чрез достатъчно продължителна проверима и подходяща дейност в тези области.</w:t>
            </w:r>
          </w:p>
          <w:p w14:paraId="7798C52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Мониторинговият комитет заседава най-малко два пъти годишно и получава цялата съответна информация, свързана с изпълнението на мерките в плана за възстановяване и устойчивост. Мониторинговият комитет може да отправи препоръки към националния орган относно плана за възстановяване и устойчивост, който трябва да бъде приет с обикновено мнозинство от неговите членове. Националният орган предприема последващи действия във връзка с тези препоръки и докладва на мониторинговия комитет за напредъка на тези последващи действия; </w:t>
            </w:r>
          </w:p>
          <w:p w14:paraId="3ACFFD2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(3) Установяване на задължение за редовни и ефективни консултации със социалните партньори и заинтересованите страни по време на изпълнението на плана за възстановяване и устойчивост.</w:t>
            </w:r>
          </w:p>
        </w:tc>
      </w:tr>
      <w:tr w:rsidR="00CE3BAD" w:rsidRPr="00782BF9" w14:paraId="11DDE6AD" w14:textId="77777777">
        <w:trPr>
          <w:trHeight w:val="987"/>
        </w:trPr>
        <w:tc>
          <w:tcPr>
            <w:tcW w:w="807" w:type="dxa"/>
            <w:gridSpan w:val="2"/>
            <w:shd w:val="clear" w:color="auto" w:fill="C6EFCE"/>
            <w:vAlign w:val="center"/>
          </w:tcPr>
          <w:p w14:paraId="54F90137" w14:textId="278D5E4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235</w:t>
            </w:r>
          </w:p>
        </w:tc>
        <w:tc>
          <w:tcPr>
            <w:tcW w:w="1493" w:type="dxa"/>
            <w:shd w:val="clear" w:color="auto" w:fill="C6EFCE"/>
            <w:vAlign w:val="center"/>
          </w:tcPr>
          <w:p w14:paraId="6FB0878D" w14:textId="14770E6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883" w:type="dxa"/>
            <w:shd w:val="clear" w:color="auto" w:fill="C6EFCE"/>
            <w:vAlign w:val="center"/>
          </w:tcPr>
          <w:p w14:paraId="624D0DA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4110B86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изменения на съответните законодателни актове с цел засилване на използването на обществени консултации и оценки на въздействието в законодателния процес</w:t>
            </w:r>
          </w:p>
        </w:tc>
        <w:tc>
          <w:tcPr>
            <w:tcW w:w="1276" w:type="dxa"/>
            <w:shd w:val="clear" w:color="auto" w:fill="C6EFCE"/>
            <w:vAlign w:val="center"/>
          </w:tcPr>
          <w:p w14:paraId="397FE665" w14:textId="2D0B116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Разпоредби в законодателните изменения, указващи влизането им в сила </w:t>
            </w:r>
          </w:p>
        </w:tc>
        <w:tc>
          <w:tcPr>
            <w:tcW w:w="1134" w:type="dxa"/>
            <w:shd w:val="clear" w:color="auto" w:fill="C6EFCE"/>
            <w:vAlign w:val="center"/>
          </w:tcPr>
          <w:p w14:paraId="7AB67E64"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461BAA07"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2E56B75E"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4FC56F68"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644FD5F3"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2022</w:t>
            </w:r>
          </w:p>
        </w:tc>
        <w:tc>
          <w:tcPr>
            <w:tcW w:w="4793" w:type="dxa"/>
            <w:shd w:val="clear" w:color="auto" w:fill="C6EFCE"/>
            <w:vAlign w:val="center"/>
          </w:tcPr>
          <w:p w14:paraId="65CFBE1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измененията на Закон CXXXI от 2010 г., с които се гарантира, че за всички законодателни актове, приети от правителството (т.е. правителствени укази и министерски укази) или внесени за приемане в парламента от правителството (т.е. законопроекти), се провежда ефективна обществена консултация и се изготвя оценка на въздействието и систематично се оповестяват резюмета от:</w:t>
            </w:r>
          </w:p>
          <w:p w14:paraId="6DBB768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и) установяване на минимален срок за консултации от осем дни (което означава, че проектът на законодателен акт се предоставя за обществена консултация едновременно с изпращането му за вътрешноправителствена консултация);</w:t>
            </w:r>
          </w:p>
          <w:p w14:paraId="4BBE150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II) установяване на минимален срок от пет дни след изтичането на срока за обществена консултация за разглеждане на становищата, получени по време на периода на обществена консултация, по време на който законодателният акт на правителството не се приема от правителството или проектозаконът не се внася в парламента;</w:t>
            </w:r>
          </w:p>
          <w:p w14:paraId="563938D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III) делът на законодателните актове, които могат да попаднат в обхвата на изключенията по раздел 5 от Закон CXXXI от 2010 г., е максимум 10 % и че се гарантира, че използването на тези изключения е надлежно обосновано;</w:t>
            </w:r>
          </w:p>
          <w:p w14:paraId="6C4713C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IV) че резюме на предварителната оценка на въздействието се оповестява публично заедно с проекта на законодателен акт във всички случаи;</w:t>
            </w:r>
          </w:p>
          <w:p w14:paraId="7DCFB56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V) обхватът на изключенията се стеснява чрез премахване на раздел 5 (5) от Закон CXXXI от 2010 г.</w:t>
            </w:r>
          </w:p>
          <w:p w14:paraId="246F1C1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Съответните процедурни правила гарантират също така, че обхватът и съдържанието на оценките на въздействието са в съответствие с методиката, изготвена в рамките на проекта „ÁROP-1.1.10 — A jogszabály előkészítési folyamat racionalizálása“, съфинансиран от Европейския съюз;</w:t>
            </w:r>
          </w:p>
          <w:p w14:paraId="559578F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Влизането в сила на измененията на процедурния правилник на правителството или на друго съответно законодателство гарантира, че:</w:t>
            </w:r>
          </w:p>
          <w:p w14:paraId="624DA68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VI) Правителствената служба за контрол (KEHI) ежегодно проверява спазването на изискванията за обществена консултация съгласно Закон CXXXI от 2010 г., включително прилагането на подточки i) — v). Констатациите от горепосочените проверки се публикуват ежегодно до 31 януари в доклад на уебсайта на Службата.</w:t>
            </w:r>
          </w:p>
          <w:p w14:paraId="57FAF90A" w14:textId="7EE659B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VII) Правителствената служба за контрол последователно налага достатъчно висока глоба на министерството, ръководено от министъра, отговарящ за изготвянето на съответното законодателство, в случай на неспазване на някоя от разпоредбите на CXXXI от 2010 г. Причините за налагане на глобата се оповестяват публично.</w:t>
            </w:r>
          </w:p>
          <w:p w14:paraId="5230C69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Влизането в сила на измененията на съответните законодателни актове гарантира, че: </w:t>
            </w:r>
          </w:p>
          <w:p w14:paraId="343FF736" w14:textId="0F04146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и) допълнителни ресурси са заделени за Службата на Народното събрание, за да се развие капацитетът на Службата да помага на членовете и комисиите на Народното събрание да изготвят ефективни оценки на въздействието и да провеждат ефективни консултации със заинтересованите страни във връзка с предложените от тях законопроекти. Членовете и комисиите на Народното събрание имат възможност да поискат от Службата да изготви оценки на въздействието и да проведе ефективни консултации със заинтересованите страни по законопроекти или изменения, инициирани от тях.</w:t>
            </w:r>
          </w:p>
          <w:p w14:paraId="14FB905C" w14:textId="3EDB59F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II) Централната статистическа служба на Унгария предоставя на Службата на Националното събрание данни, необходими за извършване на оценките на въздействието.</w:t>
            </w:r>
          </w:p>
        </w:tc>
      </w:tr>
      <w:tr w:rsidR="00CE3BAD" w:rsidRPr="00782BF9" w14:paraId="146D754D" w14:textId="77777777">
        <w:trPr>
          <w:trHeight w:val="987"/>
        </w:trPr>
        <w:tc>
          <w:tcPr>
            <w:tcW w:w="807" w:type="dxa"/>
            <w:gridSpan w:val="2"/>
            <w:shd w:val="clear" w:color="auto" w:fill="C6EFCE"/>
            <w:vAlign w:val="center"/>
          </w:tcPr>
          <w:p w14:paraId="08E738BE" w14:textId="650164D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236</w:t>
            </w:r>
          </w:p>
        </w:tc>
        <w:tc>
          <w:tcPr>
            <w:tcW w:w="1493" w:type="dxa"/>
            <w:shd w:val="clear" w:color="auto" w:fill="C6EFCE"/>
            <w:vAlign w:val="center"/>
          </w:tcPr>
          <w:p w14:paraId="297885D9" w14:textId="6107DF3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883" w:type="dxa"/>
            <w:shd w:val="clear" w:color="auto" w:fill="C6EFCE"/>
            <w:vAlign w:val="center"/>
          </w:tcPr>
          <w:p w14:paraId="0FB3B1D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7BBA8767" w14:textId="3BA30A3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Начало на прилагането на нова методология за изготвяне на оценки на въздействието на законодателни предложения</w:t>
            </w:r>
          </w:p>
        </w:tc>
        <w:tc>
          <w:tcPr>
            <w:tcW w:w="1276" w:type="dxa"/>
            <w:shd w:val="clear" w:color="auto" w:fill="C6EFCE"/>
            <w:vAlign w:val="center"/>
          </w:tcPr>
          <w:p w14:paraId="3DE975C0" w14:textId="00EB3CD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Приемане и начало на прилагането на нова методология</w:t>
            </w:r>
          </w:p>
        </w:tc>
        <w:tc>
          <w:tcPr>
            <w:tcW w:w="1134" w:type="dxa"/>
            <w:shd w:val="clear" w:color="auto" w:fill="C6EFCE"/>
            <w:vAlign w:val="center"/>
          </w:tcPr>
          <w:p w14:paraId="40571FFD"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973138F"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7EC24F4E"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7F6954EC"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06EBF00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vAlign w:val="center"/>
          </w:tcPr>
          <w:p w14:paraId="2463ED9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приема и започва да прилага нова методология за систематична оценка на въздействието на всички законодателни предложения, която се основава на i) цялостна оценка на опита с методологията, изготвена в рамките на проекта „ÁROP-1.1.10 — A jogszabály előkészítési folyamat racionalizálása“, съфинансиран от Европейския съюз, като се идентифицират силните и слабите страни на тази методология; II) определяне на най-добрите практики на международните институции и държавите членки по отношение на оценките на регулаторното въздействие; III) описание на преразгледаната методология за оценка на въздействието, която се изготвя с участието на международни организации с широко признат експертен опит в областта на оценката на регулаторното въздействие.</w:t>
            </w:r>
          </w:p>
          <w:p w14:paraId="289FC5A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Всички горепосочени документи се оповестяват публично и са предмет на ефективни консултации със социалните партньори и заинтересованите страни от неправителствения сектор. </w:t>
            </w:r>
          </w:p>
        </w:tc>
      </w:tr>
      <w:tr w:rsidR="00CE3BAD" w:rsidRPr="00782BF9" w14:paraId="078586A1" w14:textId="77777777">
        <w:trPr>
          <w:trHeight w:val="987"/>
        </w:trPr>
        <w:tc>
          <w:tcPr>
            <w:tcW w:w="807" w:type="dxa"/>
            <w:gridSpan w:val="2"/>
            <w:shd w:val="clear" w:color="auto" w:fill="C6EFCE"/>
            <w:vAlign w:val="center"/>
          </w:tcPr>
          <w:p w14:paraId="4639CD36" w14:textId="127B9A5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237</w:t>
            </w:r>
          </w:p>
        </w:tc>
        <w:tc>
          <w:tcPr>
            <w:tcW w:w="1493" w:type="dxa"/>
            <w:shd w:val="clear" w:color="auto" w:fill="C6EFCE"/>
            <w:vAlign w:val="center"/>
          </w:tcPr>
          <w:p w14:paraId="328259F9" w14:textId="128213F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883" w:type="dxa"/>
            <w:shd w:val="clear" w:color="auto" w:fill="C6EFCE"/>
            <w:vAlign w:val="center"/>
          </w:tcPr>
          <w:p w14:paraId="4DC278A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Целеви</w:t>
            </w:r>
          </w:p>
        </w:tc>
        <w:tc>
          <w:tcPr>
            <w:tcW w:w="1417" w:type="dxa"/>
            <w:shd w:val="clear" w:color="auto" w:fill="C6EFCE"/>
            <w:vAlign w:val="center"/>
          </w:tcPr>
          <w:p w14:paraId="389A83C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Засилване на ефективното прилагане на правилата относно задължителната обществена консултация със законодателните актове и системното публикуване на предварителните обобщения на оценките на въздействието (1)</w:t>
            </w:r>
          </w:p>
        </w:tc>
        <w:tc>
          <w:tcPr>
            <w:tcW w:w="1276" w:type="dxa"/>
            <w:shd w:val="clear" w:color="auto" w:fill="C6EFCE"/>
            <w:vAlign w:val="center"/>
          </w:tcPr>
          <w:p w14:paraId="1ABECB47" w14:textId="77777777" w:rsidR="00CE3BAD" w:rsidRPr="00782BF9" w:rsidRDefault="00CE3BAD">
            <w:pPr>
              <w:spacing w:after="0" w:line="240" w:lineRule="auto"/>
              <w:ind w:left="52"/>
              <w:textAlignment w:val="baseline"/>
              <w:rPr>
                <w:rFonts w:eastAsia="Times New Roman"/>
                <w:noProof/>
                <w:sz w:val="18"/>
                <w:lang w:val="bg-BG"/>
              </w:rPr>
            </w:pPr>
          </w:p>
        </w:tc>
        <w:tc>
          <w:tcPr>
            <w:tcW w:w="1134" w:type="dxa"/>
            <w:shd w:val="clear" w:color="auto" w:fill="C6EFCE"/>
            <w:vAlign w:val="center"/>
          </w:tcPr>
          <w:p w14:paraId="2489360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w:t>
            </w:r>
          </w:p>
        </w:tc>
        <w:tc>
          <w:tcPr>
            <w:tcW w:w="851" w:type="dxa"/>
            <w:shd w:val="clear" w:color="auto" w:fill="C6EFCE"/>
            <w:vAlign w:val="center"/>
          </w:tcPr>
          <w:p w14:paraId="3EEAEFE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0</w:t>
            </w:r>
          </w:p>
        </w:tc>
        <w:tc>
          <w:tcPr>
            <w:tcW w:w="850" w:type="dxa"/>
            <w:shd w:val="clear" w:color="auto" w:fill="C6EFCE"/>
            <w:vAlign w:val="center"/>
          </w:tcPr>
          <w:p w14:paraId="56025BB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90</w:t>
            </w:r>
          </w:p>
        </w:tc>
        <w:tc>
          <w:tcPr>
            <w:tcW w:w="709" w:type="dxa"/>
            <w:shd w:val="clear" w:color="auto" w:fill="C6EFCE"/>
            <w:vAlign w:val="center"/>
          </w:tcPr>
          <w:p w14:paraId="338468EC"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79B9F47B"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6DE50F36" w14:textId="3F9A8C5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Най-малко 90 % от всички правителствени укази, министерски укази, приети от правителството, и всички законопроекти, внесени от правителството в парламента между 1 ноември 2022 г. и 31 декември 2022 г., бяха предмет на обществена консултация и всички обобщени оценки на въздействието трябваше да бъдат публикувани в съответствие с разпоредбите на Закон CXXXI от 2010 г. — изменен в съответствие с ключов етап 235 — бяха публикувани. Всичко това се потвърждава от окончателен одитен доклад с одитно становище без резерви от EUTAF.</w:t>
            </w:r>
          </w:p>
        </w:tc>
      </w:tr>
      <w:tr w:rsidR="00CE3BAD" w:rsidRPr="00782BF9" w14:paraId="7D800718" w14:textId="77777777">
        <w:trPr>
          <w:trHeight w:val="987"/>
        </w:trPr>
        <w:tc>
          <w:tcPr>
            <w:tcW w:w="807" w:type="dxa"/>
            <w:gridSpan w:val="2"/>
            <w:shd w:val="clear" w:color="auto" w:fill="C6EFCE"/>
            <w:vAlign w:val="center"/>
          </w:tcPr>
          <w:p w14:paraId="288A7348" w14:textId="2518467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238</w:t>
            </w:r>
          </w:p>
        </w:tc>
        <w:tc>
          <w:tcPr>
            <w:tcW w:w="1493" w:type="dxa"/>
            <w:shd w:val="clear" w:color="auto" w:fill="C6EFCE"/>
            <w:vAlign w:val="center"/>
          </w:tcPr>
          <w:p w14:paraId="62754BC0" w14:textId="13EDF3E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883" w:type="dxa"/>
            <w:shd w:val="clear" w:color="auto" w:fill="C6EFCE"/>
            <w:vAlign w:val="center"/>
          </w:tcPr>
          <w:p w14:paraId="48E7E03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Целеви</w:t>
            </w:r>
          </w:p>
        </w:tc>
        <w:tc>
          <w:tcPr>
            <w:tcW w:w="1417" w:type="dxa"/>
            <w:shd w:val="clear" w:color="auto" w:fill="C6EFCE"/>
            <w:vAlign w:val="center"/>
          </w:tcPr>
          <w:p w14:paraId="029255B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Засилване на ефективното прилагане на правилата относно задължителната обществена консултация със законодателните актове и системното публикуване на предварителните обобщения на оценките на въздействието (2)</w:t>
            </w:r>
          </w:p>
        </w:tc>
        <w:tc>
          <w:tcPr>
            <w:tcW w:w="1276" w:type="dxa"/>
            <w:shd w:val="clear" w:color="auto" w:fill="C6EFCE"/>
            <w:vAlign w:val="center"/>
          </w:tcPr>
          <w:p w14:paraId="42EDE607" w14:textId="77777777" w:rsidR="00CE3BAD" w:rsidRPr="00782BF9" w:rsidRDefault="00CE3BAD">
            <w:pPr>
              <w:spacing w:after="0" w:line="240" w:lineRule="auto"/>
              <w:ind w:left="52"/>
              <w:textAlignment w:val="baseline"/>
              <w:rPr>
                <w:rFonts w:eastAsia="Times New Roman"/>
                <w:noProof/>
                <w:sz w:val="18"/>
                <w:lang w:val="bg-BG"/>
              </w:rPr>
            </w:pPr>
          </w:p>
        </w:tc>
        <w:tc>
          <w:tcPr>
            <w:tcW w:w="1134" w:type="dxa"/>
            <w:shd w:val="clear" w:color="auto" w:fill="C6EFCE"/>
            <w:vAlign w:val="center"/>
          </w:tcPr>
          <w:p w14:paraId="3B9E710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w:t>
            </w:r>
          </w:p>
        </w:tc>
        <w:tc>
          <w:tcPr>
            <w:tcW w:w="851" w:type="dxa"/>
            <w:shd w:val="clear" w:color="auto" w:fill="C6EFCE"/>
            <w:vAlign w:val="center"/>
          </w:tcPr>
          <w:p w14:paraId="4862621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0</w:t>
            </w:r>
          </w:p>
        </w:tc>
        <w:tc>
          <w:tcPr>
            <w:tcW w:w="850" w:type="dxa"/>
            <w:shd w:val="clear" w:color="auto" w:fill="C6EFCE"/>
            <w:vAlign w:val="center"/>
          </w:tcPr>
          <w:p w14:paraId="015A230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90</w:t>
            </w:r>
          </w:p>
        </w:tc>
        <w:tc>
          <w:tcPr>
            <w:tcW w:w="709" w:type="dxa"/>
            <w:shd w:val="clear" w:color="auto" w:fill="C6EFCE"/>
            <w:vAlign w:val="center"/>
          </w:tcPr>
          <w:p w14:paraId="79FEF4D2"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4503135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vAlign w:val="center"/>
          </w:tcPr>
          <w:p w14:paraId="220A3AD7" w14:textId="70981A1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Най-малко 90 % от всички правителствени укази, министерски укази, приети от правителството, и всички законопроекти, внесени от правителството в парламента от 1 януари 2023 г. до 31 декември 2023 г., бяха предмет на обществена консултация и всички обобщени оценки на въздействието трябваше да бъдат публикувани в съответствие с разпоредбите на Закон CXXXI от 2010 г. — изменен в съответствие с ключов етап 235 — бяха публикувани. Всичко това се потвърждава от окончателен одитен доклад с одитно становище без резерви от EUTAF.</w:t>
            </w:r>
          </w:p>
        </w:tc>
      </w:tr>
      <w:tr w:rsidR="00CE3BAD" w:rsidRPr="00782BF9" w14:paraId="20C40747" w14:textId="77777777">
        <w:trPr>
          <w:trHeight w:val="987"/>
        </w:trPr>
        <w:tc>
          <w:tcPr>
            <w:tcW w:w="807" w:type="dxa"/>
            <w:gridSpan w:val="2"/>
            <w:shd w:val="clear" w:color="auto" w:fill="C6EFCE"/>
            <w:vAlign w:val="center"/>
          </w:tcPr>
          <w:p w14:paraId="339D1E61" w14:textId="092F4FA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239</w:t>
            </w:r>
          </w:p>
        </w:tc>
        <w:tc>
          <w:tcPr>
            <w:tcW w:w="1493" w:type="dxa"/>
            <w:shd w:val="clear" w:color="auto" w:fill="C6EFCE"/>
            <w:vAlign w:val="center"/>
          </w:tcPr>
          <w:p w14:paraId="2DA3300D" w14:textId="1234D4F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C9.R25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883" w:type="dxa"/>
            <w:shd w:val="clear" w:color="auto" w:fill="C6EFCE"/>
            <w:vAlign w:val="center"/>
          </w:tcPr>
          <w:p w14:paraId="6877412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Целеви</w:t>
            </w:r>
          </w:p>
        </w:tc>
        <w:tc>
          <w:tcPr>
            <w:tcW w:w="1417" w:type="dxa"/>
            <w:shd w:val="clear" w:color="auto" w:fill="C6EFCE"/>
            <w:vAlign w:val="center"/>
          </w:tcPr>
          <w:p w14:paraId="420A8A1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Засилване на ефективното прилагане на правилата относно задължителната обществена консултация със законодателните актове и системното публикуване на предварителните обобщения на оценките на въздействието (3)</w:t>
            </w:r>
          </w:p>
        </w:tc>
        <w:tc>
          <w:tcPr>
            <w:tcW w:w="1276" w:type="dxa"/>
            <w:shd w:val="clear" w:color="auto" w:fill="C6EFCE"/>
            <w:vAlign w:val="center"/>
          </w:tcPr>
          <w:p w14:paraId="2960A545" w14:textId="77777777" w:rsidR="00CE3BAD" w:rsidRPr="00782BF9" w:rsidRDefault="00CE3BAD">
            <w:pPr>
              <w:spacing w:after="0" w:line="240" w:lineRule="auto"/>
              <w:ind w:left="52"/>
              <w:textAlignment w:val="baseline"/>
              <w:rPr>
                <w:rFonts w:eastAsia="Times New Roman"/>
                <w:noProof/>
                <w:sz w:val="18"/>
                <w:lang w:val="bg-BG"/>
              </w:rPr>
            </w:pPr>
          </w:p>
        </w:tc>
        <w:tc>
          <w:tcPr>
            <w:tcW w:w="1134" w:type="dxa"/>
            <w:shd w:val="clear" w:color="auto" w:fill="C6EFCE"/>
            <w:vAlign w:val="center"/>
          </w:tcPr>
          <w:p w14:paraId="7BB106C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w:t>
            </w:r>
          </w:p>
        </w:tc>
        <w:tc>
          <w:tcPr>
            <w:tcW w:w="851" w:type="dxa"/>
            <w:shd w:val="clear" w:color="auto" w:fill="C6EFCE"/>
            <w:vAlign w:val="center"/>
          </w:tcPr>
          <w:p w14:paraId="515E01C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0</w:t>
            </w:r>
          </w:p>
        </w:tc>
        <w:tc>
          <w:tcPr>
            <w:tcW w:w="850" w:type="dxa"/>
            <w:shd w:val="clear" w:color="auto" w:fill="C6EFCE"/>
            <w:vAlign w:val="center"/>
          </w:tcPr>
          <w:p w14:paraId="1E76B79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90</w:t>
            </w:r>
          </w:p>
        </w:tc>
        <w:tc>
          <w:tcPr>
            <w:tcW w:w="709" w:type="dxa"/>
            <w:shd w:val="clear" w:color="auto" w:fill="C6EFCE"/>
            <w:vAlign w:val="center"/>
          </w:tcPr>
          <w:p w14:paraId="4B6EBBBB"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7224C986"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2025</w:t>
            </w:r>
          </w:p>
        </w:tc>
        <w:tc>
          <w:tcPr>
            <w:tcW w:w="4793" w:type="dxa"/>
            <w:shd w:val="clear" w:color="auto" w:fill="C6EFCE"/>
          </w:tcPr>
          <w:p w14:paraId="08541CA8" w14:textId="0523BFE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Най-малко 90 % от всички правителствени укази, министерски укази, приети от правителството, и всички законопроекти, внесени от правителството в парламента от 1 януари 2024 г. до 31 декември 2024 г., бяха предмет на обществена консултация и всички обобщени оценки на въздействието трябваше да бъдат публикувани в съответствие с разпоредбите на Закон CXXXI от 2010 г. — изменен в съответствие с ключов етап 235 — бяха изготвени в съответствие с методологията, разработена в съответствие с ключов етап 236, и бяха публикувани. Всичко това се потвърждава от окончателен одитен доклад с одитно становище без резерви от EUTAF.</w:t>
            </w:r>
          </w:p>
          <w:p w14:paraId="1DDC1FFE" w14:textId="77777777" w:rsidR="00CE3BAD" w:rsidRPr="00782BF9" w:rsidRDefault="00CE3BAD">
            <w:pPr>
              <w:spacing w:after="0" w:line="240" w:lineRule="auto"/>
              <w:ind w:left="52"/>
              <w:textAlignment w:val="baseline"/>
              <w:rPr>
                <w:rFonts w:eastAsia="Times New Roman"/>
                <w:noProof/>
                <w:sz w:val="18"/>
                <w:lang w:val="bg-BG"/>
              </w:rPr>
            </w:pPr>
          </w:p>
        </w:tc>
      </w:tr>
      <w:tr w:rsidR="00CE3BAD" w:rsidRPr="00782BF9" w14:paraId="2EC65DD8" w14:textId="77777777">
        <w:trPr>
          <w:trHeight w:val="987"/>
        </w:trPr>
        <w:tc>
          <w:tcPr>
            <w:tcW w:w="807" w:type="dxa"/>
            <w:gridSpan w:val="2"/>
            <w:shd w:val="clear" w:color="auto" w:fill="C6EFCE"/>
            <w:vAlign w:val="center"/>
          </w:tcPr>
          <w:p w14:paraId="1B57E485" w14:textId="61B2A5F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240</w:t>
            </w:r>
          </w:p>
        </w:tc>
        <w:tc>
          <w:tcPr>
            <w:tcW w:w="1493" w:type="dxa"/>
            <w:shd w:val="clear" w:color="auto" w:fill="C6EFCE"/>
            <w:vAlign w:val="center"/>
          </w:tcPr>
          <w:p w14:paraId="15E67EDD" w14:textId="747BBA4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883" w:type="dxa"/>
            <w:shd w:val="clear" w:color="auto" w:fill="C6EFCE"/>
            <w:vAlign w:val="center"/>
          </w:tcPr>
          <w:p w14:paraId="469D8EC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Целеви</w:t>
            </w:r>
          </w:p>
        </w:tc>
        <w:tc>
          <w:tcPr>
            <w:tcW w:w="1417" w:type="dxa"/>
            <w:shd w:val="clear" w:color="auto" w:fill="C6EFCE"/>
            <w:vAlign w:val="center"/>
          </w:tcPr>
          <w:p w14:paraId="257AF50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Засилване на ефективното прилагане на правилата относно задължителната обществена консултация със законодателните актове и системното публикуване на предварителните обобщения на оценките на въздействието (4)</w:t>
            </w:r>
          </w:p>
        </w:tc>
        <w:tc>
          <w:tcPr>
            <w:tcW w:w="1276" w:type="dxa"/>
            <w:shd w:val="clear" w:color="auto" w:fill="C6EFCE"/>
            <w:vAlign w:val="center"/>
          </w:tcPr>
          <w:p w14:paraId="79170919" w14:textId="77777777" w:rsidR="00CE3BAD" w:rsidRPr="00782BF9" w:rsidRDefault="00CE3BAD">
            <w:pPr>
              <w:spacing w:after="0" w:line="240" w:lineRule="auto"/>
              <w:ind w:left="52"/>
              <w:textAlignment w:val="baseline"/>
              <w:rPr>
                <w:rFonts w:eastAsia="Times New Roman"/>
                <w:noProof/>
                <w:sz w:val="18"/>
                <w:lang w:val="bg-BG"/>
              </w:rPr>
            </w:pPr>
          </w:p>
        </w:tc>
        <w:tc>
          <w:tcPr>
            <w:tcW w:w="1134" w:type="dxa"/>
            <w:shd w:val="clear" w:color="auto" w:fill="C6EFCE"/>
            <w:vAlign w:val="center"/>
          </w:tcPr>
          <w:p w14:paraId="03C4F21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w:t>
            </w:r>
          </w:p>
        </w:tc>
        <w:tc>
          <w:tcPr>
            <w:tcW w:w="851" w:type="dxa"/>
            <w:shd w:val="clear" w:color="auto" w:fill="C6EFCE"/>
            <w:vAlign w:val="center"/>
          </w:tcPr>
          <w:p w14:paraId="3587B59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0</w:t>
            </w:r>
          </w:p>
        </w:tc>
        <w:tc>
          <w:tcPr>
            <w:tcW w:w="850" w:type="dxa"/>
            <w:shd w:val="clear" w:color="auto" w:fill="C6EFCE"/>
            <w:vAlign w:val="center"/>
          </w:tcPr>
          <w:p w14:paraId="324F4BC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90</w:t>
            </w:r>
          </w:p>
        </w:tc>
        <w:tc>
          <w:tcPr>
            <w:tcW w:w="709" w:type="dxa"/>
            <w:shd w:val="clear" w:color="auto" w:fill="C6EFCE"/>
            <w:vAlign w:val="center"/>
          </w:tcPr>
          <w:p w14:paraId="271A37C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33D9BEA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tcPr>
          <w:p w14:paraId="43730652" w14:textId="6D72AB4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Най-малко 90 % от всички правителствени укази, министерски укази, приети от правителството, и всички законопроекти, внесени от правителството в парламента от 1 януари 2025 г. до 31 декември 2025 г., бяха предмет на обществена консултация и всички обобщени оценки на въздействието трябваше да бъдат публикувани в съответствие с разпоредбите на Закон CXXXI от 2010 г. — изменен в съответствие с ключов етап 235 — бяха изготвени в съответствие с методологията, разработена в съответствие с ключов етап 236, и бяха публикувани. Всичко това се потвърждава от окончателен одитен доклад с одитно становище без резерви от EUTAF.</w:t>
            </w:r>
          </w:p>
        </w:tc>
      </w:tr>
      <w:tr w:rsidR="00CE3BAD" w:rsidRPr="00782BF9" w14:paraId="0CD09E95" w14:textId="77777777">
        <w:trPr>
          <w:gridBefore w:val="1"/>
          <w:wBefore w:w="7" w:type="dxa"/>
          <w:trHeight w:val="987"/>
        </w:trPr>
        <w:tc>
          <w:tcPr>
            <w:tcW w:w="800" w:type="dxa"/>
            <w:shd w:val="clear" w:color="auto" w:fill="C6EFCE"/>
            <w:vAlign w:val="center"/>
          </w:tcPr>
          <w:p w14:paraId="0C04E042" w14:textId="13C6D65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241</w:t>
            </w:r>
          </w:p>
        </w:tc>
        <w:tc>
          <w:tcPr>
            <w:tcW w:w="1493" w:type="dxa"/>
            <w:shd w:val="clear" w:color="auto" w:fill="C6EFCE"/>
            <w:vAlign w:val="center"/>
          </w:tcPr>
          <w:p w14:paraId="321BF6DB" w14:textId="4DF35D1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C9.R28 Подкрепа за основания на данни процес на вземане на решения и законодателен процес с оглед повишаване на ефикасността, прозрачността и намаляване на рисковете от нередности</w:t>
            </w:r>
          </w:p>
        </w:tc>
        <w:tc>
          <w:tcPr>
            <w:tcW w:w="883" w:type="dxa"/>
            <w:shd w:val="clear" w:color="auto" w:fill="C6EFCE"/>
            <w:vAlign w:val="center"/>
          </w:tcPr>
          <w:p w14:paraId="75D9EFD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 </w:t>
            </w:r>
          </w:p>
        </w:tc>
        <w:tc>
          <w:tcPr>
            <w:tcW w:w="1417" w:type="dxa"/>
            <w:shd w:val="clear" w:color="auto" w:fill="C6EFCE"/>
            <w:vAlign w:val="center"/>
          </w:tcPr>
          <w:p w14:paraId="44D32BD4" w14:textId="079E26F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Създаване на платформа за данни и система за моделиране на данни </w:t>
            </w:r>
          </w:p>
        </w:tc>
        <w:tc>
          <w:tcPr>
            <w:tcW w:w="1276" w:type="dxa"/>
            <w:shd w:val="clear" w:color="auto" w:fill="C6EFCE"/>
            <w:vAlign w:val="center"/>
          </w:tcPr>
          <w:p w14:paraId="74452F51" w14:textId="565848C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Създадена е платформа за данни, свързваща бази данни и инструмент за моделиране на данни в съответствие с описанието на системата и платформата за данни, системата и платформата за данни са напълно функционални и оперативни и публичната администрация е започнала да ги използва.</w:t>
            </w:r>
          </w:p>
        </w:tc>
        <w:tc>
          <w:tcPr>
            <w:tcW w:w="1134" w:type="dxa"/>
            <w:shd w:val="clear" w:color="auto" w:fill="C6EFCE"/>
            <w:vAlign w:val="center"/>
          </w:tcPr>
          <w:p w14:paraId="1D35255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1" w:type="dxa"/>
            <w:shd w:val="clear" w:color="auto" w:fill="C6EFCE"/>
            <w:vAlign w:val="center"/>
          </w:tcPr>
          <w:p w14:paraId="1AE58E0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0" w:type="dxa"/>
            <w:shd w:val="clear" w:color="auto" w:fill="C6EFCE"/>
            <w:vAlign w:val="center"/>
          </w:tcPr>
          <w:p w14:paraId="7386C18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709" w:type="dxa"/>
            <w:shd w:val="clear" w:color="auto" w:fill="C6EFCE"/>
            <w:vAlign w:val="center"/>
          </w:tcPr>
          <w:p w14:paraId="13BBB5E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233E58FA" w14:textId="0FF2D810"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vAlign w:val="center"/>
          </w:tcPr>
          <w:p w14:paraId="29E8448A" w14:textId="2F8D3B9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Въз основа на подробно описание на системата, изготвено под координацията на Министерството на правосъдието, се създават платформа за данни и инструмент за моделиране на данни, за да се гарантира свързването на базите данни и да се развива капацитетът за моделиране на данни въз основа на тези данни, за да се даде възможност за по-добро визуализиране и разясняване на последиците от регулирането за обществеността.</w:t>
            </w:r>
          </w:p>
          <w:p w14:paraId="4E9A342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след като след пробно изпитване платформата за данни и инструментът за моделиране на данни са напълно функционални и оперативни и са задействани (а именно публичната администрация е започнала да я използва). </w:t>
            </w:r>
          </w:p>
        </w:tc>
      </w:tr>
      <w:tr w:rsidR="00CE3BAD" w:rsidRPr="00782BF9" w14:paraId="5BF2720C" w14:textId="77777777">
        <w:trPr>
          <w:gridBefore w:val="1"/>
          <w:wBefore w:w="7" w:type="dxa"/>
          <w:trHeight w:val="987"/>
        </w:trPr>
        <w:tc>
          <w:tcPr>
            <w:tcW w:w="800" w:type="dxa"/>
            <w:shd w:val="clear" w:color="auto" w:fill="C6EFCE"/>
            <w:vAlign w:val="center"/>
          </w:tcPr>
          <w:p w14:paraId="3A6073C0" w14:textId="005CEFA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242</w:t>
            </w:r>
          </w:p>
        </w:tc>
        <w:tc>
          <w:tcPr>
            <w:tcW w:w="1493" w:type="dxa"/>
            <w:shd w:val="clear" w:color="auto" w:fill="C6EFCE"/>
            <w:vAlign w:val="center"/>
          </w:tcPr>
          <w:p w14:paraId="21455A61" w14:textId="4BD06EA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C9.R28 Подкрепа за основания на данни процес на вземане на решения и законодателен процес с оглед повишаване на ефикасността, прозрачността и намаляване на рисковете от нередности</w:t>
            </w:r>
          </w:p>
        </w:tc>
        <w:tc>
          <w:tcPr>
            <w:tcW w:w="883" w:type="dxa"/>
            <w:shd w:val="clear" w:color="auto" w:fill="C6EFCE"/>
            <w:vAlign w:val="center"/>
          </w:tcPr>
          <w:p w14:paraId="7CA8F59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Целеви </w:t>
            </w:r>
          </w:p>
        </w:tc>
        <w:tc>
          <w:tcPr>
            <w:tcW w:w="1417" w:type="dxa"/>
            <w:shd w:val="clear" w:color="auto" w:fill="C6EFCE"/>
            <w:vAlign w:val="center"/>
          </w:tcPr>
          <w:p w14:paraId="78E32840" w14:textId="4A289BE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Брой на лицата, преминали курсове за обучение по визуализиране на данни  </w:t>
            </w:r>
          </w:p>
        </w:tc>
        <w:tc>
          <w:tcPr>
            <w:tcW w:w="1276" w:type="dxa"/>
            <w:shd w:val="clear" w:color="auto" w:fill="C6EFCE"/>
            <w:vAlign w:val="center"/>
          </w:tcPr>
          <w:p w14:paraId="3D8C23A6" w14:textId="77777777" w:rsidR="00CE3BAD" w:rsidRPr="00782BF9" w:rsidRDefault="00CE3BAD">
            <w:pPr>
              <w:spacing w:after="0" w:line="240" w:lineRule="auto"/>
              <w:ind w:left="52"/>
              <w:textAlignment w:val="baseline"/>
              <w:rPr>
                <w:rFonts w:eastAsia="Times New Roman"/>
                <w:noProof/>
                <w:sz w:val="18"/>
                <w:lang w:val="bg-BG"/>
              </w:rPr>
            </w:pPr>
          </w:p>
        </w:tc>
        <w:tc>
          <w:tcPr>
            <w:tcW w:w="1134" w:type="dxa"/>
            <w:shd w:val="clear" w:color="auto" w:fill="C6EFCE"/>
            <w:vAlign w:val="center"/>
          </w:tcPr>
          <w:p w14:paraId="44406FA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Брой </w:t>
            </w:r>
          </w:p>
        </w:tc>
        <w:tc>
          <w:tcPr>
            <w:tcW w:w="851" w:type="dxa"/>
            <w:shd w:val="clear" w:color="auto" w:fill="C6EFCE"/>
            <w:vAlign w:val="center"/>
          </w:tcPr>
          <w:p w14:paraId="7707ECB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0 </w:t>
            </w:r>
          </w:p>
        </w:tc>
        <w:tc>
          <w:tcPr>
            <w:tcW w:w="850" w:type="dxa"/>
            <w:shd w:val="clear" w:color="auto" w:fill="C6EFCE"/>
            <w:vAlign w:val="center"/>
          </w:tcPr>
          <w:p w14:paraId="06106E1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200 </w:t>
            </w:r>
          </w:p>
        </w:tc>
        <w:tc>
          <w:tcPr>
            <w:tcW w:w="709" w:type="dxa"/>
            <w:shd w:val="clear" w:color="auto" w:fill="C6EFCE"/>
            <w:vAlign w:val="center"/>
          </w:tcPr>
          <w:p w14:paraId="3F5D1558" w14:textId="7257A2D2"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71089D65" w14:textId="270E374B"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2025</w:t>
            </w:r>
          </w:p>
        </w:tc>
        <w:tc>
          <w:tcPr>
            <w:tcW w:w="4793" w:type="dxa"/>
            <w:shd w:val="clear" w:color="auto" w:fill="C6EFCE"/>
          </w:tcPr>
          <w:p w14:paraId="728B1005" w14:textId="6B225A9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Проведени са курсове за обучение на персонала на ресорните министерства, правителствените институции и представителите на социалните партньори, участващи в стратегическото планиране и подготвителната законодателна работа по инструментите и практиките за визуализиране на данни (във връзка с ключов етап 241), като най-малко 200 участници са завършили обучението, като са получили пълния си сертификат. </w:t>
            </w:r>
          </w:p>
        </w:tc>
      </w:tr>
      <w:tr w:rsidR="00CE3BAD" w:rsidRPr="00782BF9" w14:paraId="318A2705" w14:textId="77777777">
        <w:trPr>
          <w:gridBefore w:val="1"/>
          <w:wBefore w:w="7" w:type="dxa"/>
          <w:trHeight w:val="987"/>
        </w:trPr>
        <w:tc>
          <w:tcPr>
            <w:tcW w:w="800" w:type="dxa"/>
            <w:shd w:val="clear" w:color="auto" w:fill="C6EFCE"/>
            <w:vAlign w:val="center"/>
          </w:tcPr>
          <w:p w14:paraId="7F0E154A" w14:textId="5442581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243</w:t>
            </w:r>
          </w:p>
        </w:tc>
        <w:tc>
          <w:tcPr>
            <w:tcW w:w="1493" w:type="dxa"/>
            <w:shd w:val="clear" w:color="auto" w:fill="C6EFCE"/>
            <w:vAlign w:val="center"/>
          </w:tcPr>
          <w:p w14:paraId="5A53BD67" w14:textId="70B66B6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C9.R29 Разширяване на автоматичната система за вземане на административни решения с оглед повишаване на ефективността, прозрачността и намаляване на рисковете от нередности</w:t>
            </w:r>
          </w:p>
        </w:tc>
        <w:tc>
          <w:tcPr>
            <w:tcW w:w="883" w:type="dxa"/>
            <w:shd w:val="clear" w:color="auto" w:fill="C6EFCE"/>
            <w:vAlign w:val="center"/>
          </w:tcPr>
          <w:p w14:paraId="59960CA1" w14:textId="737ACE7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Целеви</w:t>
            </w:r>
          </w:p>
        </w:tc>
        <w:tc>
          <w:tcPr>
            <w:tcW w:w="1417" w:type="dxa"/>
            <w:shd w:val="clear" w:color="auto" w:fill="C6EFCE"/>
            <w:vAlign w:val="center"/>
          </w:tcPr>
          <w:p w14:paraId="6C6F7220" w14:textId="75E323B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Допълнителни автоматизирани видове случаи, въведени в автоматичната система за административно вземане на решения (AKD)</w:t>
            </w:r>
          </w:p>
        </w:tc>
        <w:tc>
          <w:tcPr>
            <w:tcW w:w="1276" w:type="dxa"/>
            <w:shd w:val="clear" w:color="auto" w:fill="C6EFCE"/>
            <w:vAlign w:val="center"/>
          </w:tcPr>
          <w:p w14:paraId="0A7A163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1134" w:type="dxa"/>
            <w:shd w:val="clear" w:color="auto" w:fill="C6EFCE"/>
            <w:vAlign w:val="center"/>
          </w:tcPr>
          <w:p w14:paraId="08B2CE5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Брой</w:t>
            </w:r>
          </w:p>
        </w:tc>
        <w:tc>
          <w:tcPr>
            <w:tcW w:w="851" w:type="dxa"/>
            <w:shd w:val="clear" w:color="auto" w:fill="C6EFCE"/>
            <w:vAlign w:val="center"/>
          </w:tcPr>
          <w:p w14:paraId="4EA2A65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0 </w:t>
            </w:r>
          </w:p>
        </w:tc>
        <w:tc>
          <w:tcPr>
            <w:tcW w:w="850" w:type="dxa"/>
            <w:shd w:val="clear" w:color="auto" w:fill="C6EFCE"/>
            <w:vAlign w:val="center"/>
          </w:tcPr>
          <w:p w14:paraId="50D41D1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3 </w:t>
            </w:r>
          </w:p>
        </w:tc>
        <w:tc>
          <w:tcPr>
            <w:tcW w:w="709" w:type="dxa"/>
            <w:shd w:val="clear" w:color="auto" w:fill="C6EFCE"/>
            <w:vAlign w:val="center"/>
          </w:tcPr>
          <w:p w14:paraId="746BD742" w14:textId="173BD9CA"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682E071F" w14:textId="304D7144"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2025</w:t>
            </w:r>
          </w:p>
        </w:tc>
        <w:tc>
          <w:tcPr>
            <w:tcW w:w="4793" w:type="dxa"/>
            <w:shd w:val="clear" w:color="auto" w:fill="C6EFCE"/>
            <w:vAlign w:val="center"/>
          </w:tcPr>
          <w:p w14:paraId="48D40BC0" w14:textId="0A5A032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 автоматичната система за вземане на административни решения (AKD) се въвеждат три вида нови случаи с напълно функциониращи функции, които позволяват тяхното напълно автоматизирано обработване (без човешка намеса), за да се намали рискът от корупция. Тези видове случаи се отнасят до следните области:</w:t>
            </w:r>
          </w:p>
          <w:p w14:paraId="09D39647" w14:textId="2532027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администриране на превозни средства;</w:t>
            </w:r>
          </w:p>
          <w:p w14:paraId="1538C6E3" w14:textId="44726D4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ползи от транспорта и паркирането за хората с намалена подвижност; и че </w:t>
            </w:r>
          </w:p>
          <w:p w14:paraId="3E32A292" w14:textId="43E11C1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проверка на доказателството за допустимост за получаване на държавни обезщетения и права]. </w:t>
            </w:r>
          </w:p>
          <w:p w14:paraId="3793860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след като след пробно изпитване модулите за трите вида случаи в AKD са напълно функционални и оперативни и са активирани (а именно обществеността е започнала да ги използва). </w:t>
            </w:r>
          </w:p>
        </w:tc>
      </w:tr>
      <w:tr w:rsidR="00CE3BAD" w:rsidRPr="00782BF9" w14:paraId="4DA5AC69" w14:textId="77777777">
        <w:trPr>
          <w:gridBefore w:val="1"/>
          <w:wBefore w:w="7" w:type="dxa"/>
          <w:trHeight w:val="987"/>
        </w:trPr>
        <w:tc>
          <w:tcPr>
            <w:tcW w:w="800" w:type="dxa"/>
            <w:shd w:val="clear" w:color="auto" w:fill="C6EFCE"/>
            <w:vAlign w:val="center"/>
          </w:tcPr>
          <w:p w14:paraId="1C07A82F" w14:textId="6039876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244</w:t>
            </w:r>
          </w:p>
        </w:tc>
        <w:tc>
          <w:tcPr>
            <w:tcW w:w="1493" w:type="dxa"/>
            <w:shd w:val="clear" w:color="auto" w:fill="C6EFCE"/>
            <w:vAlign w:val="center"/>
          </w:tcPr>
          <w:p w14:paraId="6CCBE3D8" w14:textId="0C9C1FD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C9.R30 Укрепване на националната система за управление на ИТ оборудване с цел повишаване на ефективността на обществените услуги</w:t>
            </w:r>
          </w:p>
        </w:tc>
        <w:tc>
          <w:tcPr>
            <w:tcW w:w="883" w:type="dxa"/>
            <w:shd w:val="clear" w:color="auto" w:fill="C6EFCE"/>
            <w:vAlign w:val="center"/>
          </w:tcPr>
          <w:p w14:paraId="64F0CE53" w14:textId="3B7AC00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052845E9" w14:textId="0DD28CD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Създаване на централна система за управление на ИТ оборудване и лицензиране на софтуер </w:t>
            </w:r>
          </w:p>
        </w:tc>
        <w:tc>
          <w:tcPr>
            <w:tcW w:w="1276" w:type="dxa"/>
            <w:shd w:val="clear" w:color="auto" w:fill="C6EFCE"/>
            <w:vAlign w:val="center"/>
          </w:tcPr>
          <w:p w14:paraId="750EA381" w14:textId="2F2A493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Регистърът и системата за управление на ИТ оборудване и лицензиране на софтуер функционират пълноценно и функционират</w:t>
            </w:r>
          </w:p>
        </w:tc>
        <w:tc>
          <w:tcPr>
            <w:tcW w:w="1134" w:type="dxa"/>
            <w:shd w:val="clear" w:color="auto" w:fill="C6EFCE"/>
            <w:vAlign w:val="center"/>
          </w:tcPr>
          <w:p w14:paraId="4DA37DF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 </w:t>
            </w:r>
          </w:p>
        </w:tc>
        <w:tc>
          <w:tcPr>
            <w:tcW w:w="851" w:type="dxa"/>
            <w:shd w:val="clear" w:color="auto" w:fill="C6EFCE"/>
            <w:vAlign w:val="center"/>
          </w:tcPr>
          <w:p w14:paraId="1424D23D"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63A22FA5"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00AC3B3"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1802A669" w14:textId="676C0C63"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2025</w:t>
            </w:r>
          </w:p>
        </w:tc>
        <w:tc>
          <w:tcPr>
            <w:tcW w:w="4793" w:type="dxa"/>
            <w:shd w:val="clear" w:color="auto" w:fill="C6EFCE"/>
            <w:vAlign w:val="center"/>
          </w:tcPr>
          <w:p w14:paraId="38B6D1B4" w14:textId="028B8E7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 се централна система за управление на ИТ оборудване и лицензиране на софтуер, за да се осигури всеобхватен регистър и наблюдение на жизнения цикъл на ИТ оборудването, както и гъвкава и удобна за клиента централна услуга, за да се гарантира доставката, модернизирането, ремонта, промяната, бракуването, инсталирането и свързаните с това услуги за ИТ оборудване за най-малко 3</w:t>
            </w:r>
            <w:r w:rsidRPr="00782BF9">
              <w:rPr>
                <w:noProof/>
                <w:color w:val="006100"/>
                <w:lang w:val="bg-BG"/>
              </w:rPr>
              <w:t xml:space="preserve"> </w:t>
            </w:r>
            <w:r w:rsidRPr="00782BF9">
              <w:rPr>
                <w:noProof/>
                <w:lang w:val="bg-BG"/>
              </w:rPr>
              <w:t>000 публични органа в областта на здравеопазването, общественото образование и социалните грижи (като детски градини, начални училища, средни училища, социални домове и детски заведения). </w:t>
            </w:r>
          </w:p>
          <w:p w14:paraId="5897ABC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Ключовият етап се счита за изпълнен, когато след пробно изпитване (с участието на крайните ползватели и лицата, отговорни за вземането на бизнес решения) новата система функционира пълноценно и функционира в съответствие с приетия проект на системата и нейните функции се активират (т.е. крайните ползватели са започнали да го използват). </w:t>
            </w:r>
          </w:p>
        </w:tc>
      </w:tr>
      <w:tr w:rsidR="00CE3BAD" w:rsidRPr="00782BF9" w14:paraId="4C5AB8E6" w14:textId="77777777">
        <w:trPr>
          <w:gridBefore w:val="1"/>
          <w:wBefore w:w="7" w:type="dxa"/>
          <w:trHeight w:val="987"/>
        </w:trPr>
        <w:tc>
          <w:tcPr>
            <w:tcW w:w="800" w:type="dxa"/>
            <w:shd w:val="clear" w:color="auto" w:fill="C6EFCE"/>
            <w:vAlign w:val="center"/>
          </w:tcPr>
          <w:p w14:paraId="713CFCDE" w14:textId="2C2FD47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245</w:t>
            </w:r>
          </w:p>
        </w:tc>
        <w:tc>
          <w:tcPr>
            <w:tcW w:w="1493" w:type="dxa"/>
            <w:shd w:val="clear" w:color="auto" w:fill="C6EFCE"/>
            <w:vAlign w:val="center"/>
          </w:tcPr>
          <w:p w14:paraId="4BBDB427" w14:textId="6112DCD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C9.R31 Въвеждане на изисквания за минимално съдържание за целите на корпоративното подоходно облагане</w:t>
            </w:r>
          </w:p>
        </w:tc>
        <w:tc>
          <w:tcPr>
            <w:tcW w:w="883" w:type="dxa"/>
            <w:shd w:val="clear" w:color="auto" w:fill="C6EFCE"/>
            <w:vAlign w:val="center"/>
          </w:tcPr>
          <w:p w14:paraId="47B51E6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0A5C0DE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Независим международен експертен преглед на националните правила за борба с избягването на данъци</w:t>
            </w:r>
          </w:p>
        </w:tc>
        <w:tc>
          <w:tcPr>
            <w:tcW w:w="1276" w:type="dxa"/>
            <w:shd w:val="clear" w:color="auto" w:fill="C6EFCE"/>
            <w:vAlign w:val="center"/>
          </w:tcPr>
          <w:p w14:paraId="088EA23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прегледа</w:t>
            </w:r>
          </w:p>
        </w:tc>
        <w:tc>
          <w:tcPr>
            <w:tcW w:w="1134" w:type="dxa"/>
            <w:shd w:val="clear" w:color="auto" w:fill="C6EFCE"/>
            <w:vAlign w:val="center"/>
          </w:tcPr>
          <w:p w14:paraId="62F15059"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5EA44DA8"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60441260"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2E81DFB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477140F5"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5ED5D50A" w14:textId="161A3D5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Независим международен експертен преглед на националните правила за борба с избягването на данъци се извършва от независим доставчик с широко признат експертен опит по темата за агресивното данъчно планиране. В проучването се анализира актуалното състояние на националните правила за борба с избягването на данъци и се предоставят конкретни предложения и препоръки за подобряване на ефективността на данъчните правила по отношение на фиктивните дружества, като се поставя акцент върху минималните изисквания по отношение на съдържанието за целите на корпоративното подоходно облагане и данъчните последици в случай на неспазване на минималните изисквания за съдържание. Прегледът, включително препоръките, се публикува на интернет страницата на Министерството на финансите.</w:t>
            </w:r>
          </w:p>
        </w:tc>
      </w:tr>
      <w:tr w:rsidR="00CE3BAD" w:rsidRPr="00782BF9" w14:paraId="1E8577C8" w14:textId="77777777">
        <w:trPr>
          <w:gridBefore w:val="1"/>
          <w:wBefore w:w="7" w:type="dxa"/>
          <w:trHeight w:val="987"/>
        </w:trPr>
        <w:tc>
          <w:tcPr>
            <w:tcW w:w="800" w:type="dxa"/>
            <w:shd w:val="clear" w:color="auto" w:fill="C6EFCE"/>
            <w:vAlign w:val="center"/>
          </w:tcPr>
          <w:p w14:paraId="435B9821" w14:textId="32F99DD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246</w:t>
            </w:r>
          </w:p>
        </w:tc>
        <w:tc>
          <w:tcPr>
            <w:tcW w:w="1493" w:type="dxa"/>
            <w:shd w:val="clear" w:color="auto" w:fill="C6EFCE"/>
            <w:vAlign w:val="center"/>
          </w:tcPr>
          <w:p w14:paraId="2BE80E2B" w14:textId="7665803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C9.R31 Въвеждане на изисквания за минимално съдържание за целите на корпоративното подоходно облагане</w:t>
            </w:r>
          </w:p>
        </w:tc>
        <w:tc>
          <w:tcPr>
            <w:tcW w:w="883" w:type="dxa"/>
            <w:shd w:val="clear" w:color="auto" w:fill="C6EFCE"/>
            <w:vAlign w:val="center"/>
          </w:tcPr>
          <w:p w14:paraId="00745BD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0AF4273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законодателство, установяващо минимални изисквания по отношение на съдържанието за целите на корпоративното подоходно облагане</w:t>
            </w:r>
          </w:p>
        </w:tc>
        <w:tc>
          <w:tcPr>
            <w:tcW w:w="1276" w:type="dxa"/>
            <w:shd w:val="clear" w:color="auto" w:fill="C6EFCE"/>
            <w:vAlign w:val="center"/>
          </w:tcPr>
          <w:p w14:paraId="53922AB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Законова разпоредба, указваща влизането в сила</w:t>
            </w:r>
          </w:p>
        </w:tc>
        <w:tc>
          <w:tcPr>
            <w:tcW w:w="1134" w:type="dxa"/>
            <w:shd w:val="clear" w:color="auto" w:fill="C6EFCE"/>
            <w:vAlign w:val="center"/>
          </w:tcPr>
          <w:p w14:paraId="297DDF33"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5CE87D8B"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E252B6A"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52FF6D4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2C0F381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5EE7D69F" w14:textId="23973922" w:rsidR="00CE3BAD" w:rsidRPr="00782BF9" w:rsidRDefault="006B5475">
            <w:pPr>
              <w:pStyle w:val="P68B1DB1-Normal10"/>
              <w:spacing w:after="0" w:line="240" w:lineRule="auto"/>
              <w:ind w:left="52"/>
              <w:jc w:val="both"/>
              <w:textAlignment w:val="baseline"/>
              <w:rPr>
                <w:rFonts w:eastAsia="Times New Roman"/>
                <w:noProof/>
                <w:lang w:val="bg-BG"/>
              </w:rPr>
            </w:pPr>
            <w:r w:rsidRPr="00782BF9">
              <w:rPr>
                <w:noProof/>
                <w:lang w:val="bg-BG"/>
              </w:rPr>
              <w:t xml:space="preserve">Законодателството, с което се установяват минимални изисквания по отношение на съдържанието за целите на корпоративното подоходно облагане, влиза в сила. Законодателството се изготвя въз основа на констатациите и препоръките от независимия експертен преглед, посочен в етап 245, и намалява рисковете, установени в посочения преглед. Преди приемането на законодателството от правителството концепцията за изисквания за минимално съдържание се публикува на интернет страницата на Министерството на финансите, а Министерството на финансите организира обществени консултации (включително със заинтересовани страни като данъчни специалисти и търговски камари) относно въвеждането на нови минимални изисквания за съдържание. </w:t>
            </w:r>
          </w:p>
          <w:p w14:paraId="7F216CCC" w14:textId="77777777" w:rsidR="00CE3BAD" w:rsidRPr="00782BF9" w:rsidRDefault="00CE3BAD">
            <w:pPr>
              <w:spacing w:after="0" w:line="240" w:lineRule="auto"/>
              <w:ind w:left="52"/>
              <w:textAlignment w:val="baseline"/>
              <w:rPr>
                <w:rFonts w:eastAsia="Times New Roman"/>
                <w:noProof/>
                <w:sz w:val="18"/>
                <w:lang w:val="bg-BG"/>
              </w:rPr>
            </w:pPr>
          </w:p>
          <w:p w14:paraId="4057C28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Приетото законодателство включва най-малко следните елементи:</w:t>
            </w:r>
          </w:p>
          <w:p w14:paraId="01CF5931" w14:textId="77777777" w:rsidR="00CE3BAD" w:rsidRPr="00782BF9" w:rsidRDefault="006B5475">
            <w:pPr>
              <w:pStyle w:val="P68B1DB1-ListParagraph11"/>
              <w:numPr>
                <w:ilvl w:val="0"/>
                <w:numId w:val="12"/>
              </w:numPr>
              <w:spacing w:after="0" w:line="240" w:lineRule="auto"/>
              <w:ind w:left="412" w:hanging="322"/>
              <w:textAlignment w:val="baseline"/>
              <w:rPr>
                <w:rFonts w:eastAsia="Times New Roman"/>
                <w:noProof/>
                <w:lang w:val="bg-BG"/>
              </w:rPr>
            </w:pPr>
            <w:r w:rsidRPr="00782BF9">
              <w:rPr>
                <w:noProof/>
                <w:lang w:val="bg-BG"/>
              </w:rPr>
              <w:t>определяне на обхвата на дружествата с голяма експозиция на трансгранични пасивни доходи (критерии на възела);</w:t>
            </w:r>
          </w:p>
          <w:p w14:paraId="0A9D6899" w14:textId="30D2BD37" w:rsidR="00CE3BAD" w:rsidRPr="00782BF9" w:rsidRDefault="006B5475">
            <w:pPr>
              <w:pStyle w:val="P68B1DB1-ListParagraph11"/>
              <w:numPr>
                <w:ilvl w:val="0"/>
                <w:numId w:val="12"/>
              </w:numPr>
              <w:spacing w:after="0" w:line="240" w:lineRule="auto"/>
              <w:ind w:left="412" w:hanging="322"/>
              <w:textAlignment w:val="baseline"/>
              <w:rPr>
                <w:rFonts w:eastAsia="Times New Roman"/>
                <w:noProof/>
                <w:lang w:val="bg-BG"/>
              </w:rPr>
            </w:pPr>
            <w:r w:rsidRPr="00782BF9">
              <w:rPr>
                <w:noProof/>
                <w:lang w:val="bg-BG"/>
              </w:rPr>
              <w:t>определяне на минимални изисквания по отношение на съдържанието (включително — но не само — банкова сметка и място на провеждане); и че</w:t>
            </w:r>
          </w:p>
          <w:p w14:paraId="63FA907A" w14:textId="21FBB717" w:rsidR="00CE3BAD" w:rsidRPr="00782BF9" w:rsidRDefault="006B5475">
            <w:pPr>
              <w:pStyle w:val="P68B1DB1-ListParagraph11"/>
              <w:numPr>
                <w:ilvl w:val="0"/>
                <w:numId w:val="12"/>
              </w:numPr>
              <w:spacing w:after="0" w:line="240" w:lineRule="auto"/>
              <w:ind w:left="412" w:hanging="322"/>
              <w:textAlignment w:val="baseline"/>
              <w:rPr>
                <w:rFonts w:eastAsia="Times New Roman"/>
                <w:noProof/>
                <w:lang w:val="bg-BG"/>
              </w:rPr>
            </w:pPr>
            <w:r w:rsidRPr="00782BF9">
              <w:rPr>
                <w:noProof/>
                <w:lang w:val="bg-BG"/>
              </w:rPr>
              <w:t>установяване на данъчни последици в случай на неспазване на минималните изисквания по същество.</w:t>
            </w:r>
          </w:p>
        </w:tc>
      </w:tr>
      <w:tr w:rsidR="00CE3BAD" w:rsidRPr="00782BF9" w14:paraId="6B850002" w14:textId="77777777">
        <w:trPr>
          <w:gridBefore w:val="1"/>
          <w:wBefore w:w="7" w:type="dxa"/>
          <w:trHeight w:val="987"/>
        </w:trPr>
        <w:tc>
          <w:tcPr>
            <w:tcW w:w="800" w:type="dxa"/>
            <w:shd w:val="clear" w:color="auto" w:fill="C6EFCE"/>
            <w:vAlign w:val="center"/>
          </w:tcPr>
          <w:p w14:paraId="0150F6DF" w14:textId="6B981F9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247</w:t>
            </w:r>
          </w:p>
        </w:tc>
        <w:tc>
          <w:tcPr>
            <w:tcW w:w="1493" w:type="dxa"/>
            <w:shd w:val="clear" w:color="auto" w:fill="C6EFCE"/>
            <w:vAlign w:val="center"/>
          </w:tcPr>
          <w:p w14:paraId="1A1B79DE" w14:textId="0C55B64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C9.R32 Укрепване на правилата за трансферно ценообразуване</w:t>
            </w:r>
          </w:p>
        </w:tc>
        <w:tc>
          <w:tcPr>
            <w:tcW w:w="883" w:type="dxa"/>
            <w:shd w:val="clear" w:color="auto" w:fill="C6EFCE"/>
            <w:vAlign w:val="center"/>
          </w:tcPr>
          <w:p w14:paraId="2B1EFD9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5EF4255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законодателни изменения за укрепване на правилата за трансферно ценообразуване</w:t>
            </w:r>
          </w:p>
        </w:tc>
        <w:tc>
          <w:tcPr>
            <w:tcW w:w="1276" w:type="dxa"/>
            <w:shd w:val="clear" w:color="auto" w:fill="C6EFCE"/>
            <w:vAlign w:val="center"/>
          </w:tcPr>
          <w:p w14:paraId="5749971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Разпоредби в законодателните изменения, указващи влизането им в сила</w:t>
            </w:r>
          </w:p>
        </w:tc>
        <w:tc>
          <w:tcPr>
            <w:tcW w:w="1134" w:type="dxa"/>
            <w:shd w:val="clear" w:color="auto" w:fill="C6EFCE"/>
            <w:vAlign w:val="center"/>
          </w:tcPr>
          <w:p w14:paraId="3D364817"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678620F"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3356D322"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24EE9898"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7060BF81"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4A9FB239" w14:textId="54F664E9" w:rsidR="00CE3BAD" w:rsidRPr="00782BF9" w:rsidRDefault="006B5475">
            <w:pPr>
              <w:pStyle w:val="P68B1DB1-Normal10"/>
              <w:spacing w:after="0" w:line="240" w:lineRule="auto"/>
              <w:ind w:left="52"/>
              <w:jc w:val="both"/>
              <w:textAlignment w:val="baseline"/>
              <w:rPr>
                <w:rFonts w:ascii="Times New Roman" w:eastAsia="Times New Roman" w:hAnsi="Times New Roman" w:cs="Times New Roman"/>
                <w:noProof/>
                <w:lang w:val="bg-BG"/>
              </w:rPr>
            </w:pPr>
            <w:r w:rsidRPr="00782BF9">
              <w:rPr>
                <w:noProof/>
                <w:lang w:val="bg-BG"/>
              </w:rPr>
              <w:t>Законодателните изменения, с които се въвеждат нови задължения за отчитане на трансферното ценообразуване, влизат в сила. При законодателните изменения се вземат предвид резултатите от обществените консултации, организирани от Министерството на финансите. Приетото законодателство включва подробни изисквания за новото докладване на данни за трансферното ценообразуване (като например обхват, подлежащи на докладване данни, метод). Приложното поле на законодателните разпоредби обхваща сделките между</w:t>
            </w:r>
            <w:r w:rsidRPr="00782BF9">
              <w:rPr>
                <w:rFonts w:ascii="Times New Roman" w:hAnsi="Times New Roman"/>
                <w:noProof/>
                <w:lang w:val="bg-BG"/>
              </w:rPr>
              <w:t xml:space="preserve"> </w:t>
            </w:r>
            <w:r w:rsidRPr="00782BF9">
              <w:rPr>
                <w:noProof/>
                <w:lang w:val="bg-BG"/>
              </w:rPr>
              <w:t>свързани предприятия, достигащи най-малко 100 милиона унгарски форинта.</w:t>
            </w:r>
          </w:p>
        </w:tc>
      </w:tr>
      <w:tr w:rsidR="00CE3BAD" w:rsidRPr="00782BF9" w14:paraId="72CAB036" w14:textId="77777777">
        <w:trPr>
          <w:gridBefore w:val="1"/>
          <w:wBefore w:w="7" w:type="dxa"/>
          <w:trHeight w:val="987"/>
        </w:trPr>
        <w:tc>
          <w:tcPr>
            <w:tcW w:w="800" w:type="dxa"/>
            <w:shd w:val="clear" w:color="auto" w:fill="C6EFCE"/>
            <w:vAlign w:val="center"/>
          </w:tcPr>
          <w:p w14:paraId="685E3B9E" w14:textId="03CCDDA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248</w:t>
            </w:r>
          </w:p>
        </w:tc>
        <w:tc>
          <w:tcPr>
            <w:tcW w:w="1493" w:type="dxa"/>
            <w:shd w:val="clear" w:color="auto" w:fill="C6EFCE"/>
            <w:vAlign w:val="center"/>
          </w:tcPr>
          <w:p w14:paraId="02221603" w14:textId="03A5819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C9.R33 Разширяване на обхвата на правилата за неприспадане за изходящи плащания</w:t>
            </w:r>
          </w:p>
        </w:tc>
        <w:tc>
          <w:tcPr>
            <w:tcW w:w="883" w:type="dxa"/>
            <w:shd w:val="clear" w:color="auto" w:fill="C6EFCE"/>
            <w:vAlign w:val="center"/>
          </w:tcPr>
          <w:p w14:paraId="70B31CF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26C4D6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законодателни изменения за разширяване на правилата за неприспадане за изходящи плащания</w:t>
            </w:r>
          </w:p>
        </w:tc>
        <w:tc>
          <w:tcPr>
            <w:tcW w:w="1276" w:type="dxa"/>
            <w:shd w:val="clear" w:color="auto" w:fill="C6EFCE"/>
            <w:vAlign w:val="center"/>
          </w:tcPr>
          <w:p w14:paraId="2FE29FC5" w14:textId="669391B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Разпоредби в законодателните изменения, указващи влизането им в сила</w:t>
            </w:r>
          </w:p>
        </w:tc>
        <w:tc>
          <w:tcPr>
            <w:tcW w:w="1134" w:type="dxa"/>
            <w:shd w:val="clear" w:color="auto" w:fill="C6EFCE"/>
            <w:vAlign w:val="center"/>
          </w:tcPr>
          <w:p w14:paraId="24180E40"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49E7843E"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1C913F1"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2A0EE11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17DDEF5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3833E174" w14:textId="0937BC3E" w:rsidR="00CE3BAD" w:rsidRPr="00782BF9" w:rsidRDefault="006B5475">
            <w:pPr>
              <w:pStyle w:val="P68B1DB1-Normal10"/>
              <w:spacing w:after="0" w:line="240" w:lineRule="auto"/>
              <w:ind w:left="52"/>
              <w:jc w:val="both"/>
              <w:textAlignment w:val="baseline"/>
              <w:rPr>
                <w:rFonts w:eastAsia="Times New Roman"/>
                <w:noProof/>
                <w:lang w:val="bg-BG"/>
              </w:rPr>
            </w:pPr>
            <w:r w:rsidRPr="00782BF9">
              <w:rPr>
                <w:noProof/>
                <w:lang w:val="bg-BG"/>
              </w:rPr>
              <w:t>Влизат в сила законодателни изменения, с които се разширяват правилата за неприспадане на изходящите плащания. Приетото законодателство разширява обхвата на правилата за неприспадане, така че да обхване всички сделки с изходящи плащания на авторски и лицензионни възнаграждения и лихви в юрисдикции, които са включени в списъка на ЕС на юрисдикциите, неоказващи съдействие, или се считат за юрисдикции с нулево или ниско данъчно облагане (които включват всяка юрисдикция със законоустановена ставка на корпоративния данък под унгарската законоустановена ставка на корпоративния данък). В законодателството се определят критериите за прилагане на данъчни последици, като се вземат предвид стопанските причини за сделката и данъчното третиране на сделката, за да се обхванат случаите на двойно необлагане. В него също така се определят подходящи данъчни последици за смекчаване на целевия риск.</w:t>
            </w:r>
          </w:p>
          <w:p w14:paraId="395CFADB" w14:textId="77777777" w:rsidR="00CE3BAD" w:rsidRPr="00782BF9" w:rsidRDefault="00CE3BAD">
            <w:pPr>
              <w:spacing w:after="0" w:line="240" w:lineRule="auto"/>
              <w:ind w:left="52"/>
              <w:textAlignment w:val="baseline"/>
              <w:rPr>
                <w:rFonts w:eastAsia="Times New Roman"/>
                <w:noProof/>
                <w:sz w:val="18"/>
                <w:lang w:val="bg-BG"/>
              </w:rPr>
            </w:pPr>
          </w:p>
          <w:p w14:paraId="3F10639F" w14:textId="77777777" w:rsidR="00CE3BAD" w:rsidRPr="00782BF9" w:rsidRDefault="006B5475">
            <w:pPr>
              <w:pStyle w:val="P68B1DB1-Normal10"/>
              <w:spacing w:after="0" w:line="240" w:lineRule="auto"/>
              <w:ind w:left="52"/>
              <w:jc w:val="both"/>
              <w:textAlignment w:val="baseline"/>
              <w:rPr>
                <w:rFonts w:eastAsia="Times New Roman"/>
                <w:noProof/>
                <w:lang w:val="bg-BG"/>
              </w:rPr>
            </w:pPr>
            <w:r w:rsidRPr="00782BF9">
              <w:rPr>
                <w:noProof/>
                <w:lang w:val="bg-BG"/>
              </w:rPr>
              <w:t>Преди приемането на законодателството от правителството Министерството на финансите организира обществени консултации (включително със заинтересовани страни като данъчни специалисти и бизнес камари).</w:t>
            </w:r>
          </w:p>
        </w:tc>
      </w:tr>
      <w:tr w:rsidR="00CE3BAD" w:rsidRPr="00782BF9" w14:paraId="7C330C77" w14:textId="77777777">
        <w:trPr>
          <w:gridBefore w:val="1"/>
          <w:wBefore w:w="7" w:type="dxa"/>
          <w:trHeight w:val="987"/>
        </w:trPr>
        <w:tc>
          <w:tcPr>
            <w:tcW w:w="800" w:type="dxa"/>
            <w:shd w:val="clear" w:color="auto" w:fill="C6EFCE"/>
            <w:vAlign w:val="center"/>
          </w:tcPr>
          <w:p w14:paraId="64D70592" w14:textId="1EADCFB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249</w:t>
            </w:r>
          </w:p>
        </w:tc>
        <w:tc>
          <w:tcPr>
            <w:tcW w:w="1493" w:type="dxa"/>
            <w:shd w:val="clear" w:color="auto" w:fill="C6EFCE"/>
            <w:vAlign w:val="center"/>
          </w:tcPr>
          <w:p w14:paraId="27FD98EB" w14:textId="54EC2C9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C9.R33 Разширяване на обхвата на правилата за неприспадане за изходящи плащания</w:t>
            </w:r>
          </w:p>
        </w:tc>
        <w:tc>
          <w:tcPr>
            <w:tcW w:w="883" w:type="dxa"/>
            <w:shd w:val="clear" w:color="auto" w:fill="C6EFCE"/>
            <w:vAlign w:val="center"/>
          </w:tcPr>
          <w:p w14:paraId="46E031E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1E7768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Независима оценка на ефективността на цялостния набор от национални правила, свързани с агресивното данъчно планиране</w:t>
            </w:r>
          </w:p>
        </w:tc>
        <w:tc>
          <w:tcPr>
            <w:tcW w:w="1276" w:type="dxa"/>
            <w:shd w:val="clear" w:color="auto" w:fill="C6EFCE"/>
            <w:vAlign w:val="center"/>
          </w:tcPr>
          <w:p w14:paraId="47BA424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оценката</w:t>
            </w:r>
          </w:p>
        </w:tc>
        <w:tc>
          <w:tcPr>
            <w:tcW w:w="1134" w:type="dxa"/>
            <w:shd w:val="clear" w:color="auto" w:fill="C6EFCE"/>
            <w:vAlign w:val="center"/>
          </w:tcPr>
          <w:p w14:paraId="4F8D6A98"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7F3F2A06"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353C1C18"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5E0E9E8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71E5A59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2025</w:t>
            </w:r>
          </w:p>
        </w:tc>
        <w:tc>
          <w:tcPr>
            <w:tcW w:w="4793" w:type="dxa"/>
            <w:shd w:val="clear" w:color="auto" w:fill="C6EFCE"/>
          </w:tcPr>
          <w:p w14:paraId="120F9E28" w14:textId="2795B32D" w:rsidR="00CE3BAD" w:rsidRPr="00782BF9" w:rsidRDefault="006B5475">
            <w:pPr>
              <w:pStyle w:val="P68B1DB1-Normal10"/>
              <w:spacing w:after="0" w:line="240" w:lineRule="auto"/>
              <w:ind w:left="52"/>
              <w:jc w:val="both"/>
              <w:textAlignment w:val="baseline"/>
              <w:rPr>
                <w:rFonts w:eastAsia="Times New Roman"/>
                <w:noProof/>
                <w:lang w:val="bg-BG"/>
              </w:rPr>
            </w:pPr>
            <w:r w:rsidRPr="00782BF9">
              <w:rPr>
                <w:noProof/>
                <w:lang w:val="bg-BG"/>
              </w:rPr>
              <w:t xml:space="preserve">Извършва се независима оценка на ефективността на цялостния набор от национални правила, отнасящи се до фиктивните дружества и изходящите плащания на лихви и авторски и лицензионни възнаграждения между дружества, установени в Унгария, и дружества, установени в юрисдикции, които са част от списъка на ЕС на юрисдикциите, неоказващи съдействие, или които се считат за юрисдикции с нулево или ниско данъчно облагане. Оценката се извършва от независим доставчик с широко признат експертен опит по темата за агресивното данъчно планиране. В оценката се прави цялостна оценка на унгарската данъчна рамка, включително на всички приети дотогава мерки. В оценката се отправят препоръки за политически действия, които да бъдат предприети от Унгария, включително под формата на законодателни промени за преодоляване на установените недостатъци, по-специално в областта на изходящите плащания на авторски и лицензионни възнаграждения, лихви и дивиденти. Оценката, включително препоръките, се публикува на интернет страницата на Министерството на финансите. </w:t>
            </w:r>
          </w:p>
        </w:tc>
      </w:tr>
      <w:tr w:rsidR="00CE3BAD" w:rsidRPr="00782BF9" w14:paraId="0E0FD000" w14:textId="77777777">
        <w:trPr>
          <w:gridBefore w:val="1"/>
          <w:wBefore w:w="7" w:type="dxa"/>
          <w:trHeight w:val="987"/>
        </w:trPr>
        <w:tc>
          <w:tcPr>
            <w:tcW w:w="800" w:type="dxa"/>
            <w:shd w:val="clear" w:color="auto" w:fill="C6EFCE"/>
            <w:vAlign w:val="center"/>
          </w:tcPr>
          <w:p w14:paraId="4D722A50" w14:textId="5940016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250</w:t>
            </w:r>
          </w:p>
        </w:tc>
        <w:tc>
          <w:tcPr>
            <w:tcW w:w="1493" w:type="dxa"/>
            <w:shd w:val="clear" w:color="auto" w:fill="C6EFCE"/>
            <w:vAlign w:val="center"/>
          </w:tcPr>
          <w:p w14:paraId="2FCE2D49" w14:textId="4012A0F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C9.R33 Разширяване на обхвата на правилата за неприспадане за изходящи плащания</w:t>
            </w:r>
          </w:p>
        </w:tc>
        <w:tc>
          <w:tcPr>
            <w:tcW w:w="883" w:type="dxa"/>
            <w:shd w:val="clear" w:color="auto" w:fill="C6EFCE"/>
            <w:vAlign w:val="center"/>
          </w:tcPr>
          <w:p w14:paraId="13AC046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4226744" w14:textId="1325CAB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законодателни изменения за подобряване на ефективността</w:t>
            </w:r>
          </w:p>
          <w:p w14:paraId="56E068A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 мерките, свързани с агресивното данъчно планиране</w:t>
            </w:r>
          </w:p>
        </w:tc>
        <w:tc>
          <w:tcPr>
            <w:tcW w:w="1276" w:type="dxa"/>
            <w:shd w:val="clear" w:color="auto" w:fill="C6EFCE"/>
            <w:vAlign w:val="center"/>
          </w:tcPr>
          <w:p w14:paraId="1A8650AC" w14:textId="4B47B477" w:rsidR="00CE3BAD" w:rsidRPr="00782BF9" w:rsidRDefault="006B5475">
            <w:pPr>
              <w:pStyle w:val="P68B1DB1-Normal10"/>
              <w:spacing w:after="0" w:line="240" w:lineRule="auto"/>
              <w:textAlignment w:val="baseline"/>
              <w:rPr>
                <w:rFonts w:eastAsia="Times New Roman"/>
                <w:noProof/>
                <w:lang w:val="bg-BG"/>
              </w:rPr>
            </w:pPr>
            <w:r w:rsidRPr="00782BF9">
              <w:rPr>
                <w:noProof/>
                <w:lang w:val="bg-BG"/>
              </w:rPr>
              <w:t>Разпоредби в законодателните изменения, указващи влизането им в сила</w:t>
            </w:r>
          </w:p>
        </w:tc>
        <w:tc>
          <w:tcPr>
            <w:tcW w:w="1134" w:type="dxa"/>
            <w:shd w:val="clear" w:color="auto" w:fill="C6EFCE"/>
            <w:vAlign w:val="center"/>
          </w:tcPr>
          <w:p w14:paraId="2DD1A875"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5F385F67"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10B0D686"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B229FE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2A5E51B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tcPr>
          <w:p w14:paraId="592C2838" w14:textId="4A1C3272" w:rsidR="00CE3BAD" w:rsidRPr="00782BF9" w:rsidRDefault="006B5475">
            <w:pPr>
              <w:pStyle w:val="P68B1DB1-Normal10"/>
              <w:spacing w:after="0" w:line="240" w:lineRule="auto"/>
              <w:jc w:val="both"/>
              <w:textAlignment w:val="baseline"/>
              <w:rPr>
                <w:rFonts w:eastAsia="Times New Roman"/>
                <w:noProof/>
                <w:lang w:val="bg-BG"/>
              </w:rPr>
            </w:pPr>
            <w:r w:rsidRPr="00782BF9">
              <w:rPr>
                <w:noProof/>
                <w:lang w:val="bg-BG"/>
              </w:rPr>
              <w:t xml:space="preserve">Влизат в сила законодателни изменения за подобряване на ефективността на мерките за справяне с агресивното данъчно планиране. Законодателството се въвежда в отговор на констатациите и препоръките от независимата оценка, посочена в етап 249. </w:t>
            </w:r>
          </w:p>
        </w:tc>
      </w:tr>
      <w:tr w:rsidR="00CE3BAD" w:rsidRPr="00782BF9" w14:paraId="6873A43F" w14:textId="77777777">
        <w:trPr>
          <w:gridBefore w:val="1"/>
          <w:wBefore w:w="7" w:type="dxa"/>
          <w:trHeight w:val="987"/>
        </w:trPr>
        <w:tc>
          <w:tcPr>
            <w:tcW w:w="800" w:type="dxa"/>
            <w:shd w:val="clear" w:color="auto" w:fill="C6EFCE"/>
            <w:vAlign w:val="center"/>
          </w:tcPr>
          <w:p w14:paraId="0FAB59CF" w14:textId="65D1CB3A"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251</w:t>
            </w:r>
          </w:p>
        </w:tc>
        <w:tc>
          <w:tcPr>
            <w:tcW w:w="1493" w:type="dxa"/>
            <w:shd w:val="clear" w:color="auto" w:fill="C6EFCE"/>
            <w:vAlign w:val="center"/>
          </w:tcPr>
          <w:p w14:paraId="3BA10A74" w14:textId="6ECCD3E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C9.R34 Цифрова трансформация на процедурите за спазване на данъчното законодателство</w:t>
            </w:r>
          </w:p>
        </w:tc>
        <w:tc>
          <w:tcPr>
            <w:tcW w:w="883" w:type="dxa"/>
            <w:shd w:val="clear" w:color="auto" w:fill="C6EFCE"/>
            <w:vAlign w:val="center"/>
          </w:tcPr>
          <w:p w14:paraId="2C1ADD1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1DA0396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законодателство за въвеждане на решението за ePayroll</w:t>
            </w:r>
          </w:p>
        </w:tc>
        <w:tc>
          <w:tcPr>
            <w:tcW w:w="1276" w:type="dxa"/>
            <w:shd w:val="clear" w:color="auto" w:fill="C6EFCE"/>
            <w:vAlign w:val="center"/>
          </w:tcPr>
          <w:p w14:paraId="26C72F4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Разпоредба в законодателството, указваща влизането му в сила</w:t>
            </w:r>
          </w:p>
        </w:tc>
        <w:tc>
          <w:tcPr>
            <w:tcW w:w="1134" w:type="dxa"/>
            <w:shd w:val="clear" w:color="auto" w:fill="C6EFCE"/>
            <w:vAlign w:val="center"/>
          </w:tcPr>
          <w:p w14:paraId="426CE712"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6E96D30"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240EA780"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13CA3E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6E68BCE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2025</w:t>
            </w:r>
          </w:p>
        </w:tc>
        <w:tc>
          <w:tcPr>
            <w:tcW w:w="4793" w:type="dxa"/>
            <w:shd w:val="clear" w:color="auto" w:fill="C6EFCE"/>
          </w:tcPr>
          <w:p w14:paraId="432461B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Новото решение ePayroll (платформа за предоставяне на данни за заетостта) се разработва и законодателните промени, необходими за неговото въвеждане, влизат в сила. Законодателството изменя процедурите на формулярите за предоставяне на данни за заетостта, за да се даде възможност за използване на новите услуги от данъкоплатците (работодателите).</w:t>
            </w:r>
          </w:p>
          <w:p w14:paraId="65C52A9A" w14:textId="77777777" w:rsidR="00CE3BAD" w:rsidRPr="00782BF9" w:rsidRDefault="00CE3BAD">
            <w:pPr>
              <w:spacing w:after="0" w:line="240" w:lineRule="auto"/>
              <w:ind w:left="52"/>
              <w:textAlignment w:val="baseline"/>
              <w:rPr>
                <w:rFonts w:eastAsia="Times New Roman"/>
                <w:noProof/>
                <w:sz w:val="18"/>
                <w:lang w:val="bg-BG"/>
              </w:rPr>
            </w:pPr>
          </w:p>
          <w:p w14:paraId="58004B9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приемането на законодателството органите:</w:t>
            </w:r>
          </w:p>
          <w:p w14:paraId="1E6073B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1) да одобри първоначалното предложение за разработване на ePayroll с правителствено решение; </w:t>
            </w:r>
          </w:p>
          <w:p w14:paraId="7543EC20" w14:textId="00DEC2D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 създаване на междуведомствена структура за управление на консорциума и назначаване на специален правителствен комисар, който да отговаря за успешното изпълнение на реформата; и че</w:t>
            </w:r>
          </w:p>
          <w:p w14:paraId="5C6D4EC4" w14:textId="2CE1068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3) да проведе обществена консултация относно предложената версия на решението преди началото на етапа на разработване на ИТ.</w:t>
            </w:r>
          </w:p>
        </w:tc>
      </w:tr>
      <w:tr w:rsidR="00CE3BAD" w:rsidRPr="00782BF9" w14:paraId="00516F79" w14:textId="77777777">
        <w:trPr>
          <w:gridBefore w:val="1"/>
          <w:wBefore w:w="7" w:type="dxa"/>
          <w:trHeight w:val="987"/>
        </w:trPr>
        <w:tc>
          <w:tcPr>
            <w:tcW w:w="800" w:type="dxa"/>
            <w:shd w:val="clear" w:color="auto" w:fill="C6EFCE"/>
            <w:vAlign w:val="center"/>
          </w:tcPr>
          <w:p w14:paraId="3770E612" w14:textId="7828055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252</w:t>
            </w:r>
          </w:p>
        </w:tc>
        <w:tc>
          <w:tcPr>
            <w:tcW w:w="1493" w:type="dxa"/>
            <w:shd w:val="clear" w:color="auto" w:fill="C6EFCE"/>
            <w:vAlign w:val="center"/>
          </w:tcPr>
          <w:p w14:paraId="01370A93" w14:textId="7305CD0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C9.R34 Цифрова трансформация на процедурите за спазване на данъчното законодателство</w:t>
            </w:r>
          </w:p>
        </w:tc>
        <w:tc>
          <w:tcPr>
            <w:tcW w:w="883" w:type="dxa"/>
            <w:shd w:val="clear" w:color="auto" w:fill="C6EFCE"/>
            <w:vAlign w:val="center"/>
          </w:tcPr>
          <w:p w14:paraId="379D483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7E7991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Многоетапно въвеждане на системата ePayroll</w:t>
            </w:r>
          </w:p>
        </w:tc>
        <w:tc>
          <w:tcPr>
            <w:tcW w:w="1276" w:type="dxa"/>
            <w:shd w:val="clear" w:color="auto" w:fill="C6EFCE"/>
            <w:vAlign w:val="center"/>
          </w:tcPr>
          <w:p w14:paraId="7AE9782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Приключване на пилотната фаза на новата система</w:t>
            </w:r>
          </w:p>
        </w:tc>
        <w:tc>
          <w:tcPr>
            <w:tcW w:w="1134" w:type="dxa"/>
            <w:shd w:val="clear" w:color="auto" w:fill="C6EFCE"/>
            <w:vAlign w:val="center"/>
          </w:tcPr>
          <w:p w14:paraId="69B4283E"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3F78C0E5"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168CDA06"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3494E0F0"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4E8618F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tcPr>
          <w:p w14:paraId="0978F4BB" w14:textId="6726FD36"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Приключва пилотната фаза на прилагането на решението ePayroll с доброволното участие на най-малко 50 дружества (включително работодатели от всички категории). Основните функционални възможности на новата система се изпитват, като своевременно се установяват по икономически ефективен начин всички потенциални недостатъци.</w:t>
            </w:r>
          </w:p>
        </w:tc>
      </w:tr>
      <w:tr w:rsidR="00CE3BAD" w:rsidRPr="00782BF9" w14:paraId="094B4EA8" w14:textId="77777777">
        <w:trPr>
          <w:gridBefore w:val="1"/>
          <w:wBefore w:w="7" w:type="dxa"/>
          <w:trHeight w:val="987"/>
        </w:trPr>
        <w:tc>
          <w:tcPr>
            <w:tcW w:w="800" w:type="dxa"/>
            <w:shd w:val="clear" w:color="auto" w:fill="C6EFCE"/>
            <w:vAlign w:val="center"/>
          </w:tcPr>
          <w:p w14:paraId="4F2E17A6" w14:textId="727279C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253</w:t>
            </w:r>
          </w:p>
        </w:tc>
        <w:tc>
          <w:tcPr>
            <w:tcW w:w="1493" w:type="dxa"/>
            <w:shd w:val="clear" w:color="auto" w:fill="C6EFCE"/>
            <w:vAlign w:val="center"/>
          </w:tcPr>
          <w:p w14:paraId="364E18F8" w14:textId="0993BDA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C9.R34 Цифрова трансформация на процедурите за спазване на данъчното законодателство</w:t>
            </w:r>
          </w:p>
        </w:tc>
        <w:tc>
          <w:tcPr>
            <w:tcW w:w="883" w:type="dxa"/>
            <w:shd w:val="clear" w:color="auto" w:fill="C6EFCE"/>
            <w:vAlign w:val="center"/>
          </w:tcPr>
          <w:p w14:paraId="6D20A5E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1889778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законодателство за въвеждане на системата eReceipt</w:t>
            </w:r>
          </w:p>
        </w:tc>
        <w:tc>
          <w:tcPr>
            <w:tcW w:w="1276" w:type="dxa"/>
            <w:shd w:val="clear" w:color="auto" w:fill="C6EFCE"/>
            <w:vAlign w:val="center"/>
          </w:tcPr>
          <w:p w14:paraId="6CBAF2A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Разпоредба в законодателството, указваща влизането му в сила</w:t>
            </w:r>
          </w:p>
        </w:tc>
        <w:tc>
          <w:tcPr>
            <w:tcW w:w="1134" w:type="dxa"/>
            <w:shd w:val="clear" w:color="auto" w:fill="C6EFCE"/>
            <w:vAlign w:val="center"/>
          </w:tcPr>
          <w:p w14:paraId="5AFC83A7"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24538F7C"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34B45E84"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069AB8F6"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78B66205"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tcPr>
          <w:p w14:paraId="07DB63E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Новото решение eReceipt се разработва и законодателните промени, необходими за неговото въвеждане, влизат в сила. Законодателството изменя процедурите за документиране на сделките B2C, за да се даде възможност на данъкоплатците да използват новите услуги.</w:t>
            </w:r>
          </w:p>
          <w:p w14:paraId="0694B27F" w14:textId="77777777" w:rsidR="00CE3BAD" w:rsidRPr="00782BF9" w:rsidRDefault="00CE3BAD">
            <w:pPr>
              <w:spacing w:after="0" w:line="240" w:lineRule="auto"/>
              <w:ind w:left="52"/>
              <w:textAlignment w:val="baseline"/>
              <w:rPr>
                <w:rFonts w:eastAsia="Times New Roman"/>
                <w:noProof/>
                <w:sz w:val="18"/>
                <w:lang w:val="bg-BG"/>
              </w:rPr>
            </w:pPr>
          </w:p>
          <w:p w14:paraId="1190653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приемането на законодателството органите:</w:t>
            </w:r>
          </w:p>
          <w:p w14:paraId="6B88AA5A" w14:textId="36FB53E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 одобрява първоначалното предложение за разработване на eReceipt с правителствено решение; и че</w:t>
            </w:r>
          </w:p>
          <w:p w14:paraId="74FC2CB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 провеждане на обществена консултация относно предложеното решение.</w:t>
            </w:r>
          </w:p>
        </w:tc>
      </w:tr>
      <w:tr w:rsidR="00CE3BAD" w:rsidRPr="00782BF9" w14:paraId="4B24391C" w14:textId="77777777">
        <w:trPr>
          <w:gridBefore w:val="1"/>
          <w:wBefore w:w="7" w:type="dxa"/>
          <w:trHeight w:val="987"/>
        </w:trPr>
        <w:tc>
          <w:tcPr>
            <w:tcW w:w="800" w:type="dxa"/>
            <w:shd w:val="clear" w:color="auto" w:fill="C6EFCE"/>
            <w:vAlign w:val="center"/>
          </w:tcPr>
          <w:p w14:paraId="29153A1B" w14:textId="110F28F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254</w:t>
            </w:r>
          </w:p>
        </w:tc>
        <w:tc>
          <w:tcPr>
            <w:tcW w:w="1493" w:type="dxa"/>
            <w:shd w:val="clear" w:color="auto" w:fill="C6EFCE"/>
            <w:vAlign w:val="center"/>
          </w:tcPr>
          <w:p w14:paraId="2E62E4B1" w14:textId="7414CD9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C9.R34 Цифрова трансформация на процедурите за спазване на данъчното законодателство</w:t>
            </w:r>
          </w:p>
        </w:tc>
        <w:tc>
          <w:tcPr>
            <w:tcW w:w="883" w:type="dxa"/>
            <w:shd w:val="clear" w:color="auto" w:fill="C6EFCE"/>
            <w:vAlign w:val="center"/>
          </w:tcPr>
          <w:p w14:paraId="22EC2DB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59A1E5D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Многоетапно въвеждане на системата eReceipt</w:t>
            </w:r>
          </w:p>
        </w:tc>
        <w:tc>
          <w:tcPr>
            <w:tcW w:w="1276" w:type="dxa"/>
            <w:shd w:val="clear" w:color="auto" w:fill="C6EFCE"/>
            <w:vAlign w:val="center"/>
          </w:tcPr>
          <w:p w14:paraId="32FC7E8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Стартиране на новата система eReceipt</w:t>
            </w:r>
          </w:p>
        </w:tc>
        <w:tc>
          <w:tcPr>
            <w:tcW w:w="1134" w:type="dxa"/>
            <w:shd w:val="clear" w:color="auto" w:fill="C6EFCE"/>
            <w:vAlign w:val="center"/>
          </w:tcPr>
          <w:p w14:paraId="1B8F6EDE"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89D025A"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6A703060"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CFCD27A"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3A2378F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tcPr>
          <w:p w14:paraId="7DE4BC9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Решението eReceipt се прилага и се предлага като услуга на заинтересовани клиенти. Вече функциониращите онлайн парични регистри имат право да функционират успоредно до изтичането на срока на действие на клаузата за изтичане на срока на действие. До 31 март 2026 г. решението eReceipt трябва да достигне проникване, равно на 40 % от общата стойност на сделката B2C.</w:t>
            </w:r>
          </w:p>
        </w:tc>
      </w:tr>
      <w:tr w:rsidR="00CE3BAD" w:rsidRPr="00782BF9" w14:paraId="3FC15C11" w14:textId="77777777">
        <w:trPr>
          <w:gridBefore w:val="1"/>
          <w:wBefore w:w="7" w:type="dxa"/>
          <w:trHeight w:val="987"/>
        </w:trPr>
        <w:tc>
          <w:tcPr>
            <w:tcW w:w="800" w:type="dxa"/>
            <w:shd w:val="clear" w:color="auto" w:fill="C6EFCE"/>
            <w:vAlign w:val="center"/>
          </w:tcPr>
          <w:p w14:paraId="47AFC701" w14:textId="0F10E53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255</w:t>
            </w:r>
          </w:p>
        </w:tc>
        <w:tc>
          <w:tcPr>
            <w:tcW w:w="1493" w:type="dxa"/>
            <w:shd w:val="clear" w:color="auto" w:fill="C6EFCE"/>
            <w:vAlign w:val="center"/>
          </w:tcPr>
          <w:p w14:paraId="3D72576B" w14:textId="0D1E18F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C9.R34 Цифрова трансформация на процедурите за спазване на данъчното законодателство</w:t>
            </w:r>
          </w:p>
        </w:tc>
        <w:tc>
          <w:tcPr>
            <w:tcW w:w="883" w:type="dxa"/>
            <w:shd w:val="clear" w:color="auto" w:fill="C6EFCE"/>
            <w:vAlign w:val="center"/>
          </w:tcPr>
          <w:p w14:paraId="6690667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4CB868E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законодателство за опростяване на процедурите за спазване на изискванията за ДДС чрез въвеждане на системата за електронен ДДС</w:t>
            </w:r>
          </w:p>
        </w:tc>
        <w:tc>
          <w:tcPr>
            <w:tcW w:w="1276" w:type="dxa"/>
            <w:shd w:val="clear" w:color="auto" w:fill="C6EFCE"/>
            <w:vAlign w:val="center"/>
          </w:tcPr>
          <w:p w14:paraId="599C64A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Разпоредба в законодателството, указваща влизането му в сила</w:t>
            </w:r>
          </w:p>
        </w:tc>
        <w:tc>
          <w:tcPr>
            <w:tcW w:w="1134" w:type="dxa"/>
            <w:shd w:val="clear" w:color="auto" w:fill="C6EFCE"/>
            <w:vAlign w:val="center"/>
          </w:tcPr>
          <w:p w14:paraId="5FCEC14C"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19DA5DE6"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6950F97F"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2807F23"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769A412C"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tcPr>
          <w:p w14:paraId="16C31E9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Ще бъде разработено новото решение за eVAT и ще влязат в сила законодателните промени, необходими за неговото въвеждане. Законодателството опростява процедурите за спазване на изискванията за ДДС чрез изменение на процедурите за справки-декларациите за ДДС, за да се даде възможност на данъкоплатците да използват новите услуги.</w:t>
            </w:r>
          </w:p>
          <w:p w14:paraId="56782B3D" w14:textId="77777777" w:rsidR="00CE3BAD" w:rsidRPr="00782BF9" w:rsidRDefault="00CE3BAD">
            <w:pPr>
              <w:spacing w:after="0" w:line="240" w:lineRule="auto"/>
              <w:ind w:left="52"/>
              <w:textAlignment w:val="baseline"/>
              <w:rPr>
                <w:rFonts w:eastAsia="Times New Roman"/>
                <w:noProof/>
                <w:sz w:val="18"/>
                <w:lang w:val="bg-BG"/>
              </w:rPr>
            </w:pPr>
          </w:p>
          <w:p w14:paraId="5B1FB473"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Преди приемането на законодателството органите:</w:t>
            </w:r>
          </w:p>
          <w:p w14:paraId="6A5A9231" w14:textId="347B69D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 да одобри първоначалното предложение за разработване на eVAT с правителствено решение; и че</w:t>
            </w:r>
          </w:p>
          <w:p w14:paraId="2FA749A7"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2) провеждане на обществена консултация относно предложеното решение. </w:t>
            </w:r>
          </w:p>
        </w:tc>
      </w:tr>
      <w:tr w:rsidR="00CE3BAD" w:rsidRPr="00782BF9" w14:paraId="0090B3A2" w14:textId="77777777">
        <w:trPr>
          <w:gridBefore w:val="1"/>
          <w:wBefore w:w="7" w:type="dxa"/>
          <w:trHeight w:val="987"/>
        </w:trPr>
        <w:tc>
          <w:tcPr>
            <w:tcW w:w="800" w:type="dxa"/>
            <w:shd w:val="clear" w:color="auto" w:fill="C6EFCE"/>
            <w:vAlign w:val="center"/>
          </w:tcPr>
          <w:p w14:paraId="77F5CE31" w14:textId="452F1FE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256</w:t>
            </w:r>
          </w:p>
        </w:tc>
        <w:tc>
          <w:tcPr>
            <w:tcW w:w="1493" w:type="dxa"/>
            <w:shd w:val="clear" w:color="auto" w:fill="C6EFCE"/>
            <w:vAlign w:val="center"/>
          </w:tcPr>
          <w:p w14:paraId="2BF41BB9" w14:textId="0345A57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C9.R34 Цифрова трансформация на процедурите за спазване на данъчното законодателство</w:t>
            </w:r>
          </w:p>
        </w:tc>
        <w:tc>
          <w:tcPr>
            <w:tcW w:w="883" w:type="dxa"/>
            <w:shd w:val="clear" w:color="auto" w:fill="C6EFCE"/>
            <w:vAlign w:val="center"/>
          </w:tcPr>
          <w:p w14:paraId="4ED84DA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5B285B3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Многоетапно въвеждане на системата за електронно ДДС</w:t>
            </w:r>
          </w:p>
        </w:tc>
        <w:tc>
          <w:tcPr>
            <w:tcW w:w="1276" w:type="dxa"/>
            <w:shd w:val="clear" w:color="auto" w:fill="C6EFCE"/>
            <w:vAlign w:val="center"/>
          </w:tcPr>
          <w:p w14:paraId="363FE20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Стартиране на новата система за електронно ДДС</w:t>
            </w:r>
          </w:p>
        </w:tc>
        <w:tc>
          <w:tcPr>
            <w:tcW w:w="1134" w:type="dxa"/>
            <w:shd w:val="clear" w:color="auto" w:fill="C6EFCE"/>
            <w:vAlign w:val="center"/>
          </w:tcPr>
          <w:p w14:paraId="4BCF4EAF"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B0A5A20"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07307391"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8CE318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Т1 Г.</w:t>
            </w:r>
          </w:p>
        </w:tc>
        <w:tc>
          <w:tcPr>
            <w:tcW w:w="709" w:type="dxa"/>
            <w:shd w:val="clear" w:color="auto" w:fill="C6EFCE"/>
            <w:vAlign w:val="center"/>
          </w:tcPr>
          <w:p w14:paraId="494FF10C"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2026</w:t>
            </w:r>
          </w:p>
        </w:tc>
        <w:tc>
          <w:tcPr>
            <w:tcW w:w="4793" w:type="dxa"/>
            <w:shd w:val="clear" w:color="auto" w:fill="C6EFCE"/>
          </w:tcPr>
          <w:p w14:paraId="1ADF38BF" w14:textId="186823F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Новото решение за eVAT се прилага и се предлага като услуга на заинтересовани клиенти. Новата система за електронен ДДС трябва да достигне проникване на най-малко 40 % от всички данъчнозадължени лица, които използват поне една услуга, предлагана от системата, до 31 март 2026 г. </w:t>
            </w:r>
          </w:p>
        </w:tc>
      </w:tr>
      <w:tr w:rsidR="00CE3BAD" w:rsidRPr="00782BF9" w14:paraId="1579B122" w14:textId="77777777">
        <w:trPr>
          <w:gridBefore w:val="1"/>
          <w:wBefore w:w="7" w:type="dxa"/>
          <w:trHeight w:val="987"/>
        </w:trPr>
        <w:tc>
          <w:tcPr>
            <w:tcW w:w="800" w:type="dxa"/>
            <w:shd w:val="clear" w:color="auto" w:fill="C6EFCE"/>
            <w:vAlign w:val="center"/>
          </w:tcPr>
          <w:p w14:paraId="4A4802D3" w14:textId="5031DE1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257</w:t>
            </w:r>
          </w:p>
        </w:tc>
        <w:tc>
          <w:tcPr>
            <w:tcW w:w="1493" w:type="dxa"/>
            <w:shd w:val="clear" w:color="auto" w:fill="C6EFCE"/>
            <w:vAlign w:val="center"/>
          </w:tcPr>
          <w:p w14:paraId="47A1429A" w14:textId="39CA131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C9.R35 Опростяване на данъчната система чрез намаляване на броя на данъците</w:t>
            </w:r>
          </w:p>
        </w:tc>
        <w:tc>
          <w:tcPr>
            <w:tcW w:w="883" w:type="dxa"/>
            <w:shd w:val="clear" w:color="auto" w:fill="C6EFCE"/>
            <w:vAlign w:val="center"/>
          </w:tcPr>
          <w:p w14:paraId="1084ED1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5688F282" w14:textId="4F2A31A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Постепенно премахване на временните данъчни мерки</w:t>
            </w:r>
          </w:p>
        </w:tc>
        <w:tc>
          <w:tcPr>
            <w:tcW w:w="1276" w:type="dxa"/>
            <w:shd w:val="clear" w:color="auto" w:fill="C6EFCE"/>
            <w:vAlign w:val="center"/>
          </w:tcPr>
          <w:p w14:paraId="5ECC4CE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Разпоредби в законодателството, указващи изтичането на срока на временните данъчни мерки</w:t>
            </w:r>
          </w:p>
        </w:tc>
        <w:tc>
          <w:tcPr>
            <w:tcW w:w="1134" w:type="dxa"/>
            <w:shd w:val="clear" w:color="auto" w:fill="C6EFCE"/>
            <w:vAlign w:val="center"/>
          </w:tcPr>
          <w:p w14:paraId="5EB008EC"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225323FF"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6A98B471"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7F4F45D6"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1F372D70"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22D6DD8F" w14:textId="4FB22F9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Временните данъчни мерки, въведени в контекста на икономическите сътресения, причинени от COVID-19 и енергийната криза, постепенно се премахват в съответствие със съществуващите клаузи за изтичане на срока на действие. Тези временни данъчни мерки включват:</w:t>
            </w:r>
          </w:p>
          <w:p w14:paraId="27FE6F7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(1) допълнителният данък върху банковия сектор (член 1 от Правителствено постановление 197/2022)</w:t>
            </w:r>
          </w:p>
          <w:p w14:paraId="6706409A"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(2) специалният данък върху застрахователния сектор (член 16 от Правителствено постановление 197/2022) </w:t>
            </w:r>
          </w:p>
          <w:p w14:paraId="75E94C2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(3) специалните данъци върху енергийния сектор (членове 2, 3 и 8 от Правителствено постановление 197/2022)</w:t>
            </w:r>
          </w:p>
          <w:p w14:paraId="121A755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(4) надценката за сектора на търговията на дребно (членове 20—21 от Правителствено постановление 197/2022)</w:t>
            </w:r>
          </w:p>
          <w:p w14:paraId="1C136A7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(5) допълнителен данък върху телекомуникационния сектор (член 14 от Правителствено постановление 197/2022)</w:t>
            </w:r>
          </w:p>
          <w:p w14:paraId="2FE8EA8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(6) допълнителната такса за фармацевтичния сектор (член 7 от Правителствено постановление 197/2022).</w:t>
            </w:r>
          </w:p>
        </w:tc>
      </w:tr>
      <w:tr w:rsidR="00CE3BAD" w:rsidRPr="00782BF9" w14:paraId="1ABFFE9F" w14:textId="77777777">
        <w:trPr>
          <w:gridBefore w:val="1"/>
          <w:wBefore w:w="7" w:type="dxa"/>
          <w:trHeight w:val="987"/>
        </w:trPr>
        <w:tc>
          <w:tcPr>
            <w:tcW w:w="800" w:type="dxa"/>
            <w:shd w:val="clear" w:color="auto" w:fill="C6EFCE"/>
            <w:vAlign w:val="center"/>
          </w:tcPr>
          <w:p w14:paraId="788D1D65" w14:textId="314A89B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258</w:t>
            </w:r>
          </w:p>
        </w:tc>
        <w:tc>
          <w:tcPr>
            <w:tcW w:w="1493" w:type="dxa"/>
            <w:shd w:val="clear" w:color="auto" w:fill="C6EFCE"/>
            <w:vAlign w:val="center"/>
          </w:tcPr>
          <w:p w14:paraId="58ADA6CC" w14:textId="0A503BD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C9.R35 Опростяване на данъчната система чрез намаляване на броя на данъците</w:t>
            </w:r>
          </w:p>
        </w:tc>
        <w:tc>
          <w:tcPr>
            <w:tcW w:w="883" w:type="dxa"/>
            <w:shd w:val="clear" w:color="auto" w:fill="C6EFCE"/>
            <w:vAlign w:val="center"/>
          </w:tcPr>
          <w:p w14:paraId="18E4CAB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1C4253F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Доклад на работната група относно намаляването на броя на данъците</w:t>
            </w:r>
          </w:p>
        </w:tc>
        <w:tc>
          <w:tcPr>
            <w:tcW w:w="1276" w:type="dxa"/>
            <w:shd w:val="clear" w:color="auto" w:fill="C6EFCE"/>
            <w:vAlign w:val="center"/>
          </w:tcPr>
          <w:p w14:paraId="379C9B2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доклада</w:t>
            </w:r>
          </w:p>
        </w:tc>
        <w:tc>
          <w:tcPr>
            <w:tcW w:w="1134" w:type="dxa"/>
            <w:shd w:val="clear" w:color="auto" w:fill="C6EFCE"/>
            <w:vAlign w:val="center"/>
          </w:tcPr>
          <w:p w14:paraId="0DF9E2C5"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467D55BD"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14F1A03"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2A5C393"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0C4CBA1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768CD0F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 се работна група, която да оценява възможностите за намаляване на броя на данъците. Работната група включва представители на Министерството на финансите, данъчната администрация, търговските камари (Унгарската търговско-промишлена палата, Германско-унгарската промишлена и търговска камара, Американската търговска камара в Унгария), представители на данъчните консултанти и академични експерти.</w:t>
            </w:r>
          </w:p>
          <w:p w14:paraId="133952D3"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Работната група изготвя доклад, в който се препоръчват варианти за намаляване на броя на данъците. Работната група оценява най-малко следните теми:</w:t>
            </w:r>
          </w:p>
          <w:p w14:paraId="192B1A08" w14:textId="77777777" w:rsidR="00CE3BAD" w:rsidRPr="00782BF9" w:rsidRDefault="006B5475">
            <w:pPr>
              <w:pStyle w:val="P68B1DB1-ListParagraph11"/>
              <w:numPr>
                <w:ilvl w:val="0"/>
                <w:numId w:val="17"/>
              </w:numPr>
              <w:spacing w:after="0" w:line="240" w:lineRule="auto"/>
              <w:textAlignment w:val="baseline"/>
              <w:rPr>
                <w:rFonts w:eastAsia="Times New Roman" w:cstheme="minorHAnsi"/>
                <w:noProof/>
                <w:lang w:val="bg-BG"/>
              </w:rPr>
            </w:pPr>
            <w:r w:rsidRPr="00782BF9">
              <w:rPr>
                <w:noProof/>
                <w:lang w:val="bg-BG"/>
              </w:rPr>
              <w:t>консолидиране на местното данъчно облагане на недвижимото имущество (данък сгради, данък върху парцела, общински данък);</w:t>
            </w:r>
          </w:p>
          <w:p w14:paraId="25927348" w14:textId="77777777" w:rsidR="00CE3BAD" w:rsidRPr="00782BF9" w:rsidRDefault="006B5475">
            <w:pPr>
              <w:pStyle w:val="P68B1DB1-ListParagraph11"/>
              <w:numPr>
                <w:ilvl w:val="0"/>
                <w:numId w:val="17"/>
              </w:numPr>
              <w:spacing w:after="0" w:line="240" w:lineRule="auto"/>
              <w:textAlignment w:val="baseline"/>
              <w:rPr>
                <w:rFonts w:eastAsia="Times New Roman" w:cstheme="minorHAnsi"/>
                <w:noProof/>
                <w:lang w:val="bg-BG"/>
              </w:rPr>
            </w:pPr>
            <w:r w:rsidRPr="00782BF9">
              <w:rPr>
                <w:noProof/>
                <w:lang w:val="bg-BG"/>
              </w:rPr>
              <w:t>консолидиране на данъчното облагане на превозните средства (данък върху превозните средства, данък върху служебните автомобили, данък при регистрация, данъци върху прехвърлянето на имущество);</w:t>
            </w:r>
          </w:p>
          <w:p w14:paraId="7E5D6AD8" w14:textId="77777777" w:rsidR="00CE3BAD" w:rsidRPr="00782BF9" w:rsidRDefault="006B5475">
            <w:pPr>
              <w:pStyle w:val="P68B1DB1-ListParagraph11"/>
              <w:numPr>
                <w:ilvl w:val="0"/>
                <w:numId w:val="17"/>
              </w:numPr>
              <w:spacing w:after="0" w:line="240" w:lineRule="auto"/>
              <w:textAlignment w:val="baseline"/>
              <w:rPr>
                <w:rFonts w:eastAsia="Times New Roman" w:cstheme="minorHAnsi"/>
                <w:noProof/>
                <w:lang w:val="bg-BG"/>
              </w:rPr>
            </w:pPr>
            <w:r w:rsidRPr="00782BF9">
              <w:rPr>
                <w:noProof/>
                <w:lang w:val="bg-BG"/>
              </w:rPr>
              <w:t>сливане на вноската за рехабилитация (фиксирана сума) с данък на работодателите;</w:t>
            </w:r>
          </w:p>
          <w:p w14:paraId="60D8CA91" w14:textId="77777777" w:rsidR="00CE3BAD" w:rsidRPr="00782BF9" w:rsidRDefault="006B5475">
            <w:pPr>
              <w:pStyle w:val="P68B1DB1-ListParagraph11"/>
              <w:numPr>
                <w:ilvl w:val="0"/>
                <w:numId w:val="17"/>
              </w:numPr>
              <w:spacing w:after="0" w:line="240" w:lineRule="auto"/>
              <w:textAlignment w:val="baseline"/>
              <w:rPr>
                <w:rFonts w:eastAsia="Times New Roman" w:cstheme="minorHAnsi"/>
                <w:noProof/>
                <w:lang w:val="bg-BG"/>
              </w:rPr>
            </w:pPr>
            <w:r w:rsidRPr="00782BF9">
              <w:rPr>
                <w:noProof/>
                <w:lang w:val="bg-BG"/>
              </w:rPr>
              <w:t>сливане на данъчното облагане на даренията/наследствата в данъка върху доходите на физическите лица;</w:t>
            </w:r>
          </w:p>
          <w:p w14:paraId="77DFFE4E" w14:textId="3B008736" w:rsidR="00CE3BAD" w:rsidRPr="00782BF9" w:rsidRDefault="006B5475">
            <w:pPr>
              <w:pStyle w:val="P68B1DB1-ListParagraph11"/>
              <w:numPr>
                <w:ilvl w:val="0"/>
                <w:numId w:val="17"/>
              </w:numPr>
              <w:spacing w:after="0" w:line="240" w:lineRule="auto"/>
              <w:textAlignment w:val="baseline"/>
              <w:rPr>
                <w:rFonts w:eastAsia="Times New Roman" w:cstheme="minorHAnsi"/>
                <w:noProof/>
                <w:lang w:val="bg-BG"/>
              </w:rPr>
            </w:pPr>
            <w:r w:rsidRPr="00782BF9">
              <w:rPr>
                <w:noProof/>
                <w:lang w:val="bg-BG"/>
              </w:rPr>
              <w:t>премахване на минималните данъци с минимален капацитет за повишаване на приходите (с изключение на тези, които се изискват от правото на ЕС и тези, които служат за постигане на екологични цели); и че</w:t>
            </w:r>
          </w:p>
          <w:p w14:paraId="672BEA2C" w14:textId="77777777" w:rsidR="00CE3BAD" w:rsidRPr="00782BF9" w:rsidRDefault="006B5475">
            <w:pPr>
              <w:pStyle w:val="P68B1DB1-ListParagraph11"/>
              <w:numPr>
                <w:ilvl w:val="0"/>
                <w:numId w:val="17"/>
              </w:numPr>
              <w:spacing w:after="0" w:line="240" w:lineRule="auto"/>
              <w:textAlignment w:val="baseline"/>
              <w:rPr>
                <w:rFonts w:eastAsia="Times New Roman" w:cstheme="minorHAnsi"/>
                <w:noProof/>
                <w:lang w:val="bg-BG"/>
              </w:rPr>
            </w:pPr>
            <w:r w:rsidRPr="00782BF9">
              <w:rPr>
                <w:noProof/>
                <w:lang w:val="bg-BG"/>
              </w:rPr>
              <w:t>премахване/консолидиране на вноската за отпуск по болест.</w:t>
            </w:r>
          </w:p>
          <w:p w14:paraId="1AC3934C" w14:textId="3498ABE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 доклада на работната група се препоръчва намаляване с 10 % на броя на данъците в сравнение с броя, който е в сила към 1 януари 2023 г. Намалението се постига чрез премахване на съществуващите данъци или консолидиране на два или повече от тях в едно. Временните данъчни мерки, чийто срок на действие изтича до 31 декември 2023 г. и са посочени в етап 257, както и данъкът върху тръбопроводите за комунални услуги, посочен в етап 262, не се отчитат като част от данъците, които са в сила към 1 януари 2023 г., нито допринасят за предложеното намаляване на броя на данъците.</w:t>
            </w:r>
          </w:p>
          <w:p w14:paraId="5BF6810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Докладът на работната група се оповестява публично.</w:t>
            </w:r>
          </w:p>
        </w:tc>
      </w:tr>
      <w:tr w:rsidR="00CE3BAD" w:rsidRPr="00782BF9" w14:paraId="4CC6090E" w14:textId="77777777">
        <w:trPr>
          <w:gridBefore w:val="1"/>
          <w:wBefore w:w="7" w:type="dxa"/>
          <w:trHeight w:val="987"/>
        </w:trPr>
        <w:tc>
          <w:tcPr>
            <w:tcW w:w="800" w:type="dxa"/>
            <w:shd w:val="clear" w:color="auto" w:fill="C6EFCE"/>
            <w:vAlign w:val="center"/>
          </w:tcPr>
          <w:p w14:paraId="5297EBE2" w14:textId="29A55234"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259</w:t>
            </w:r>
          </w:p>
        </w:tc>
        <w:tc>
          <w:tcPr>
            <w:tcW w:w="1493" w:type="dxa"/>
            <w:shd w:val="clear" w:color="auto" w:fill="C6EFCE"/>
            <w:vAlign w:val="center"/>
          </w:tcPr>
          <w:p w14:paraId="294119F0" w14:textId="14F7893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C9.R35 Опростяване на данъчната система чрез намаляване на броя на данъците</w:t>
            </w:r>
          </w:p>
        </w:tc>
        <w:tc>
          <w:tcPr>
            <w:tcW w:w="883" w:type="dxa"/>
            <w:shd w:val="clear" w:color="auto" w:fill="C6EFCE"/>
            <w:vAlign w:val="center"/>
          </w:tcPr>
          <w:p w14:paraId="418CE80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55AF08B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законодателни изменения за намаляване на броя на данъците</w:t>
            </w:r>
          </w:p>
        </w:tc>
        <w:tc>
          <w:tcPr>
            <w:tcW w:w="1276" w:type="dxa"/>
            <w:shd w:val="clear" w:color="auto" w:fill="C6EFCE"/>
            <w:vAlign w:val="center"/>
          </w:tcPr>
          <w:p w14:paraId="36EE7E6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Разпоредби в законодателните изменения, указващи влизането им в сила</w:t>
            </w:r>
          </w:p>
        </w:tc>
        <w:tc>
          <w:tcPr>
            <w:tcW w:w="1134" w:type="dxa"/>
            <w:shd w:val="clear" w:color="auto" w:fill="C6EFCE"/>
            <w:vAlign w:val="center"/>
          </w:tcPr>
          <w:p w14:paraId="7674A735"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743FA25F"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48451C1C"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1E5432EB"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1F32258F"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tcPr>
          <w:p w14:paraId="27C85DDF" w14:textId="22C04BD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законодателни изменения за намаляване на броя на данъците въз основа на доклада на специалната работна група, посочена в етап 258. Приетото законодателство трябва да постигне намаление с 10 % на броя на данъците в сравнение с броя, който е бил в сила към 1 януари 2023 г. Намалението се постига чрез премахване на съществуващите данъци или консолидиране на два или повече от тях в едно. Временните данъчни мерки, чийто срок на действие изтича до 31 декември 2023 г. и са посочени в етап 257, както и данъкът върху тръбопроводите за комунални услуги, посочен в етап 262, не се отчитат като част от данъците, които са в сила към 1 януари 2023 г., нито допринасят за намаляването на броя на данъците.</w:t>
            </w:r>
          </w:p>
        </w:tc>
      </w:tr>
      <w:tr w:rsidR="00CE3BAD" w:rsidRPr="00782BF9" w14:paraId="06D4DC30" w14:textId="77777777">
        <w:trPr>
          <w:gridBefore w:val="1"/>
          <w:wBefore w:w="7" w:type="dxa"/>
          <w:trHeight w:val="987"/>
        </w:trPr>
        <w:tc>
          <w:tcPr>
            <w:tcW w:w="800" w:type="dxa"/>
            <w:shd w:val="clear" w:color="auto" w:fill="C6EFCE"/>
            <w:vAlign w:val="center"/>
          </w:tcPr>
          <w:p w14:paraId="64563E24" w14:textId="019A304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260</w:t>
            </w:r>
          </w:p>
        </w:tc>
        <w:tc>
          <w:tcPr>
            <w:tcW w:w="1493" w:type="dxa"/>
            <w:shd w:val="clear" w:color="auto" w:fill="C6EFCE"/>
            <w:vAlign w:val="center"/>
          </w:tcPr>
          <w:p w14:paraId="5B9AE609" w14:textId="04B6E28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C9.R35 Опростяване на данъчната система чрез намаляване на броя на данъците</w:t>
            </w:r>
          </w:p>
        </w:tc>
        <w:tc>
          <w:tcPr>
            <w:tcW w:w="883" w:type="dxa"/>
            <w:shd w:val="clear" w:color="auto" w:fill="C6EFCE"/>
            <w:vAlign w:val="center"/>
          </w:tcPr>
          <w:p w14:paraId="6077C3E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6DA27C0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Доклад на работната група за възможностите за опростяване и консолидиране на алтернативен набор от правила относно данъчното облагане на доходите на физическите лица</w:t>
            </w:r>
          </w:p>
        </w:tc>
        <w:tc>
          <w:tcPr>
            <w:tcW w:w="1276" w:type="dxa"/>
            <w:shd w:val="clear" w:color="auto" w:fill="C6EFCE"/>
            <w:vAlign w:val="center"/>
          </w:tcPr>
          <w:p w14:paraId="0D7E25D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доклада</w:t>
            </w:r>
          </w:p>
        </w:tc>
        <w:tc>
          <w:tcPr>
            <w:tcW w:w="1134" w:type="dxa"/>
            <w:shd w:val="clear" w:color="auto" w:fill="C6EFCE"/>
            <w:vAlign w:val="center"/>
          </w:tcPr>
          <w:p w14:paraId="3B7D78CD"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57901AF3"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4E66CB3F"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58900A1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28E0559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tcPr>
          <w:p w14:paraId="4140935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 работна група се възлага изготвянето на доклад относно начините за опростяване и консолидиране на правилата за данъчно облагане на доходите на физическите лица, за да се премахнат неефективните данъчни разходи, да се улесни изборът на данъчни правила за данъкоплатците и да се намалят изкривените или неоправданите стимули, като по този начин данъчната система стане по-справедлива. Работната група включва представители на Министерството на финансите, данъчната администрация, търговските камари (Унгарската търговско-промишлена палата, Германско-унгарската промишлена и търговска камара, Американската търговска камара в Унгария), представители на данъчните консултанти и академични експерти.</w:t>
            </w:r>
          </w:p>
          <w:p w14:paraId="65624D3F" w14:textId="77777777" w:rsidR="00CE3BAD" w:rsidRPr="00782BF9" w:rsidRDefault="00CE3BAD">
            <w:pPr>
              <w:spacing w:after="0" w:line="240" w:lineRule="auto"/>
              <w:ind w:left="52"/>
              <w:textAlignment w:val="baseline"/>
              <w:rPr>
                <w:rFonts w:eastAsia="Times New Roman"/>
                <w:noProof/>
                <w:sz w:val="18"/>
                <w:lang w:val="bg-BG"/>
              </w:rPr>
            </w:pPr>
          </w:p>
          <w:p w14:paraId="6244DCBB" w14:textId="69F9D6A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Работната група представя на правителството своя доклад относно предложенията за реформи. Докладът се оповестява публично.</w:t>
            </w:r>
          </w:p>
        </w:tc>
      </w:tr>
      <w:tr w:rsidR="00CE3BAD" w:rsidRPr="00782BF9" w14:paraId="50DC7A3C" w14:textId="77777777">
        <w:trPr>
          <w:gridBefore w:val="1"/>
          <w:wBefore w:w="7" w:type="dxa"/>
          <w:trHeight w:val="987"/>
        </w:trPr>
        <w:tc>
          <w:tcPr>
            <w:tcW w:w="800" w:type="dxa"/>
            <w:shd w:val="clear" w:color="auto" w:fill="C6EFCE"/>
            <w:vAlign w:val="center"/>
          </w:tcPr>
          <w:p w14:paraId="2F0FC048" w14:textId="37AC726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261</w:t>
            </w:r>
          </w:p>
        </w:tc>
        <w:tc>
          <w:tcPr>
            <w:tcW w:w="1493" w:type="dxa"/>
            <w:shd w:val="clear" w:color="auto" w:fill="C6EFCE"/>
            <w:vAlign w:val="center"/>
          </w:tcPr>
          <w:p w14:paraId="0A504F65" w14:textId="67A6D9F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C9.R35 Опростяване на данъчната система чрез намаляване на броя на данъците </w:t>
            </w:r>
          </w:p>
        </w:tc>
        <w:tc>
          <w:tcPr>
            <w:tcW w:w="883" w:type="dxa"/>
            <w:shd w:val="clear" w:color="auto" w:fill="C6EFCE"/>
            <w:vAlign w:val="center"/>
          </w:tcPr>
          <w:p w14:paraId="460282E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C113FD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законодателни изменения за опростяване и консолидиране на данъчното облагане на доходите на физическите лица</w:t>
            </w:r>
          </w:p>
        </w:tc>
        <w:tc>
          <w:tcPr>
            <w:tcW w:w="1276" w:type="dxa"/>
            <w:shd w:val="clear" w:color="auto" w:fill="C6EFCE"/>
            <w:vAlign w:val="center"/>
          </w:tcPr>
          <w:p w14:paraId="2CCA3069"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Разпоредби в законодателните изменения, указващи влизането им в сила</w:t>
            </w:r>
          </w:p>
        </w:tc>
        <w:tc>
          <w:tcPr>
            <w:tcW w:w="1134" w:type="dxa"/>
            <w:shd w:val="clear" w:color="auto" w:fill="C6EFCE"/>
            <w:vAlign w:val="center"/>
          </w:tcPr>
          <w:p w14:paraId="63AFECCE"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F1C91AB"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360D5079"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37D4F57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7FD9C95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2023</w:t>
            </w:r>
          </w:p>
        </w:tc>
        <w:tc>
          <w:tcPr>
            <w:tcW w:w="4793" w:type="dxa"/>
            <w:shd w:val="clear" w:color="auto" w:fill="C6EFCE"/>
          </w:tcPr>
          <w:p w14:paraId="610D28A0" w14:textId="0B721C1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Влизане в сила на законодателни изменения за опростяване и консолидиране на данъчното облагане на доходите на физическите лица въз основа на доклада на специалната работна група, посочена в етап 260. </w:t>
            </w:r>
          </w:p>
        </w:tc>
      </w:tr>
      <w:tr w:rsidR="00CE3BAD" w:rsidRPr="00782BF9" w14:paraId="0E10EDFB" w14:textId="77777777">
        <w:trPr>
          <w:gridBefore w:val="1"/>
          <w:wBefore w:w="7" w:type="dxa"/>
          <w:trHeight w:val="987"/>
        </w:trPr>
        <w:tc>
          <w:tcPr>
            <w:tcW w:w="800" w:type="dxa"/>
            <w:shd w:val="clear" w:color="auto" w:fill="C6EFCE"/>
            <w:vAlign w:val="center"/>
          </w:tcPr>
          <w:p w14:paraId="535DC91E" w14:textId="169E8C0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262</w:t>
            </w:r>
          </w:p>
        </w:tc>
        <w:tc>
          <w:tcPr>
            <w:tcW w:w="1493" w:type="dxa"/>
            <w:shd w:val="clear" w:color="auto" w:fill="C6EFCE"/>
            <w:vAlign w:val="center"/>
          </w:tcPr>
          <w:p w14:paraId="5BDCD450" w14:textId="27E4D7B4" w:rsidR="00CE3BAD" w:rsidRPr="00782BF9" w:rsidRDefault="006B5475">
            <w:pPr>
              <w:pStyle w:val="P68B1DB1-Normal10"/>
              <w:spacing w:after="0" w:line="240" w:lineRule="auto"/>
              <w:ind w:left="52"/>
              <w:rPr>
                <w:rFonts w:eastAsia="Times New Roman"/>
                <w:noProof/>
                <w:lang w:val="bg-BG"/>
              </w:rPr>
            </w:pPr>
            <w:r w:rsidRPr="00782BF9">
              <w:rPr>
                <w:noProof/>
                <w:lang w:val="bg-BG"/>
              </w:rPr>
              <w:t>C9.R36 Реформиране на данъка върху газопроводите за комунални услуги</w:t>
            </w:r>
          </w:p>
          <w:p w14:paraId="4FF97185" w14:textId="77777777" w:rsidR="00CE3BAD" w:rsidRPr="00782BF9" w:rsidRDefault="00CE3BAD">
            <w:pPr>
              <w:spacing w:after="0" w:line="240" w:lineRule="auto"/>
              <w:ind w:left="52"/>
              <w:textAlignment w:val="baseline"/>
              <w:rPr>
                <w:rFonts w:eastAsia="Times New Roman"/>
                <w:noProof/>
                <w:sz w:val="18"/>
                <w:lang w:val="bg-BG"/>
              </w:rPr>
            </w:pPr>
          </w:p>
        </w:tc>
        <w:tc>
          <w:tcPr>
            <w:tcW w:w="883" w:type="dxa"/>
            <w:shd w:val="clear" w:color="auto" w:fill="C6EFCE"/>
            <w:vAlign w:val="center"/>
          </w:tcPr>
          <w:p w14:paraId="2F84CB31" w14:textId="41C9E552"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1473E268" w14:textId="796F469D"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Влизане в сила на Закона за отмяна или изменение на Закон № CLXVIII от 2012 г. относно данъка върху тръбопроводите за комунални услуги </w:t>
            </w:r>
          </w:p>
        </w:tc>
        <w:tc>
          <w:tcPr>
            <w:tcW w:w="1276" w:type="dxa"/>
            <w:shd w:val="clear" w:color="auto" w:fill="C6EFCE"/>
            <w:vAlign w:val="center"/>
          </w:tcPr>
          <w:p w14:paraId="3CC16DD3" w14:textId="3CF4EE5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Разпоредби в законодателните изменения, указващи влизането им в сила</w:t>
            </w:r>
          </w:p>
        </w:tc>
        <w:tc>
          <w:tcPr>
            <w:tcW w:w="1134" w:type="dxa"/>
            <w:shd w:val="clear" w:color="auto" w:fill="C6EFCE"/>
            <w:vAlign w:val="center"/>
          </w:tcPr>
          <w:p w14:paraId="639EFA69"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4F98847"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3EDE87A"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8FC849B" w14:textId="1B6882C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3A782AEA" w14:textId="136EF4B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2024</w:t>
            </w:r>
          </w:p>
        </w:tc>
        <w:tc>
          <w:tcPr>
            <w:tcW w:w="4793" w:type="dxa"/>
            <w:shd w:val="clear" w:color="auto" w:fill="C6EFCE"/>
          </w:tcPr>
          <w:p w14:paraId="22AE4508" w14:textId="230AFA89"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Закон за опростяване на данъчното облагане на комуналните услуги влиза в сила или за i) отмяна на Закон № CLXVIII от 2012 г. относно данъка върху тръбопроводите за комунални услуги, или ii)</w:t>
            </w:r>
          </w:p>
          <w:p w14:paraId="2F132F78" w14:textId="39AD756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изменение на Закон № CLXVIII от 2012 г. относно данъка върху тръбопроводите за комунални услуги, за да се въведе данъчно правило, позволяващо на собствениците на комунални услуги да погасяват или приспадат подробния данък, дължим по техните линии (водоснабдяване и канализация, електропроводи, тръбопроводи за природен газ и далекосъобщителни кабели), които се намират на обществени места, за сумата, която инвестират в поддръжката или модернизирането на тези линии.</w:t>
            </w:r>
          </w:p>
        </w:tc>
      </w:tr>
      <w:tr w:rsidR="00CE3BAD" w:rsidRPr="00782BF9" w14:paraId="099E8AB9" w14:textId="77777777">
        <w:trPr>
          <w:gridBefore w:val="1"/>
          <w:wBefore w:w="7" w:type="dxa"/>
          <w:trHeight w:val="987"/>
        </w:trPr>
        <w:tc>
          <w:tcPr>
            <w:tcW w:w="800" w:type="dxa"/>
            <w:shd w:val="clear" w:color="auto" w:fill="C6EFCE"/>
            <w:vAlign w:val="center"/>
          </w:tcPr>
          <w:p w14:paraId="354A3028" w14:textId="7340AAA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263</w:t>
            </w:r>
          </w:p>
        </w:tc>
        <w:tc>
          <w:tcPr>
            <w:tcW w:w="1493" w:type="dxa"/>
            <w:shd w:val="clear" w:color="auto" w:fill="C6EFCE"/>
            <w:vAlign w:val="center"/>
          </w:tcPr>
          <w:p w14:paraId="7A2638A2" w14:textId="3724D95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C9.R37 Интегриране на използването на комуникационни кампании и поведенчески наблюдения от данъчната администрация</w:t>
            </w:r>
          </w:p>
        </w:tc>
        <w:tc>
          <w:tcPr>
            <w:tcW w:w="883" w:type="dxa"/>
            <w:shd w:val="clear" w:color="auto" w:fill="C6EFCE"/>
            <w:vAlign w:val="center"/>
          </w:tcPr>
          <w:p w14:paraId="2757915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656FA56C"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Подобряване на комуникационните практики на органите на публичната администрация към техните клиенти</w:t>
            </w:r>
          </w:p>
        </w:tc>
        <w:tc>
          <w:tcPr>
            <w:tcW w:w="1276" w:type="dxa"/>
            <w:shd w:val="clear" w:color="auto" w:fill="C6EFCE"/>
            <w:vAlign w:val="center"/>
          </w:tcPr>
          <w:p w14:paraId="072A12E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Докладът се представя на правителството и се въвеждат нови насоки „стъпка по стъпка“</w:t>
            </w:r>
          </w:p>
        </w:tc>
        <w:tc>
          <w:tcPr>
            <w:tcW w:w="1134" w:type="dxa"/>
            <w:shd w:val="clear" w:color="auto" w:fill="C6EFCE"/>
            <w:vAlign w:val="center"/>
          </w:tcPr>
          <w:p w14:paraId="7422F1C4"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7BA1D699"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0AB2A917"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030D946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3B03CE7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2024</w:t>
            </w:r>
          </w:p>
        </w:tc>
        <w:tc>
          <w:tcPr>
            <w:tcW w:w="4793" w:type="dxa"/>
            <w:shd w:val="clear" w:color="auto" w:fill="C6EFCE"/>
          </w:tcPr>
          <w:p w14:paraId="1C15C11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Националният орган за събиране на данъци (NTCA) изготвя доклад за компонентите и резултатите от своята „обикновена комуникационна програма“. Докладът насърчава включването на ориентираните към клиентите и лесни за разбиране подходи за комуникация в други организации на публичната администрация, насочени към клиентите, чрез действителен натрупан опит и методи, разработени от NTCA. Докладът се представя на правителството и се оповестява публично. Въз основа на доклада на цифровите платформи на NTCA се публикуват нови насоки „стъпка по стъпка“ по конкретни теми, включително подпомагане на частните предприемачи при избора на незадължителни данъчни режими, заявления за освобождаване от плащане, данъчно облагане и гербови налози върху сделките с недвижими имоти. </w:t>
            </w:r>
          </w:p>
        </w:tc>
      </w:tr>
      <w:tr w:rsidR="00CE3BAD" w:rsidRPr="00782BF9" w14:paraId="2CB75145" w14:textId="77777777">
        <w:trPr>
          <w:gridBefore w:val="1"/>
          <w:wBefore w:w="7" w:type="dxa"/>
          <w:trHeight w:val="987"/>
        </w:trPr>
        <w:tc>
          <w:tcPr>
            <w:tcW w:w="800" w:type="dxa"/>
            <w:shd w:val="clear" w:color="auto" w:fill="C6EFCE"/>
            <w:vAlign w:val="center"/>
          </w:tcPr>
          <w:p w14:paraId="223C811F" w14:textId="510454F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264</w:t>
            </w:r>
          </w:p>
        </w:tc>
        <w:tc>
          <w:tcPr>
            <w:tcW w:w="1493" w:type="dxa"/>
            <w:shd w:val="clear" w:color="auto" w:fill="C6EFCE"/>
            <w:vAlign w:val="center"/>
          </w:tcPr>
          <w:p w14:paraId="063258A8" w14:textId="236B807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C9.R37 Интегриране на използването на комуникационни кампании и поведенчески наблюдения от данъчната администрация</w:t>
            </w:r>
          </w:p>
        </w:tc>
        <w:tc>
          <w:tcPr>
            <w:tcW w:w="883" w:type="dxa"/>
            <w:shd w:val="clear" w:color="auto" w:fill="C6EFCE"/>
            <w:vAlign w:val="center"/>
          </w:tcPr>
          <w:p w14:paraId="547FE91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4A1D085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Прилагане на поведенчески наблюдения при процедурите на NTCA</w:t>
            </w:r>
          </w:p>
        </w:tc>
        <w:tc>
          <w:tcPr>
            <w:tcW w:w="1276" w:type="dxa"/>
            <w:shd w:val="clear" w:color="auto" w:fill="C6EFCE"/>
            <w:vAlign w:val="center"/>
          </w:tcPr>
          <w:p w14:paraId="56D4EEC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Доклад относно прилагането на поведенчески наблюдения в процедурите на NTCA и публикуване на резултатите от пилотните проекти за BI</w:t>
            </w:r>
          </w:p>
        </w:tc>
        <w:tc>
          <w:tcPr>
            <w:tcW w:w="1134" w:type="dxa"/>
            <w:shd w:val="clear" w:color="auto" w:fill="C6EFCE"/>
            <w:vAlign w:val="center"/>
          </w:tcPr>
          <w:p w14:paraId="41D942F3"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46EA4B61"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255A9FAE"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20ACAF1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Т4 Г.</w:t>
            </w:r>
          </w:p>
        </w:tc>
        <w:tc>
          <w:tcPr>
            <w:tcW w:w="709" w:type="dxa"/>
            <w:shd w:val="clear" w:color="auto" w:fill="C6EFCE"/>
            <w:vAlign w:val="center"/>
          </w:tcPr>
          <w:p w14:paraId="1BC5561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tcPr>
          <w:p w14:paraId="7C83FF80"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NTCA изготвя доклад, който се представя на правителството относно начина, по който поведенческите подходи могат да подобрят изпълнението на функциите на публичната администрация, въз основа на доказателствата, събрани в пилотните проекти за BI на NTCA, и опита, натрупан чрез включването им в редовните процедури.</w:t>
            </w:r>
          </w:p>
          <w:p w14:paraId="6EEDC137" w14:textId="77777777" w:rsidR="00CE3BAD" w:rsidRPr="00782BF9" w:rsidRDefault="00CE3BAD">
            <w:pPr>
              <w:spacing w:after="0" w:line="240" w:lineRule="auto"/>
              <w:ind w:left="52"/>
              <w:textAlignment w:val="baseline"/>
              <w:rPr>
                <w:rFonts w:eastAsia="Times New Roman"/>
                <w:noProof/>
                <w:sz w:val="18"/>
                <w:lang w:val="bg-BG"/>
              </w:rPr>
            </w:pPr>
          </w:p>
          <w:p w14:paraId="372BF734" w14:textId="7713185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 сътрудничество между NTCA и Министерството на финансите се изпълняват най-малко три нови пилотни проекта за ИБ, основани на НИТ. Темите включват поне прецизиране на съобщенията, предоставяне на инструменти за доброволно спазване, подобряване на услугите за наставничество, намиране на правилния баланс между поведенческите интервенции и правоприлагането в борбата с укриването на данъци. Резултатите от тези проекти се оценяват и публикуват.</w:t>
            </w:r>
          </w:p>
        </w:tc>
      </w:tr>
      <w:tr w:rsidR="00CE3BAD" w:rsidRPr="00782BF9" w14:paraId="73CDCFF7" w14:textId="77777777">
        <w:trPr>
          <w:gridBefore w:val="1"/>
          <w:wBefore w:w="7" w:type="dxa"/>
          <w:trHeight w:val="987"/>
        </w:trPr>
        <w:tc>
          <w:tcPr>
            <w:tcW w:w="800" w:type="dxa"/>
            <w:shd w:val="clear" w:color="auto" w:fill="C6EFCE"/>
            <w:vAlign w:val="center"/>
          </w:tcPr>
          <w:p w14:paraId="0FB59392" w14:textId="616E585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265</w:t>
            </w:r>
          </w:p>
        </w:tc>
        <w:tc>
          <w:tcPr>
            <w:tcW w:w="1493" w:type="dxa"/>
            <w:shd w:val="clear" w:color="auto" w:fill="C6EFCE"/>
            <w:vAlign w:val="center"/>
          </w:tcPr>
          <w:p w14:paraId="43EAF0CD" w14:textId="67B96EDF"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C9.R37 Интегриране на използването на комуникационни кампании и поведенчески наблюдения от данъчната администрация</w:t>
            </w:r>
          </w:p>
        </w:tc>
        <w:tc>
          <w:tcPr>
            <w:tcW w:w="883" w:type="dxa"/>
            <w:shd w:val="clear" w:color="auto" w:fill="C6EFCE"/>
            <w:vAlign w:val="center"/>
          </w:tcPr>
          <w:p w14:paraId="2724BB1F"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472B5526"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Концептуален документ относно общото преразглеждане на ИТ платформите на NTCA и тяхното интегриране в услуга с един канал</w:t>
            </w:r>
          </w:p>
        </w:tc>
        <w:tc>
          <w:tcPr>
            <w:tcW w:w="1276" w:type="dxa"/>
            <w:shd w:val="clear" w:color="auto" w:fill="C6EFCE"/>
            <w:vAlign w:val="center"/>
          </w:tcPr>
          <w:p w14:paraId="646E782E"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концептуалния документ</w:t>
            </w:r>
          </w:p>
        </w:tc>
        <w:tc>
          <w:tcPr>
            <w:tcW w:w="1134" w:type="dxa"/>
            <w:shd w:val="clear" w:color="auto" w:fill="C6EFCE"/>
            <w:vAlign w:val="center"/>
          </w:tcPr>
          <w:p w14:paraId="7D0573B2"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55345E96"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51D821F"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6815D319"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28505F3E"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2024</w:t>
            </w:r>
          </w:p>
        </w:tc>
        <w:tc>
          <w:tcPr>
            <w:tcW w:w="4793" w:type="dxa"/>
            <w:shd w:val="clear" w:color="auto" w:fill="C6EFCE"/>
          </w:tcPr>
          <w:p w14:paraId="2E629C59" w14:textId="2D4F245D" w:rsidR="00CE3BAD" w:rsidRPr="00782BF9" w:rsidRDefault="006B5475">
            <w:pPr>
              <w:pStyle w:val="P68B1DB1-Normal10"/>
              <w:spacing w:after="0" w:line="240" w:lineRule="auto"/>
              <w:ind w:left="52"/>
              <w:jc w:val="both"/>
              <w:textAlignment w:val="baseline"/>
              <w:rPr>
                <w:rFonts w:eastAsia="Times New Roman"/>
                <w:noProof/>
                <w:lang w:val="bg-BG"/>
              </w:rPr>
            </w:pPr>
            <w:r w:rsidRPr="00782BF9">
              <w:rPr>
                <w:noProof/>
                <w:lang w:val="bg-BG"/>
              </w:rPr>
              <w:t>Концептуален документ, изготвен от NTCA, предоставя подробен план за това как множеството ИТ платформи на данъчната администрация ще бъдат консолидирани в платформа с един канал. Консолидацията предоставя изцяло цифров канал на разположение на данъкоплатците, който да се използва във взаимодействията им с данъчния орган. Концептуалният документ включва предложен график на необходимите проекти за развитие, включително оценка на размера и времевото разпределение на необходимите ресурси. Тя също така предоставя план за интегрирането на всички текущи или планирани ИТ разработки на NTCA на платформата, като се основава на комуникационните иновации и подходи за BI при проектирането на услуги и дизайн на потребителски интерфейс/потребителски опит (UI/UX). Този концептуален документ служи като основа за планиране на разработването на ИТ за NTCA.</w:t>
            </w:r>
          </w:p>
          <w:p w14:paraId="1814DF7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Концептуалният документ се публикува на уебсайта на NTCA.</w:t>
            </w:r>
          </w:p>
        </w:tc>
      </w:tr>
      <w:tr w:rsidR="00CE3BAD" w:rsidRPr="00782BF9" w14:paraId="74E70295" w14:textId="77777777">
        <w:trPr>
          <w:gridBefore w:val="1"/>
          <w:wBefore w:w="7" w:type="dxa"/>
          <w:trHeight w:val="693"/>
        </w:trPr>
        <w:tc>
          <w:tcPr>
            <w:tcW w:w="800" w:type="dxa"/>
            <w:shd w:val="clear" w:color="auto" w:fill="C6EFCE"/>
            <w:vAlign w:val="center"/>
          </w:tcPr>
          <w:p w14:paraId="39B01A9C" w14:textId="14ED67C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266</w:t>
            </w:r>
          </w:p>
        </w:tc>
        <w:tc>
          <w:tcPr>
            <w:tcW w:w="1493" w:type="dxa"/>
            <w:shd w:val="clear" w:color="auto" w:fill="C6EFCE"/>
            <w:vAlign w:val="center"/>
          </w:tcPr>
          <w:p w14:paraId="33F9B175" w14:textId="5C3C06B0"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C9.R37 Интегриране на използването на комуникационни кампании и поведенчески наблюдения от данъчната администрация</w:t>
            </w:r>
          </w:p>
        </w:tc>
        <w:tc>
          <w:tcPr>
            <w:tcW w:w="883" w:type="dxa"/>
            <w:shd w:val="clear" w:color="auto" w:fill="C6EFCE"/>
            <w:vAlign w:val="center"/>
          </w:tcPr>
          <w:p w14:paraId="0D19A6B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C1E038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Наличие на нови функционалности на интегрираните платформи на NTCA</w:t>
            </w:r>
          </w:p>
        </w:tc>
        <w:tc>
          <w:tcPr>
            <w:tcW w:w="1276" w:type="dxa"/>
            <w:shd w:val="clear" w:color="auto" w:fill="C6EFCE"/>
            <w:vAlign w:val="center"/>
          </w:tcPr>
          <w:p w14:paraId="16799F8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Новите функции функционират и са достъпни на интегрираните платформи и мобилното приложение.</w:t>
            </w:r>
          </w:p>
        </w:tc>
        <w:tc>
          <w:tcPr>
            <w:tcW w:w="1134" w:type="dxa"/>
            <w:shd w:val="clear" w:color="auto" w:fill="C6EFCE"/>
            <w:vAlign w:val="center"/>
          </w:tcPr>
          <w:p w14:paraId="52EA6100" w14:textId="77777777"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04981E1C" w14:textId="77777777"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5AC7DB3B" w14:textId="7777777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4032561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Т3 Г.</w:t>
            </w:r>
          </w:p>
        </w:tc>
        <w:tc>
          <w:tcPr>
            <w:tcW w:w="709" w:type="dxa"/>
            <w:shd w:val="clear" w:color="auto" w:fill="C6EFCE"/>
            <w:vAlign w:val="center"/>
          </w:tcPr>
          <w:p w14:paraId="661D0977"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2025</w:t>
            </w:r>
          </w:p>
        </w:tc>
        <w:tc>
          <w:tcPr>
            <w:tcW w:w="4793" w:type="dxa"/>
            <w:shd w:val="clear" w:color="auto" w:fill="C6EFCE"/>
          </w:tcPr>
          <w:p w14:paraId="05CBC23B" w14:textId="6D18DF2C" w:rsidR="00CE3BAD" w:rsidRPr="00782BF9" w:rsidRDefault="006B5475">
            <w:pPr>
              <w:pStyle w:val="P68B1DB1-Normal10"/>
              <w:spacing w:after="0" w:line="240" w:lineRule="auto"/>
              <w:jc w:val="both"/>
              <w:textAlignment w:val="baseline"/>
              <w:rPr>
                <w:rFonts w:eastAsia="Times New Roman"/>
                <w:noProof/>
                <w:lang w:val="bg-BG"/>
              </w:rPr>
            </w:pPr>
            <w:r w:rsidRPr="00782BF9">
              <w:rPr>
                <w:noProof/>
                <w:lang w:val="bg-BG"/>
              </w:rPr>
              <w:t xml:space="preserve">След консолидирането на отделни платформи (като ePIT, сайт за подаване на заявления онлайн) и предоставянето на услуги, които все още не са достъпни чрез цифрови канали (като например връзка ePayroll, гербов налог, данъци, свързани с превозни средства), поне три нови функции (които не са предоставени преди 30 септември 2022 г.) ще започнат да функционират и да бъдат на разположение на потребителите на интегрираната платформа и мобилното приложение. </w:t>
            </w:r>
          </w:p>
        </w:tc>
      </w:tr>
      <w:tr w:rsidR="00CE3BAD" w:rsidRPr="00782BF9" w14:paraId="1EB708B9" w14:textId="77777777">
        <w:trPr>
          <w:gridBefore w:val="1"/>
          <w:wBefore w:w="7" w:type="dxa"/>
          <w:trHeight w:val="987"/>
        </w:trPr>
        <w:tc>
          <w:tcPr>
            <w:tcW w:w="800" w:type="dxa"/>
            <w:shd w:val="clear" w:color="auto" w:fill="C6EFCE"/>
            <w:vAlign w:val="center"/>
          </w:tcPr>
          <w:p w14:paraId="14C02EBF" w14:textId="7A620D43"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267</w:t>
            </w:r>
          </w:p>
        </w:tc>
        <w:tc>
          <w:tcPr>
            <w:tcW w:w="1493" w:type="dxa"/>
            <w:shd w:val="clear" w:color="auto" w:fill="C6EFCE"/>
            <w:vAlign w:val="center"/>
          </w:tcPr>
          <w:p w14:paraId="2BCE2410" w14:textId="780AE57C"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C9.R38 Подобряване на ефективността на публичните разходи чрез извършване на прегледи на разходите</w:t>
            </w:r>
          </w:p>
        </w:tc>
        <w:tc>
          <w:tcPr>
            <w:tcW w:w="883" w:type="dxa"/>
            <w:shd w:val="clear" w:color="auto" w:fill="C6EFCE"/>
            <w:vAlign w:val="center"/>
          </w:tcPr>
          <w:p w14:paraId="1E4A4904"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Ключов етап</w:t>
            </w:r>
          </w:p>
        </w:tc>
        <w:tc>
          <w:tcPr>
            <w:tcW w:w="1417" w:type="dxa"/>
            <w:shd w:val="clear" w:color="auto" w:fill="C6EFCE"/>
            <w:vAlign w:val="center"/>
          </w:tcPr>
          <w:p w14:paraId="22DFD1B5"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Създаване на правна и институционална рамка за провеждане на годишни прегледи на разходите</w:t>
            </w:r>
          </w:p>
        </w:tc>
        <w:tc>
          <w:tcPr>
            <w:tcW w:w="1276" w:type="dxa"/>
            <w:shd w:val="clear" w:color="auto" w:fill="C6EFCE"/>
            <w:vAlign w:val="center"/>
          </w:tcPr>
          <w:p w14:paraId="678C4D3F" w14:textId="67850A4E"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 xml:space="preserve">Влизане в сила на изменение на организационните и оперативните правила на Министерството на финансите и влизане в сила </w:t>
            </w:r>
          </w:p>
          <w:p w14:paraId="05D354CB" w14:textId="4FFD9711"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сила на правителствено решение относно методологията и средносрочния работен план за преглед на разходите</w:t>
            </w:r>
          </w:p>
        </w:tc>
        <w:tc>
          <w:tcPr>
            <w:tcW w:w="1134" w:type="dxa"/>
            <w:shd w:val="clear" w:color="auto" w:fill="C6EFCE"/>
            <w:vAlign w:val="center"/>
          </w:tcPr>
          <w:p w14:paraId="1768ADB7" w14:textId="0ABF25DE"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25DD0146" w14:textId="0EC66FE0"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2A86B252" w14:textId="7F4D29DB"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0C73D01B" w14:textId="572C1C48"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Т2 Г.</w:t>
            </w:r>
          </w:p>
        </w:tc>
        <w:tc>
          <w:tcPr>
            <w:tcW w:w="709" w:type="dxa"/>
            <w:shd w:val="clear" w:color="auto" w:fill="C6EFCE"/>
            <w:vAlign w:val="center"/>
          </w:tcPr>
          <w:p w14:paraId="520346E4" w14:textId="77777777" w:rsidR="00CE3BAD" w:rsidRPr="00782BF9" w:rsidRDefault="006B5475">
            <w:pPr>
              <w:pStyle w:val="P68B1DB1-Normal10"/>
              <w:spacing w:after="0" w:line="240" w:lineRule="auto"/>
              <w:ind w:left="52"/>
              <w:jc w:val="center"/>
              <w:textAlignment w:val="baseline"/>
              <w:rPr>
                <w:rFonts w:eastAsia="Times New Roman"/>
                <w:noProof/>
                <w:lang w:val="bg-BG"/>
              </w:rPr>
            </w:pPr>
            <w:r w:rsidRPr="00782BF9">
              <w:rPr>
                <w:noProof/>
                <w:lang w:val="bg-BG"/>
              </w:rPr>
              <w:t>2023</w:t>
            </w:r>
          </w:p>
        </w:tc>
        <w:tc>
          <w:tcPr>
            <w:tcW w:w="4793" w:type="dxa"/>
            <w:shd w:val="clear" w:color="auto" w:fill="C6EFCE"/>
            <w:vAlign w:val="center"/>
          </w:tcPr>
          <w:p w14:paraId="62C383AD"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Органите определят Министерството на финансите за институция, която да координира и извършва преглед на разходите.</w:t>
            </w:r>
          </w:p>
          <w:p w14:paraId="019F5E7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Министерството на финансите създава звено, което отговаря за координацията на прегледите на разходите („координационно звено“). Координационното звено се подпомага в работата си от работна група, която включва външни експерти (като например известни специалисти в разглежданите области, учени, мозъчни танкери) и представители на съответните ресорни министерства. Координационното звено провежда редовни консултации и работи в тясно сътрудничество с членовете на работната група при изготвянето на правните и институционалните правила за извършване на прегледи на разходите и впоследствие при изготвянето, изпълнението и последващите действия във връзка с прегледите на разходите.</w:t>
            </w:r>
          </w:p>
          <w:p w14:paraId="59F6B951"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Правителството издава решение за започване на редовен преглед на разходите, което се публикува в Държавен вестник на Унгария.</w:t>
            </w:r>
          </w:p>
          <w:p w14:paraId="69302EF8"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 решението (и/или придружаващите документи) се посочва по-специално следното:</w:t>
            </w:r>
          </w:p>
          <w:p w14:paraId="7886BD87" w14:textId="77777777" w:rsidR="00CE3BAD" w:rsidRPr="00782BF9" w:rsidRDefault="006B5475">
            <w:pPr>
              <w:pStyle w:val="P68B1DB1-ListParagraph11"/>
              <w:numPr>
                <w:ilvl w:val="0"/>
                <w:numId w:val="13"/>
              </w:numPr>
              <w:spacing w:after="0" w:line="240" w:lineRule="auto"/>
              <w:ind w:left="412"/>
              <w:textAlignment w:val="baseline"/>
              <w:rPr>
                <w:rFonts w:eastAsia="Times New Roman"/>
                <w:noProof/>
                <w:lang w:val="bg-BG"/>
              </w:rPr>
            </w:pPr>
            <w:r w:rsidRPr="00782BF9">
              <w:rPr>
                <w:noProof/>
                <w:lang w:val="bg-BG"/>
              </w:rPr>
              <w:t>подробните цели и задачи;</w:t>
            </w:r>
          </w:p>
          <w:p w14:paraId="6421D149" w14:textId="77777777" w:rsidR="00CE3BAD" w:rsidRPr="00782BF9" w:rsidRDefault="006B5475">
            <w:pPr>
              <w:pStyle w:val="P68B1DB1-ListParagraph11"/>
              <w:numPr>
                <w:ilvl w:val="0"/>
                <w:numId w:val="13"/>
              </w:numPr>
              <w:spacing w:after="0" w:line="240" w:lineRule="auto"/>
              <w:ind w:left="412"/>
              <w:textAlignment w:val="baseline"/>
              <w:rPr>
                <w:rFonts w:eastAsia="Times New Roman"/>
                <w:noProof/>
                <w:lang w:val="bg-BG"/>
              </w:rPr>
            </w:pPr>
            <w:r w:rsidRPr="00782BF9">
              <w:rPr>
                <w:noProof/>
                <w:lang w:val="bg-BG"/>
              </w:rPr>
              <w:t>методология за прегледа;</w:t>
            </w:r>
          </w:p>
          <w:p w14:paraId="0066D76F" w14:textId="77777777" w:rsidR="00CE3BAD" w:rsidRPr="00782BF9" w:rsidRDefault="006B5475">
            <w:pPr>
              <w:pStyle w:val="P68B1DB1-ListParagraph11"/>
              <w:numPr>
                <w:ilvl w:val="0"/>
                <w:numId w:val="13"/>
              </w:numPr>
              <w:spacing w:after="0" w:line="240" w:lineRule="auto"/>
              <w:ind w:left="412"/>
              <w:textAlignment w:val="baseline"/>
              <w:rPr>
                <w:rFonts w:eastAsia="Times New Roman"/>
                <w:noProof/>
                <w:lang w:val="bg-BG"/>
              </w:rPr>
            </w:pPr>
            <w:r w:rsidRPr="00782BF9">
              <w:rPr>
                <w:noProof/>
                <w:lang w:val="bg-BG"/>
              </w:rPr>
              <w:t>средносрочен работен план, включващ разходните области, които подлежат на преглед, и сроковете за провеждане на прегледите;</w:t>
            </w:r>
          </w:p>
          <w:p w14:paraId="04635EBF" w14:textId="7005DEDF" w:rsidR="00CE3BAD" w:rsidRPr="00782BF9" w:rsidRDefault="006B5475">
            <w:pPr>
              <w:pStyle w:val="P68B1DB1-ListParagraph11"/>
              <w:numPr>
                <w:ilvl w:val="0"/>
                <w:numId w:val="13"/>
              </w:numPr>
              <w:spacing w:after="0" w:line="240" w:lineRule="auto"/>
              <w:ind w:left="412"/>
              <w:textAlignment w:val="baseline"/>
              <w:rPr>
                <w:rFonts w:eastAsia="Times New Roman"/>
                <w:noProof/>
                <w:lang w:val="bg-BG"/>
              </w:rPr>
            </w:pPr>
            <w:r w:rsidRPr="00782BF9">
              <w:rPr>
                <w:noProof/>
                <w:lang w:val="bg-BG"/>
              </w:rPr>
              <w:t>съответните публични субекти (ако тези субекти са част от централното правителство); и че</w:t>
            </w:r>
          </w:p>
          <w:p w14:paraId="73367950" w14:textId="77777777" w:rsidR="00CE3BAD" w:rsidRPr="00782BF9" w:rsidRDefault="006B5475">
            <w:pPr>
              <w:pStyle w:val="P68B1DB1-ListParagraph11"/>
              <w:numPr>
                <w:ilvl w:val="0"/>
                <w:numId w:val="13"/>
              </w:numPr>
              <w:spacing w:after="0" w:line="240" w:lineRule="auto"/>
              <w:ind w:left="412"/>
              <w:textAlignment w:val="baseline"/>
              <w:rPr>
                <w:rFonts w:eastAsia="Times New Roman"/>
                <w:noProof/>
                <w:lang w:val="bg-BG"/>
              </w:rPr>
            </w:pPr>
            <w:r w:rsidRPr="00782BF9">
              <w:rPr>
                <w:noProof/>
                <w:lang w:val="bg-BG"/>
              </w:rPr>
              <w:t>периодите, които трябва да бъдат обхванати от анализа.</w:t>
            </w:r>
          </w:p>
          <w:p w14:paraId="0BD8D58F" w14:textId="77777777" w:rsidR="00CE3BAD" w:rsidRPr="00782BF9" w:rsidRDefault="00CE3BAD">
            <w:pPr>
              <w:spacing w:after="0" w:line="240" w:lineRule="auto"/>
              <w:ind w:left="52"/>
              <w:textAlignment w:val="baseline"/>
              <w:rPr>
                <w:rFonts w:eastAsia="Times New Roman"/>
                <w:noProof/>
                <w:sz w:val="18"/>
                <w:lang w:val="bg-BG"/>
              </w:rPr>
            </w:pPr>
          </w:p>
          <w:p w14:paraId="1885740B"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В решението се посочват също ролите и отговорностите на участващите участници, включително най-малко следните елементи:</w:t>
            </w:r>
          </w:p>
          <w:p w14:paraId="52C17A19" w14:textId="77777777" w:rsidR="00CE3BAD" w:rsidRPr="00782BF9" w:rsidRDefault="006B5475">
            <w:pPr>
              <w:pStyle w:val="P68B1DB1-ListParagraph11"/>
              <w:numPr>
                <w:ilvl w:val="0"/>
                <w:numId w:val="14"/>
              </w:numPr>
              <w:spacing w:after="0" w:line="240" w:lineRule="auto"/>
              <w:ind w:left="412"/>
              <w:textAlignment w:val="baseline"/>
              <w:rPr>
                <w:rFonts w:eastAsia="Times New Roman"/>
                <w:noProof/>
                <w:lang w:val="bg-BG"/>
              </w:rPr>
            </w:pPr>
            <w:r w:rsidRPr="00782BF9">
              <w:rPr>
                <w:noProof/>
                <w:lang w:val="bg-BG"/>
              </w:rPr>
              <w:t>Ресните министерства предоставят пълен достъп до данните и информацията на координационното звено в Министерството на финансите.</w:t>
            </w:r>
          </w:p>
          <w:p w14:paraId="63760272" w14:textId="77777777" w:rsidR="00CE3BAD" w:rsidRPr="00782BF9" w:rsidRDefault="006B5475">
            <w:pPr>
              <w:pStyle w:val="P68B1DB1-ListParagraph11"/>
              <w:numPr>
                <w:ilvl w:val="0"/>
                <w:numId w:val="14"/>
              </w:numPr>
              <w:spacing w:after="0" w:line="240" w:lineRule="auto"/>
              <w:ind w:left="412"/>
              <w:textAlignment w:val="baseline"/>
              <w:rPr>
                <w:rFonts w:eastAsia="Times New Roman"/>
                <w:noProof/>
                <w:lang w:val="bg-BG"/>
              </w:rPr>
            </w:pPr>
            <w:r w:rsidRPr="00782BF9">
              <w:rPr>
                <w:noProof/>
                <w:lang w:val="bg-BG"/>
              </w:rPr>
              <w:t>Министерството на финансите координира и извършва прегледите на разходите и след консултация с работната група формулира препоръки за евентуални последващи действия.</w:t>
            </w:r>
          </w:p>
          <w:p w14:paraId="4148C8CC" w14:textId="77777777" w:rsidR="00CE3BAD" w:rsidRPr="00782BF9" w:rsidRDefault="006B5475">
            <w:pPr>
              <w:pStyle w:val="P68B1DB1-ListParagraph11"/>
              <w:numPr>
                <w:ilvl w:val="0"/>
                <w:numId w:val="14"/>
              </w:numPr>
              <w:spacing w:after="0" w:line="240" w:lineRule="auto"/>
              <w:ind w:left="412"/>
              <w:textAlignment w:val="baseline"/>
              <w:rPr>
                <w:rFonts w:eastAsia="Times New Roman"/>
                <w:noProof/>
                <w:lang w:val="bg-BG"/>
              </w:rPr>
            </w:pPr>
            <w:r w:rsidRPr="00782BF9">
              <w:rPr>
                <w:noProof/>
                <w:lang w:val="bg-BG"/>
              </w:rPr>
              <w:t>Министерството на финансите представя на правителството редовни (тримесечни) доклади за напредъка на прегледите на разходите.</w:t>
            </w:r>
          </w:p>
          <w:p w14:paraId="204C1DD7" w14:textId="77777777" w:rsidR="00CE3BAD" w:rsidRPr="00782BF9" w:rsidRDefault="006B5475">
            <w:pPr>
              <w:pStyle w:val="P68B1DB1-ListParagraph11"/>
              <w:numPr>
                <w:ilvl w:val="0"/>
                <w:numId w:val="14"/>
              </w:numPr>
              <w:spacing w:after="0" w:line="240" w:lineRule="auto"/>
              <w:ind w:left="412"/>
              <w:textAlignment w:val="baseline"/>
              <w:rPr>
                <w:rFonts w:eastAsia="Times New Roman"/>
                <w:noProof/>
                <w:lang w:val="bg-BG"/>
              </w:rPr>
            </w:pPr>
            <w:r w:rsidRPr="00782BF9">
              <w:rPr>
                <w:noProof/>
                <w:lang w:val="bg-BG"/>
              </w:rPr>
              <w:t>В съответствие с принципа „изпълнение или обяснение“ правителството представя на парламента всички констатации от прегледите и, в случай че не желае да предприеме последващи действия по някои от съответните препоръки, обяснява защо. Резултатите от прегледите на разходите са готови в предварително определените срокове, за да бъдат включени в изготвянето на годишните бюджети и средносрочното бюджетно планиране.</w:t>
            </w:r>
          </w:p>
          <w:p w14:paraId="232191E1" w14:textId="77777777" w:rsidR="00CE3BAD" w:rsidRPr="00782BF9" w:rsidRDefault="006B5475">
            <w:pPr>
              <w:pStyle w:val="P68B1DB1-ListParagraph11"/>
              <w:numPr>
                <w:ilvl w:val="0"/>
                <w:numId w:val="14"/>
              </w:numPr>
              <w:spacing w:after="0" w:line="240" w:lineRule="auto"/>
              <w:ind w:left="412"/>
              <w:textAlignment w:val="baseline"/>
              <w:rPr>
                <w:rFonts w:eastAsia="Times New Roman"/>
                <w:noProof/>
                <w:lang w:val="bg-BG"/>
              </w:rPr>
            </w:pPr>
            <w:r w:rsidRPr="00782BF9">
              <w:rPr>
                <w:noProof/>
                <w:lang w:val="bg-BG"/>
              </w:rPr>
              <w:t>За да се предприемат ефективни последващи действия, на Министерството на финансите, ресорните министерства и другите публични институции, на които са отправени препоръки, се дава срок за отговор на тези препоръки в съответствие с принципа „изпълнение или обяснение“.</w:t>
            </w:r>
          </w:p>
          <w:p w14:paraId="59E6373C" w14:textId="77777777" w:rsidR="00CE3BAD" w:rsidRPr="00782BF9" w:rsidRDefault="006B5475">
            <w:pPr>
              <w:pStyle w:val="P68B1DB1-ListParagraph11"/>
              <w:numPr>
                <w:ilvl w:val="0"/>
                <w:numId w:val="14"/>
              </w:numPr>
              <w:spacing w:after="0" w:line="240" w:lineRule="auto"/>
              <w:ind w:left="412"/>
              <w:textAlignment w:val="baseline"/>
              <w:rPr>
                <w:rFonts w:eastAsia="Times New Roman"/>
                <w:noProof/>
                <w:lang w:val="bg-BG"/>
              </w:rPr>
            </w:pPr>
            <w:r w:rsidRPr="00782BF9">
              <w:rPr>
                <w:noProof/>
                <w:lang w:val="bg-BG"/>
              </w:rPr>
              <w:t>Координационното звено в Министерството на финансите има за задача да наблюдава последващите действия и да изготвя годишен доклад за отговора на препоръките.</w:t>
            </w:r>
          </w:p>
          <w:p w14:paraId="6FE1D21C" w14:textId="77777777" w:rsidR="00CE3BAD" w:rsidRPr="00782BF9" w:rsidRDefault="006B5475">
            <w:pPr>
              <w:pStyle w:val="P68B1DB1-Normal10"/>
              <w:spacing w:before="120" w:after="0" w:line="240" w:lineRule="auto"/>
              <w:ind w:left="52"/>
              <w:textAlignment w:val="baseline"/>
              <w:rPr>
                <w:rFonts w:eastAsia="Times New Roman"/>
                <w:noProof/>
                <w:lang w:val="bg-BG"/>
              </w:rPr>
            </w:pPr>
            <w:r w:rsidRPr="00782BF9">
              <w:rPr>
                <w:noProof/>
                <w:lang w:val="bg-BG"/>
              </w:rPr>
              <w:t>Методологията на прегледите взема предвид препоръките на ОИСР и сходните практики в държавите — членки на ЕС. Целта на прегледите на разходите е да се проучи подробно адекватността на публичните разходи в разглежданите области, по-специално по отношение на положителното им социално въздействие, приноса им за икономическия растеж и въздействието им върху бюджетното равновесие и средносрочната устойчивост на публичните разходи. Методиката определя конкретни цели за икономии и ефективност за конкретни разходни области с адекватно равнище на амбиция.</w:t>
            </w:r>
          </w:p>
          <w:p w14:paraId="454669CB" w14:textId="77777777" w:rsidR="00CE3BAD" w:rsidRPr="00782BF9" w:rsidRDefault="006B5475">
            <w:pPr>
              <w:pStyle w:val="P68B1DB1-Normal10"/>
              <w:spacing w:before="120" w:after="0" w:line="240" w:lineRule="auto"/>
              <w:ind w:left="52"/>
              <w:textAlignment w:val="baseline"/>
              <w:rPr>
                <w:rFonts w:eastAsia="Times New Roman"/>
                <w:noProof/>
                <w:lang w:val="bg-BG"/>
              </w:rPr>
            </w:pPr>
            <w:r w:rsidRPr="00782BF9">
              <w:rPr>
                <w:noProof/>
                <w:lang w:val="bg-BG"/>
              </w:rPr>
              <w:t>Областите за преглед се избират въз основа на критерии като разходи с нисък или висок приоритет и ефективност. При избора на областите за преглед се дава приоритет на големи и бързо нарастващи разходни позиции. Прегледите от 2023 г. и 2024 г. обхващат най-малко 10 % от разходите на сектор „Държавно управление“ всяка година.</w:t>
            </w:r>
          </w:p>
          <w:p w14:paraId="395560B2" w14:textId="77777777"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Разходните области за прегледа включват, но не се ограничават до:</w:t>
            </w:r>
          </w:p>
          <w:p w14:paraId="1B6B5F3D" w14:textId="77777777" w:rsidR="00CE3BAD" w:rsidRPr="00782BF9" w:rsidRDefault="006B5475">
            <w:pPr>
              <w:pStyle w:val="P68B1DB1-ListParagraph11"/>
              <w:numPr>
                <w:ilvl w:val="0"/>
                <w:numId w:val="15"/>
              </w:numPr>
              <w:spacing w:after="0" w:line="240" w:lineRule="auto"/>
              <w:ind w:left="412"/>
              <w:textAlignment w:val="baseline"/>
              <w:rPr>
                <w:rFonts w:eastAsia="Times New Roman"/>
                <w:noProof/>
                <w:lang w:val="bg-BG"/>
              </w:rPr>
            </w:pPr>
            <w:r w:rsidRPr="00782BF9">
              <w:rPr>
                <w:noProof/>
                <w:lang w:val="bg-BG"/>
              </w:rPr>
              <w:t>Здравеопазване;</w:t>
            </w:r>
          </w:p>
          <w:p w14:paraId="01316115" w14:textId="77777777" w:rsidR="00CE3BAD" w:rsidRPr="00782BF9" w:rsidRDefault="006B5475">
            <w:pPr>
              <w:pStyle w:val="P68B1DB1-ListParagraph11"/>
              <w:numPr>
                <w:ilvl w:val="0"/>
                <w:numId w:val="15"/>
              </w:numPr>
              <w:spacing w:after="0" w:line="240" w:lineRule="auto"/>
              <w:ind w:left="412"/>
              <w:textAlignment w:val="baseline"/>
              <w:rPr>
                <w:rFonts w:eastAsia="Times New Roman"/>
                <w:noProof/>
                <w:lang w:val="bg-BG"/>
              </w:rPr>
            </w:pPr>
            <w:r w:rsidRPr="00782BF9">
              <w:rPr>
                <w:noProof/>
                <w:lang w:val="bg-BG"/>
              </w:rPr>
              <w:t>Образованието;</w:t>
            </w:r>
          </w:p>
          <w:p w14:paraId="5E6625C3" w14:textId="740E7096" w:rsidR="00CE3BAD" w:rsidRPr="00782BF9" w:rsidRDefault="006B5475">
            <w:pPr>
              <w:pStyle w:val="P68B1DB1-ListParagraph11"/>
              <w:numPr>
                <w:ilvl w:val="0"/>
                <w:numId w:val="15"/>
              </w:numPr>
              <w:spacing w:after="0" w:line="240" w:lineRule="auto"/>
              <w:ind w:left="412"/>
              <w:textAlignment w:val="baseline"/>
              <w:rPr>
                <w:rFonts w:eastAsia="Times New Roman"/>
                <w:noProof/>
                <w:lang w:val="bg-BG"/>
              </w:rPr>
            </w:pPr>
            <w:r w:rsidRPr="00782BF9">
              <w:rPr>
                <w:noProof/>
                <w:lang w:val="bg-BG"/>
              </w:rPr>
              <w:t>Публични инвестиции; и че</w:t>
            </w:r>
          </w:p>
          <w:p w14:paraId="0FC3A075" w14:textId="77777777" w:rsidR="00CE3BAD" w:rsidRPr="00782BF9" w:rsidRDefault="006B5475">
            <w:pPr>
              <w:pStyle w:val="P68B1DB1-ListParagraph11"/>
              <w:numPr>
                <w:ilvl w:val="0"/>
                <w:numId w:val="15"/>
              </w:numPr>
              <w:spacing w:after="0" w:line="240" w:lineRule="auto"/>
              <w:ind w:left="412"/>
              <w:textAlignment w:val="baseline"/>
              <w:rPr>
                <w:rFonts w:eastAsia="Times New Roman"/>
                <w:noProof/>
                <w:lang w:val="bg-BG"/>
              </w:rPr>
            </w:pPr>
            <w:r w:rsidRPr="00782BF9">
              <w:rPr>
                <w:noProof/>
                <w:lang w:val="bg-BG"/>
              </w:rPr>
              <w:t>Подкрепа, свързана със семейството и жилищното настаняване (включително свързани данъчни предимства).</w:t>
            </w:r>
          </w:p>
          <w:p w14:paraId="5EEF55AF" w14:textId="77777777" w:rsidR="00CE3BAD" w:rsidRPr="00782BF9" w:rsidRDefault="00CE3BAD">
            <w:pPr>
              <w:spacing w:after="0" w:line="240" w:lineRule="auto"/>
              <w:textAlignment w:val="baseline"/>
              <w:rPr>
                <w:rFonts w:eastAsia="Times New Roman"/>
                <w:noProof/>
                <w:sz w:val="18"/>
                <w:lang w:val="bg-BG"/>
              </w:rPr>
            </w:pPr>
          </w:p>
        </w:tc>
      </w:tr>
      <w:tr w:rsidR="00CE3BAD" w:rsidRPr="00782BF9" w14:paraId="76687C42" w14:textId="77777777">
        <w:trPr>
          <w:gridBefore w:val="1"/>
          <w:wBefore w:w="7" w:type="dxa"/>
          <w:trHeight w:val="987"/>
        </w:trPr>
        <w:tc>
          <w:tcPr>
            <w:tcW w:w="800" w:type="dxa"/>
            <w:shd w:val="clear" w:color="auto" w:fill="C6EFCE"/>
            <w:vAlign w:val="center"/>
          </w:tcPr>
          <w:p w14:paraId="6ED65521" w14:textId="41CED847" w:rsidR="00CE3BAD" w:rsidRPr="00782BF9" w:rsidRDefault="006B5475">
            <w:pPr>
              <w:pStyle w:val="P68B1DB1-Normal10"/>
              <w:spacing w:after="0" w:line="240" w:lineRule="auto"/>
              <w:ind w:left="52"/>
              <w:textAlignment w:val="baseline"/>
              <w:rPr>
                <w:rFonts w:eastAsia="Times New Roman"/>
                <w:noProof/>
                <w:highlight w:val="yellow"/>
                <w:lang w:val="bg-BG"/>
              </w:rPr>
            </w:pPr>
            <w:r w:rsidRPr="00782BF9">
              <w:rPr>
                <w:noProof/>
                <w:lang w:val="bg-BG"/>
              </w:rPr>
              <w:t>268</w:t>
            </w:r>
          </w:p>
        </w:tc>
        <w:tc>
          <w:tcPr>
            <w:tcW w:w="1493" w:type="dxa"/>
            <w:shd w:val="clear" w:color="auto" w:fill="C6EFCE"/>
            <w:vAlign w:val="center"/>
          </w:tcPr>
          <w:p w14:paraId="2F8CCE79" w14:textId="4758257F" w:rsidR="00CE3BAD" w:rsidRPr="00782BF9" w:rsidRDefault="006B5475">
            <w:pPr>
              <w:pStyle w:val="P68B1DB1-Normal10"/>
              <w:spacing w:after="0"/>
              <w:textAlignment w:val="baseline"/>
              <w:rPr>
                <w:rFonts w:eastAsia="Calibri"/>
                <w:noProof/>
                <w:lang w:val="bg-BG"/>
              </w:rPr>
            </w:pPr>
            <w:r w:rsidRPr="00782BF9">
              <w:rPr>
                <w:noProof/>
                <w:lang w:val="bg-BG"/>
              </w:rPr>
              <w:t>C9.R38 Подобряване на ефективността на публичните разходи чрез извършване на прегледи на разходите</w:t>
            </w:r>
          </w:p>
        </w:tc>
        <w:tc>
          <w:tcPr>
            <w:tcW w:w="883" w:type="dxa"/>
            <w:shd w:val="clear" w:color="auto" w:fill="C6EFCE"/>
            <w:vAlign w:val="center"/>
          </w:tcPr>
          <w:p w14:paraId="47D9B89F"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Ключов етап</w:t>
            </w:r>
          </w:p>
        </w:tc>
        <w:tc>
          <w:tcPr>
            <w:tcW w:w="1417" w:type="dxa"/>
            <w:shd w:val="clear" w:color="auto" w:fill="C6EFCE"/>
            <w:vAlign w:val="center"/>
          </w:tcPr>
          <w:p w14:paraId="068C7C3D" w14:textId="77777777" w:rsidR="00CE3BAD" w:rsidRPr="00782BF9" w:rsidRDefault="006B5475">
            <w:pPr>
              <w:pStyle w:val="P68B1DB1-Normal10"/>
              <w:spacing w:after="0" w:line="240" w:lineRule="auto"/>
              <w:ind w:left="52"/>
              <w:rPr>
                <w:rFonts w:eastAsia="Times New Roman" w:cstheme="minorHAnsi"/>
                <w:noProof/>
                <w:lang w:val="bg-BG"/>
              </w:rPr>
            </w:pPr>
            <w:r w:rsidRPr="00782BF9">
              <w:rPr>
                <w:noProof/>
                <w:lang w:val="bg-BG"/>
              </w:rPr>
              <w:t>Доклади за резултатите от първия и втория преглед на разходите</w:t>
            </w:r>
          </w:p>
        </w:tc>
        <w:tc>
          <w:tcPr>
            <w:tcW w:w="1276" w:type="dxa"/>
            <w:shd w:val="clear" w:color="auto" w:fill="C6EFCE"/>
            <w:vAlign w:val="center"/>
          </w:tcPr>
          <w:p w14:paraId="5686E6C8"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Публикуване на два доклада относно резултатите от първите два прегледа на разходите на уебсайта на правителството</w:t>
            </w:r>
          </w:p>
        </w:tc>
        <w:tc>
          <w:tcPr>
            <w:tcW w:w="1134" w:type="dxa"/>
            <w:shd w:val="clear" w:color="auto" w:fill="C6EFCE"/>
            <w:vAlign w:val="center"/>
          </w:tcPr>
          <w:p w14:paraId="10507075" w14:textId="1E44A010"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78F6FE42" w14:textId="250077C3"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36852E4D" w14:textId="587A930E"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2E4E116C"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Т2 Г.</w:t>
            </w:r>
          </w:p>
        </w:tc>
        <w:tc>
          <w:tcPr>
            <w:tcW w:w="709" w:type="dxa"/>
            <w:shd w:val="clear" w:color="auto" w:fill="C6EFCE"/>
            <w:vAlign w:val="center"/>
          </w:tcPr>
          <w:p w14:paraId="03FF20B9"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2024</w:t>
            </w:r>
          </w:p>
        </w:tc>
        <w:tc>
          <w:tcPr>
            <w:tcW w:w="4793" w:type="dxa"/>
            <w:shd w:val="clear" w:color="auto" w:fill="C6EFCE"/>
            <w:vAlign w:val="center"/>
          </w:tcPr>
          <w:p w14:paraId="6D970D6E" w14:textId="1D6BE03B" w:rsidR="00CE3BAD" w:rsidRPr="00782BF9" w:rsidRDefault="006B5475">
            <w:pPr>
              <w:pStyle w:val="P68B1DB1-Normal10"/>
              <w:spacing w:after="0" w:line="240" w:lineRule="auto"/>
              <w:rPr>
                <w:rFonts w:eastAsia="Calibri"/>
                <w:noProof/>
                <w:lang w:val="bg-BG"/>
              </w:rPr>
            </w:pPr>
            <w:r w:rsidRPr="00782BF9">
              <w:rPr>
                <w:noProof/>
                <w:lang w:val="bg-BG"/>
              </w:rPr>
              <w:t>Министерството на финансите координира и извършва преглед на разходите в поне две области, определени в средносрочния работен план, от които поне две области от списъка, посочен в ключов етап 267, като се консултира със съответните независими от правителството професионални организации. Координационното звено работи в тясно сътрудничество с членовете на работната група, посочена в етап 267, по разработването, изпълнението и последващите действия във връзка с прегледите на разходите.</w:t>
            </w:r>
          </w:p>
          <w:p w14:paraId="56EB25F4" w14:textId="75017A72" w:rsidR="00CE3BAD" w:rsidRPr="00782BF9" w:rsidRDefault="006B5475">
            <w:pPr>
              <w:pStyle w:val="P68B1DB1-Normal10"/>
              <w:spacing w:after="0" w:line="240" w:lineRule="auto"/>
              <w:rPr>
                <w:rFonts w:eastAsia="Calibri"/>
                <w:noProof/>
                <w:lang w:val="bg-BG"/>
              </w:rPr>
            </w:pPr>
            <w:r w:rsidRPr="00782BF9">
              <w:rPr>
                <w:noProof/>
                <w:lang w:val="bg-BG"/>
              </w:rPr>
              <w:t>При прегледите на разходите се набелязват мерки и варианти на политиката за постигане на потенциални икономии (изразени като процент от обхвата на прегледаните разходи) и повишаване на ефективността в съответните разходни области. Предложените мерки и варианти трябва да бъдат на разположение не по-късно от четвъртото тримесечие на 4 2023 г.</w:t>
            </w:r>
          </w:p>
          <w:p w14:paraId="4541550C" w14:textId="321E5DCD" w:rsidR="00CE3BAD" w:rsidRPr="00782BF9" w:rsidRDefault="006B5475">
            <w:pPr>
              <w:pStyle w:val="P68B1DB1-Normal10"/>
              <w:spacing w:after="0" w:line="240" w:lineRule="auto"/>
              <w:rPr>
                <w:rFonts w:eastAsia="Calibri" w:cstheme="minorHAnsi"/>
                <w:noProof/>
                <w:lang w:val="bg-BG"/>
              </w:rPr>
            </w:pPr>
            <w:r w:rsidRPr="00782BF9">
              <w:rPr>
                <w:noProof/>
                <w:lang w:val="bg-BG"/>
              </w:rPr>
              <w:t>В два специални доклада се представят конкретните резултати от прегледите по отношение на потенциалните икономии (изразени в% от обхвата на преразгледаните разходи) и повишаването на ефективността, както е отразено по-специално в бюджетното планиране (т.е. в годишните бюджети и средносрочните бюджетни планове). Докладите се обсъждат от правителството и се публикуват на неговата интернет страница.</w:t>
            </w:r>
          </w:p>
        </w:tc>
      </w:tr>
      <w:tr w:rsidR="00CE3BAD" w:rsidRPr="00782BF9" w14:paraId="322D6A1B" w14:textId="77777777">
        <w:trPr>
          <w:gridBefore w:val="1"/>
          <w:wBefore w:w="7" w:type="dxa"/>
          <w:trHeight w:val="987"/>
        </w:trPr>
        <w:tc>
          <w:tcPr>
            <w:tcW w:w="800" w:type="dxa"/>
            <w:shd w:val="clear" w:color="auto" w:fill="C6EFCE"/>
            <w:vAlign w:val="center"/>
          </w:tcPr>
          <w:p w14:paraId="2173D415" w14:textId="0FC6ED3B" w:rsidR="00CE3BAD" w:rsidRPr="00782BF9" w:rsidRDefault="006B5475">
            <w:pPr>
              <w:pStyle w:val="P68B1DB1-Normal10"/>
              <w:spacing w:after="0" w:line="240" w:lineRule="auto"/>
              <w:ind w:left="52"/>
              <w:textAlignment w:val="baseline"/>
              <w:rPr>
                <w:rFonts w:eastAsia="Times New Roman"/>
                <w:noProof/>
                <w:highlight w:val="yellow"/>
                <w:lang w:val="bg-BG"/>
              </w:rPr>
            </w:pPr>
            <w:r w:rsidRPr="00782BF9">
              <w:rPr>
                <w:noProof/>
                <w:lang w:val="bg-BG"/>
              </w:rPr>
              <w:t>269</w:t>
            </w:r>
          </w:p>
        </w:tc>
        <w:tc>
          <w:tcPr>
            <w:tcW w:w="1493" w:type="dxa"/>
            <w:shd w:val="clear" w:color="auto" w:fill="C6EFCE"/>
            <w:vAlign w:val="center"/>
          </w:tcPr>
          <w:p w14:paraId="739BF6E1" w14:textId="425DFD08"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C9.R38 Подобряване на ефективността на публичните разходи чрез извършване на прегледи на разходите</w:t>
            </w:r>
          </w:p>
        </w:tc>
        <w:tc>
          <w:tcPr>
            <w:tcW w:w="883" w:type="dxa"/>
            <w:shd w:val="clear" w:color="auto" w:fill="C6EFCE"/>
            <w:vAlign w:val="center"/>
          </w:tcPr>
          <w:p w14:paraId="415AF9FE"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Ключов етап</w:t>
            </w:r>
          </w:p>
        </w:tc>
        <w:tc>
          <w:tcPr>
            <w:tcW w:w="1417" w:type="dxa"/>
            <w:shd w:val="clear" w:color="auto" w:fill="C6EFCE"/>
            <w:vAlign w:val="center"/>
          </w:tcPr>
          <w:p w14:paraId="5A35609C" w14:textId="77777777" w:rsidR="00CE3BAD" w:rsidRPr="00782BF9" w:rsidRDefault="006B5475">
            <w:pPr>
              <w:pStyle w:val="P68B1DB1-Normal10"/>
              <w:spacing w:after="0" w:line="240" w:lineRule="auto"/>
              <w:ind w:left="52"/>
              <w:rPr>
                <w:rFonts w:eastAsia="Times New Roman" w:cstheme="minorHAnsi"/>
                <w:noProof/>
                <w:lang w:val="bg-BG"/>
              </w:rPr>
            </w:pPr>
            <w:r w:rsidRPr="00782BF9">
              <w:rPr>
                <w:noProof/>
                <w:lang w:val="bg-BG"/>
              </w:rPr>
              <w:t>Доклади за резултатите от третия и четвъртия преглед на разходите</w:t>
            </w:r>
          </w:p>
        </w:tc>
        <w:tc>
          <w:tcPr>
            <w:tcW w:w="1276" w:type="dxa"/>
            <w:shd w:val="clear" w:color="auto" w:fill="C6EFCE"/>
            <w:vAlign w:val="center"/>
          </w:tcPr>
          <w:p w14:paraId="4CC82A9F"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Публикуване на два доклада относно резултатите от допълнителните два прегледа на разходите на уебсайта на правителството</w:t>
            </w:r>
          </w:p>
        </w:tc>
        <w:tc>
          <w:tcPr>
            <w:tcW w:w="1134" w:type="dxa"/>
            <w:shd w:val="clear" w:color="auto" w:fill="C6EFCE"/>
            <w:vAlign w:val="center"/>
          </w:tcPr>
          <w:p w14:paraId="3617E975" w14:textId="46D98441"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4E640339" w14:textId="016DBF61"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6DDC73C0" w14:textId="1E85C297"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3D5188FB"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Т2 Г.</w:t>
            </w:r>
          </w:p>
        </w:tc>
        <w:tc>
          <w:tcPr>
            <w:tcW w:w="709" w:type="dxa"/>
            <w:shd w:val="clear" w:color="auto" w:fill="C6EFCE"/>
            <w:vAlign w:val="center"/>
          </w:tcPr>
          <w:p w14:paraId="7C00E550"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2025</w:t>
            </w:r>
          </w:p>
        </w:tc>
        <w:tc>
          <w:tcPr>
            <w:tcW w:w="4793" w:type="dxa"/>
            <w:shd w:val="clear" w:color="auto" w:fill="C6EFCE"/>
            <w:vAlign w:val="center"/>
          </w:tcPr>
          <w:p w14:paraId="496A2FFD" w14:textId="4C434699" w:rsidR="00CE3BAD" w:rsidRPr="00782BF9" w:rsidRDefault="006B5475">
            <w:pPr>
              <w:pStyle w:val="P68B1DB1-Normal10"/>
              <w:spacing w:after="0" w:line="240" w:lineRule="auto"/>
              <w:rPr>
                <w:rFonts w:eastAsia="Calibri"/>
                <w:noProof/>
                <w:lang w:val="bg-BG"/>
              </w:rPr>
            </w:pPr>
            <w:r w:rsidRPr="00782BF9">
              <w:rPr>
                <w:noProof/>
                <w:lang w:val="bg-BG"/>
              </w:rPr>
              <w:t>Министерството на финансите координира и извършва преглед на разходите в поне две области, определени в средносрочния работен план, от които поне две области от списъка, посочен в ключов етап 267, като се консултира със съответните независими от правителството професионални организации. Координационното звено работи в тясно сътрудничество с членовете на работната група, посочена в етап 267, по разработването, изпълнението и последващите действия във връзка с прегледите на разходите.</w:t>
            </w:r>
          </w:p>
          <w:p w14:paraId="09BFD58E" w14:textId="5D0D361A" w:rsidR="00CE3BAD" w:rsidRPr="00782BF9" w:rsidRDefault="006B5475">
            <w:pPr>
              <w:pStyle w:val="P68B1DB1-Normal10"/>
              <w:spacing w:after="0" w:line="240" w:lineRule="auto"/>
              <w:rPr>
                <w:rFonts w:eastAsia="Calibri"/>
                <w:noProof/>
                <w:lang w:val="bg-BG"/>
              </w:rPr>
            </w:pPr>
            <w:r w:rsidRPr="00782BF9">
              <w:rPr>
                <w:noProof/>
                <w:lang w:val="bg-BG"/>
              </w:rPr>
              <w:t>При прегледите на разходите се набелязват мерки и варианти на политиката за постигане на потенциални икономии (изразени в% от обхвата на прегледаните разходи) и повишаване на ефективността в съответните разходни области. Предложените мерки и варианти трябва да бъдат на разположение не по-късно от четвъртото тримесечие на 4 2024 г.</w:t>
            </w:r>
          </w:p>
          <w:p w14:paraId="33D94B60" w14:textId="237C686E" w:rsidR="00CE3BAD" w:rsidRPr="00782BF9" w:rsidRDefault="006B5475">
            <w:pPr>
              <w:pStyle w:val="P68B1DB1-Normal10"/>
              <w:spacing w:after="0" w:line="240" w:lineRule="auto"/>
              <w:rPr>
                <w:rFonts w:eastAsia="Calibri" w:cstheme="minorHAnsi"/>
                <w:noProof/>
                <w:lang w:val="bg-BG"/>
              </w:rPr>
            </w:pPr>
            <w:r w:rsidRPr="00782BF9">
              <w:rPr>
                <w:noProof/>
                <w:lang w:val="bg-BG"/>
              </w:rPr>
              <w:t>В два специални доклада се представят конкретните резултати от прегледите по отношение на потенциалните икономии (изразени в% от обхвата на преразгледаните разходи) и повишаването на ефективността, както е отразено по-специално в бюджетното планиране (т.е. в годишните бюджети и средносрочните бюджетни планове). Докладите се обсъждат от правителството и се публикуват на неговата интернет страница.</w:t>
            </w:r>
          </w:p>
        </w:tc>
      </w:tr>
      <w:tr w:rsidR="00CE3BAD" w:rsidRPr="00782BF9" w14:paraId="705F353C" w14:textId="77777777">
        <w:trPr>
          <w:gridBefore w:val="1"/>
          <w:wBefore w:w="7" w:type="dxa"/>
          <w:trHeight w:val="987"/>
        </w:trPr>
        <w:tc>
          <w:tcPr>
            <w:tcW w:w="800" w:type="dxa"/>
            <w:shd w:val="clear" w:color="auto" w:fill="C6EFCE"/>
            <w:vAlign w:val="center"/>
          </w:tcPr>
          <w:p w14:paraId="317B9C03" w14:textId="112FDCC0" w:rsidR="00CE3BAD" w:rsidRPr="00782BF9" w:rsidRDefault="006B5475">
            <w:pPr>
              <w:pStyle w:val="P68B1DB1-Normal10"/>
              <w:spacing w:after="0" w:line="240" w:lineRule="auto"/>
              <w:ind w:left="52"/>
              <w:textAlignment w:val="baseline"/>
              <w:rPr>
                <w:rFonts w:eastAsia="Times New Roman"/>
                <w:noProof/>
                <w:highlight w:val="yellow"/>
                <w:lang w:val="bg-BG"/>
              </w:rPr>
            </w:pPr>
            <w:r w:rsidRPr="00782BF9">
              <w:rPr>
                <w:noProof/>
                <w:lang w:val="bg-BG"/>
              </w:rPr>
              <w:t>270</w:t>
            </w:r>
          </w:p>
        </w:tc>
        <w:tc>
          <w:tcPr>
            <w:tcW w:w="1493" w:type="dxa"/>
            <w:shd w:val="clear" w:color="auto" w:fill="C6EFCE"/>
            <w:vAlign w:val="center"/>
          </w:tcPr>
          <w:p w14:paraId="6E1CEF09" w14:textId="6AD0C6DB"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C9.R38 Подобряване на ефективността на публичните разходи чрез извършване на прегледи на разходите</w:t>
            </w:r>
          </w:p>
        </w:tc>
        <w:tc>
          <w:tcPr>
            <w:tcW w:w="883" w:type="dxa"/>
            <w:shd w:val="clear" w:color="auto" w:fill="C6EFCE"/>
            <w:vAlign w:val="center"/>
          </w:tcPr>
          <w:p w14:paraId="670B2534" w14:textId="77777777" w:rsidR="00CE3BAD" w:rsidRPr="00782BF9" w:rsidRDefault="006B5475">
            <w:pPr>
              <w:pStyle w:val="P68B1DB1-Normal10"/>
              <w:spacing w:after="0" w:line="240" w:lineRule="auto"/>
              <w:ind w:left="52"/>
              <w:textAlignment w:val="baseline"/>
              <w:rPr>
                <w:rFonts w:eastAsia="Times New Roman" w:cstheme="minorHAnsi"/>
                <w:noProof/>
                <w:lang w:val="bg-BG"/>
              </w:rPr>
            </w:pPr>
            <w:r w:rsidRPr="00782BF9">
              <w:rPr>
                <w:noProof/>
                <w:lang w:val="bg-BG"/>
              </w:rPr>
              <w:t>Ключов етап</w:t>
            </w:r>
          </w:p>
        </w:tc>
        <w:tc>
          <w:tcPr>
            <w:tcW w:w="1417" w:type="dxa"/>
            <w:shd w:val="clear" w:color="auto" w:fill="C6EFCE"/>
            <w:vAlign w:val="center"/>
          </w:tcPr>
          <w:p w14:paraId="319F1C53" w14:textId="3993E77B" w:rsidR="00CE3BAD" w:rsidRPr="00782BF9" w:rsidRDefault="006B5475">
            <w:pPr>
              <w:pStyle w:val="P68B1DB1-Normal10"/>
              <w:spacing w:after="0" w:line="240" w:lineRule="auto"/>
              <w:ind w:left="52"/>
              <w:rPr>
                <w:rFonts w:eastAsia="Times New Roman"/>
                <w:noProof/>
                <w:lang w:val="bg-BG"/>
              </w:rPr>
            </w:pPr>
            <w:r w:rsidRPr="00782BF9">
              <w:rPr>
                <w:noProof/>
                <w:lang w:val="bg-BG"/>
              </w:rPr>
              <w:t>Заключителен доклад относно резултатите от прегледа на разходите</w:t>
            </w:r>
          </w:p>
        </w:tc>
        <w:tc>
          <w:tcPr>
            <w:tcW w:w="1276" w:type="dxa"/>
            <w:shd w:val="clear" w:color="auto" w:fill="C6EFCE"/>
            <w:vAlign w:val="center"/>
          </w:tcPr>
          <w:p w14:paraId="400E6D3A" w14:textId="44A84A15" w:rsidR="00CE3BAD" w:rsidRPr="00782BF9" w:rsidRDefault="006B5475">
            <w:pPr>
              <w:pStyle w:val="P68B1DB1-Normal10"/>
              <w:spacing w:after="0" w:line="240" w:lineRule="auto"/>
              <w:ind w:left="52"/>
              <w:textAlignment w:val="baseline"/>
              <w:rPr>
                <w:rFonts w:eastAsia="Times New Roman"/>
                <w:noProof/>
                <w:lang w:val="bg-BG"/>
              </w:rPr>
            </w:pPr>
            <w:r w:rsidRPr="00782BF9">
              <w:rPr>
                <w:noProof/>
                <w:lang w:val="bg-BG"/>
              </w:rPr>
              <w:t>Публикуване на заключителния доклад на уебсайта на правителството</w:t>
            </w:r>
          </w:p>
        </w:tc>
        <w:tc>
          <w:tcPr>
            <w:tcW w:w="1134" w:type="dxa"/>
            <w:shd w:val="clear" w:color="auto" w:fill="C6EFCE"/>
            <w:vAlign w:val="center"/>
          </w:tcPr>
          <w:p w14:paraId="04811215" w14:textId="7DF854F5" w:rsidR="00CE3BAD" w:rsidRPr="00782BF9" w:rsidRDefault="00CE3BAD">
            <w:pPr>
              <w:spacing w:after="0" w:line="240" w:lineRule="auto"/>
              <w:ind w:left="52"/>
              <w:textAlignment w:val="baseline"/>
              <w:rPr>
                <w:rFonts w:eastAsia="Times New Roman"/>
                <w:noProof/>
                <w:sz w:val="18"/>
                <w:lang w:val="bg-BG"/>
              </w:rPr>
            </w:pPr>
          </w:p>
        </w:tc>
        <w:tc>
          <w:tcPr>
            <w:tcW w:w="851" w:type="dxa"/>
            <w:shd w:val="clear" w:color="auto" w:fill="C6EFCE"/>
            <w:vAlign w:val="center"/>
          </w:tcPr>
          <w:p w14:paraId="669F5218" w14:textId="0600FA4B" w:rsidR="00CE3BAD" w:rsidRPr="00782BF9" w:rsidRDefault="00CE3BAD">
            <w:pPr>
              <w:spacing w:after="0" w:line="240" w:lineRule="auto"/>
              <w:ind w:left="52"/>
              <w:textAlignment w:val="baseline"/>
              <w:rPr>
                <w:rFonts w:eastAsia="Times New Roman"/>
                <w:noProof/>
                <w:sz w:val="18"/>
                <w:lang w:val="bg-BG"/>
              </w:rPr>
            </w:pPr>
          </w:p>
        </w:tc>
        <w:tc>
          <w:tcPr>
            <w:tcW w:w="850" w:type="dxa"/>
            <w:shd w:val="clear" w:color="auto" w:fill="C6EFCE"/>
            <w:vAlign w:val="center"/>
          </w:tcPr>
          <w:p w14:paraId="091D51D7" w14:textId="52D50B9D" w:rsidR="00CE3BAD" w:rsidRPr="00782BF9" w:rsidRDefault="00CE3BAD">
            <w:pPr>
              <w:spacing w:after="0" w:line="240" w:lineRule="auto"/>
              <w:ind w:left="52"/>
              <w:textAlignment w:val="baseline"/>
              <w:rPr>
                <w:rFonts w:eastAsia="Times New Roman"/>
                <w:noProof/>
                <w:sz w:val="18"/>
                <w:lang w:val="bg-BG"/>
              </w:rPr>
            </w:pPr>
          </w:p>
        </w:tc>
        <w:tc>
          <w:tcPr>
            <w:tcW w:w="709" w:type="dxa"/>
            <w:shd w:val="clear" w:color="auto" w:fill="C6EFCE"/>
            <w:vAlign w:val="center"/>
          </w:tcPr>
          <w:p w14:paraId="44D966E4"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Т4 Г.</w:t>
            </w:r>
          </w:p>
        </w:tc>
        <w:tc>
          <w:tcPr>
            <w:tcW w:w="709" w:type="dxa"/>
            <w:shd w:val="clear" w:color="auto" w:fill="C6EFCE"/>
            <w:vAlign w:val="center"/>
          </w:tcPr>
          <w:p w14:paraId="634D2519" w14:textId="77777777" w:rsidR="00CE3BAD" w:rsidRPr="00782BF9" w:rsidRDefault="006B5475">
            <w:pPr>
              <w:pStyle w:val="P68B1DB1-Normal10"/>
              <w:spacing w:after="0" w:line="240" w:lineRule="auto"/>
              <w:ind w:left="52"/>
              <w:jc w:val="center"/>
              <w:textAlignment w:val="baseline"/>
              <w:rPr>
                <w:rFonts w:eastAsia="Times New Roman" w:cstheme="minorHAnsi"/>
                <w:noProof/>
                <w:lang w:val="bg-BG"/>
              </w:rPr>
            </w:pPr>
            <w:r w:rsidRPr="00782BF9">
              <w:rPr>
                <w:noProof/>
                <w:lang w:val="bg-BG"/>
              </w:rPr>
              <w:t>2025</w:t>
            </w:r>
          </w:p>
        </w:tc>
        <w:tc>
          <w:tcPr>
            <w:tcW w:w="4793" w:type="dxa"/>
            <w:shd w:val="clear" w:color="auto" w:fill="C6EFCE"/>
            <w:vAlign w:val="center"/>
          </w:tcPr>
          <w:p w14:paraId="21951BFB" w14:textId="04243486" w:rsidR="00CE3BAD" w:rsidRPr="00782BF9" w:rsidRDefault="006B5475">
            <w:pPr>
              <w:pStyle w:val="P68B1DB1-Normal10"/>
              <w:spacing w:after="0" w:line="240" w:lineRule="auto"/>
              <w:rPr>
                <w:rFonts w:eastAsia="Calibri"/>
                <w:noProof/>
                <w:lang w:val="bg-BG"/>
              </w:rPr>
            </w:pPr>
            <w:r w:rsidRPr="00782BF9">
              <w:rPr>
                <w:noProof/>
                <w:lang w:val="bg-BG"/>
              </w:rPr>
              <w:t>Заключителният доклад показва, че най-малко 20 % от разходите на сектор „Държавно управление“ са били успешно покрити от четирите прегледа на разходите, проведени през периода 2023—2025 г.</w:t>
            </w:r>
          </w:p>
        </w:tc>
      </w:tr>
    </w:tbl>
    <w:p w14:paraId="6450F135" w14:textId="77777777" w:rsidR="00CE3BAD" w:rsidRPr="00782BF9" w:rsidRDefault="00CE3BAD">
      <w:pPr>
        <w:rPr>
          <w:rFonts w:ascii="Times New Roman" w:hAnsi="Times New Roman" w:cs="Times New Roman"/>
          <w:noProof/>
          <w:sz w:val="24"/>
          <w:lang w:val="bg-BG"/>
        </w:rPr>
        <w:sectPr w:rsidR="00CE3BAD" w:rsidRPr="00782BF9" w:rsidSect="007B13E1">
          <w:headerReference w:type="even" r:id="rId135"/>
          <w:headerReference w:type="default" r:id="rId136"/>
          <w:footerReference w:type="even" r:id="rId137"/>
          <w:footerReference w:type="default" r:id="rId138"/>
          <w:headerReference w:type="first" r:id="rId139"/>
          <w:footerReference w:type="first" r:id="rId140"/>
          <w:pgSz w:w="16838" w:h="11906" w:orient="landscape"/>
          <w:pgMar w:top="1418" w:right="1418" w:bottom="1418" w:left="1418" w:header="709" w:footer="709" w:gutter="0"/>
          <w:cols w:space="708"/>
          <w:docGrid w:linePitch="360"/>
        </w:sectPr>
      </w:pPr>
    </w:p>
    <w:p w14:paraId="05E7149B" w14:textId="77777777" w:rsidR="00CE3BAD" w:rsidRPr="00782BF9" w:rsidRDefault="006B5475">
      <w:pPr>
        <w:pStyle w:val="P68B1DB1-Normal22"/>
        <w:keepNext/>
        <w:tabs>
          <w:tab w:val="left" w:pos="850"/>
        </w:tabs>
        <w:spacing w:before="360" w:after="120" w:line="240" w:lineRule="auto"/>
        <w:ind w:left="850" w:hanging="850"/>
        <w:jc w:val="both"/>
        <w:outlineLvl w:val="0"/>
        <w:rPr>
          <w:rFonts w:eastAsia="Times New Roman" w:cs="Times New Roman"/>
          <w:noProof/>
          <w:lang w:val="bg-BG"/>
        </w:rPr>
      </w:pPr>
      <w:r w:rsidRPr="00782BF9">
        <w:rPr>
          <w:noProof/>
          <w:lang w:val="bg-BG"/>
        </w:rPr>
        <w:t>Й. КОМПОНЕНТ 10: REPowerEU</w:t>
      </w:r>
    </w:p>
    <w:p w14:paraId="0D0E2C18" w14:textId="77777777" w:rsidR="00CE3BAD" w:rsidRPr="00782BF9" w:rsidRDefault="006B5475">
      <w:pPr>
        <w:pStyle w:val="P68B1DB1-Normal4"/>
        <w:spacing w:before="120" w:after="120" w:line="240" w:lineRule="auto"/>
        <w:jc w:val="both"/>
        <w:rPr>
          <w:rFonts w:eastAsia="MS Mincho" w:cs="Times New Roman"/>
          <w:noProof/>
          <w:lang w:val="bg-BG"/>
        </w:rPr>
      </w:pPr>
      <w:r w:rsidRPr="00782BF9">
        <w:rPr>
          <w:noProof/>
          <w:lang w:val="bg-BG"/>
        </w:rPr>
        <w:t xml:space="preserve">Целта на компонента REPowerEU на унгарския план за възстановяване и устойчивост е да се повиши енергийната сигурност и да се подкрепи енергийният преход чрез ускоряване на внедряването на възобновяеми енергийни източници и доставките на чиста енергия, рационализиране на процедурите за издаване на разрешения и чрез подпомагане на геотермалните изследвания и устойчивото производство на водород. Компонентът е да се намали потреблението на изкопаеми горива чрез насърчаване на устойчивия транспорт и да се подобри енергийната ефективност и да се намали енергийната бедност чрез подобряване на енергийната ефективност на сградите. Компонентът трябва също така да подобри ефективността и гъвкавостта на пазара на електроенергия чрез подпомагане на подобряването и цифровизацията на електроенергийната мрежа и чрез насърчаване на създаването и свързването на енергийни общности, както и свързването на доставчици на агрегирани услуги и съоръжения за акумулиране на енергия към мрежата.  </w:t>
      </w:r>
    </w:p>
    <w:p w14:paraId="73BE4784"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Компонентът REPowerEU допринася за изпълнението на специфичните за всяка държава препоръки, по-специално СДП 2022 5, СДП 2022 6 и СДП 2023 4.  </w:t>
      </w:r>
    </w:p>
    <w:p w14:paraId="65CA98FF"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Няколко мерки трябва да имат трансгранично въздействие, включително инвестиции в </w:t>
      </w:r>
      <w:r w:rsidRPr="00782BF9">
        <w:rPr>
          <w:noProof/>
          <w:color w:val="000000"/>
          <w:bdr w:val="none" w:sz="0" w:space="0" w:color="auto" w:frame="1"/>
          <w:lang w:val="bg-BG"/>
        </w:rPr>
        <w:t xml:space="preserve">развитието на електроенергийната мрежа, </w:t>
      </w:r>
      <w:r w:rsidRPr="00782BF9">
        <w:rPr>
          <w:noProof/>
          <w:color w:val="000000"/>
          <w:shd w:val="clear" w:color="auto" w:fill="FFFFFF"/>
          <w:lang w:val="bg-BG"/>
        </w:rPr>
        <w:t xml:space="preserve">екологизирането на промишлените, научните, технологичните и логистичните паркове за енергийни цели, изграждането на производствен капацитет на зелената икономика, прилагането </w:t>
      </w:r>
      <w:r w:rsidRPr="00782BF9">
        <w:rPr>
          <w:noProof/>
          <w:color w:val="000000"/>
          <w:bdr w:val="none" w:sz="0" w:space="0" w:color="auto" w:frame="1"/>
          <w:lang w:val="bg-BG"/>
        </w:rPr>
        <w:t>на екологосъобразни технологии за декарбонизация на промишлеността, инвестициите във водород, подпомагането на проучванията и експлоатацията на геотермална енергия, финансовия инструмент за подобряване на енергийната ефективност на дружествата, инвестициите в енергийна ефективност в обществени сгради, финансовия инструмент за подобряване на енергийната ефективност на жилищните сгради и за справяне с енергийната бедност и електрификацията на железопътните участъци.</w:t>
      </w:r>
    </w:p>
    <w:p w14:paraId="285C6D31" w14:textId="77777777" w:rsidR="00CE3BAD" w:rsidRPr="00782BF9" w:rsidRDefault="006B5475">
      <w:pPr>
        <w:pStyle w:val="P68B1DB1-Normal4"/>
        <w:spacing w:before="120" w:after="120" w:line="240" w:lineRule="auto"/>
        <w:jc w:val="both"/>
        <w:rPr>
          <w:rFonts w:eastAsia="Times New Roman" w:cs="Times New Roman"/>
          <w:noProof/>
          <w:highlight w:val="green"/>
          <w:lang w:val="bg-BG"/>
        </w:rPr>
      </w:pPr>
      <w:r w:rsidRPr="00782BF9">
        <w:rPr>
          <w:noProof/>
          <w:lang w:val="bg-BG"/>
        </w:rPr>
        <w:t>Очаква се никоя мярка в този компонент да не нанася значителни вреди на екологичните цели по смисъла на член 17 от Регламент (ЕС) 2020/852, като се вземе предвид описанието на мерките и стъпките за смекчаване, определени в плана за възстановяване и устойчивост в съответствие с техническите насоки за „ненанасяне на значителни вреди“ (2021/C58/01). </w:t>
      </w:r>
    </w:p>
    <w:p w14:paraId="54592AAD" w14:textId="77777777" w:rsidR="00CE3BAD" w:rsidRPr="00782BF9" w:rsidRDefault="00CE3BAD">
      <w:pPr>
        <w:spacing w:before="120" w:after="120" w:line="240" w:lineRule="auto"/>
        <w:jc w:val="both"/>
        <w:rPr>
          <w:rFonts w:ascii="Times New Roman" w:hAnsi="Times New Roman"/>
          <w:noProof/>
          <w:sz w:val="24"/>
          <w:lang w:val="bg-BG"/>
        </w:rPr>
      </w:pPr>
    </w:p>
    <w:p w14:paraId="1CF5C180" w14:textId="77777777" w:rsidR="00CE3BAD" w:rsidRPr="00782BF9" w:rsidRDefault="00CE3BAD">
      <w:pPr>
        <w:rPr>
          <w:rFonts w:ascii="Times New Roman" w:eastAsia="Times New Roman" w:hAnsi="Times New Roman" w:cs="Times New Roman"/>
          <w:noProof/>
          <w:sz w:val="24"/>
          <w:lang w:val="bg-BG"/>
        </w:rPr>
      </w:pPr>
    </w:p>
    <w:p w14:paraId="7670C041" w14:textId="77777777" w:rsidR="00CE3BAD" w:rsidRPr="00782BF9" w:rsidRDefault="00CE3BAD">
      <w:pPr>
        <w:rPr>
          <w:rFonts w:ascii="Times New Roman" w:eastAsia="Times New Roman" w:hAnsi="Times New Roman" w:cs="Times New Roman"/>
          <w:noProof/>
          <w:sz w:val="24"/>
          <w:lang w:val="bg-BG"/>
        </w:rPr>
      </w:pPr>
    </w:p>
    <w:p w14:paraId="4BB2D00E" w14:textId="77777777" w:rsidR="00CE3BAD" w:rsidRPr="00782BF9" w:rsidRDefault="00CE3BAD">
      <w:pPr>
        <w:rPr>
          <w:rFonts w:ascii="Times New Roman" w:eastAsia="Times New Roman" w:hAnsi="Times New Roman" w:cs="Times New Roman"/>
          <w:noProof/>
          <w:sz w:val="24"/>
          <w:lang w:val="bg-BG"/>
        </w:rPr>
      </w:pPr>
    </w:p>
    <w:p w14:paraId="48A5451C" w14:textId="77777777" w:rsidR="00CE3BAD" w:rsidRPr="00782BF9" w:rsidRDefault="00CE3BAD">
      <w:pPr>
        <w:rPr>
          <w:rFonts w:ascii="Times New Roman" w:eastAsia="Times New Roman" w:hAnsi="Times New Roman" w:cs="Times New Roman"/>
          <w:noProof/>
          <w:sz w:val="24"/>
          <w:lang w:val="bg-BG"/>
        </w:rPr>
      </w:pPr>
    </w:p>
    <w:p w14:paraId="7F1440C5" w14:textId="77777777" w:rsidR="00CE3BAD" w:rsidRPr="00782BF9" w:rsidRDefault="00CE3BAD">
      <w:pPr>
        <w:rPr>
          <w:rFonts w:ascii="Times New Roman" w:eastAsia="Times New Roman" w:hAnsi="Times New Roman" w:cs="Times New Roman"/>
          <w:noProof/>
          <w:sz w:val="24"/>
          <w:lang w:val="bg-BG"/>
        </w:rPr>
      </w:pPr>
    </w:p>
    <w:p w14:paraId="423C1701" w14:textId="77777777" w:rsidR="00CE3BAD" w:rsidRPr="00782BF9" w:rsidRDefault="00CE3BAD">
      <w:pPr>
        <w:rPr>
          <w:rFonts w:ascii="Times New Roman" w:hAnsi="Times New Roman"/>
          <w:noProof/>
          <w:sz w:val="24"/>
          <w:lang w:val="bg-BG"/>
        </w:rPr>
      </w:pPr>
    </w:p>
    <w:p w14:paraId="7CD5C29E" w14:textId="4705BD4D" w:rsidR="00CE3BAD" w:rsidRPr="00782BF9" w:rsidRDefault="00CE3BAD">
      <w:pPr>
        <w:rPr>
          <w:rFonts w:ascii="Times New Roman" w:eastAsia="Times New Roman" w:hAnsi="Times New Roman" w:cs="Times New Roman"/>
          <w:noProof/>
          <w:sz w:val="24"/>
          <w:highlight w:val="green"/>
          <w:lang w:val="bg-BG"/>
        </w:rPr>
        <w:sectPr w:rsidR="00CE3BAD" w:rsidRPr="00782BF9">
          <w:headerReference w:type="even" r:id="rId141"/>
          <w:headerReference w:type="default" r:id="rId142"/>
          <w:footerReference w:type="even" r:id="rId143"/>
          <w:footerReference w:type="default" r:id="rId144"/>
          <w:headerReference w:type="first" r:id="rId145"/>
          <w:footerReference w:type="first" r:id="rId146"/>
          <w:pgSz w:w="11907" w:h="16839"/>
          <w:pgMar w:top="1134" w:right="1417" w:bottom="1134" w:left="1417" w:header="709" w:footer="709" w:gutter="0"/>
          <w:cols w:space="720"/>
          <w:docGrid w:linePitch="360"/>
        </w:sectPr>
      </w:pPr>
    </w:p>
    <w:p w14:paraId="7D397969" w14:textId="77777777" w:rsidR="00CE3BAD" w:rsidRPr="00782BF9" w:rsidRDefault="006B5475">
      <w:pPr>
        <w:spacing w:before="120" w:after="120" w:line="240" w:lineRule="auto"/>
        <w:jc w:val="both"/>
        <w:rPr>
          <w:rFonts w:ascii="Times New Roman" w:eastAsia="Times New Roman" w:hAnsi="Times New Roman" w:cs="Times New Roman"/>
          <w:b/>
          <w:noProof/>
          <w:sz w:val="24"/>
          <w:lang w:val="bg-BG"/>
        </w:rPr>
      </w:pPr>
      <w:r w:rsidRPr="00782BF9">
        <w:rPr>
          <w:rFonts w:ascii="Times New Roman" w:hAnsi="Times New Roman"/>
          <w:b/>
          <w:noProof/>
          <w:sz w:val="24"/>
          <w:lang w:val="bg-BG"/>
        </w:rPr>
        <w:t xml:space="preserve">Й.1. </w:t>
      </w:r>
      <w:r w:rsidRPr="00782BF9">
        <w:rPr>
          <w:noProof/>
          <w:lang w:val="bg-BG"/>
        </w:rPr>
        <w:tab/>
      </w:r>
      <w:r w:rsidRPr="00782BF9">
        <w:rPr>
          <w:rFonts w:ascii="Times New Roman" w:hAnsi="Times New Roman"/>
          <w:b/>
          <w:noProof/>
          <w:sz w:val="24"/>
          <w:lang w:val="bg-BG"/>
        </w:rPr>
        <w:t>Описание на реформите и инвестициите за безвъзмездна финансова подкрепа</w:t>
      </w:r>
    </w:p>
    <w:p w14:paraId="20F3AAFB" w14:textId="77777777" w:rsidR="00CE3BAD" w:rsidRPr="00782BF9" w:rsidRDefault="006B5475">
      <w:pPr>
        <w:pStyle w:val="P68B1DB1-Normal2"/>
        <w:spacing w:before="120" w:after="120" w:line="240" w:lineRule="auto"/>
        <w:jc w:val="both"/>
        <w:rPr>
          <w:rFonts w:eastAsia="MS Mincho" w:cs="Times New Roman"/>
          <w:noProof/>
          <w:lang w:val="bg-BG"/>
        </w:rPr>
      </w:pPr>
      <w:r w:rsidRPr="00782BF9">
        <w:rPr>
          <w:noProof/>
          <w:lang w:val="bg-BG"/>
        </w:rPr>
        <w:t>C10.R1: Подобряване на прозрачността, предвидимостта и достъпността на процедурата за присъединяване към мрежата</w:t>
      </w:r>
    </w:p>
    <w:p w14:paraId="3EF32026" w14:textId="77777777" w:rsidR="00CE3BAD" w:rsidRPr="00782BF9" w:rsidRDefault="006B5475">
      <w:pPr>
        <w:pStyle w:val="P68B1DB1-Normal4"/>
        <w:spacing w:before="120" w:after="120" w:line="240" w:lineRule="auto"/>
        <w:jc w:val="both"/>
        <w:rPr>
          <w:rFonts w:eastAsia="MS Mincho" w:cs="Times New Roman"/>
          <w:noProof/>
          <w:lang w:val="bg-BG"/>
        </w:rPr>
      </w:pPr>
      <w:r w:rsidRPr="00782BF9">
        <w:rPr>
          <w:noProof/>
          <w:lang w:val="bg-BG"/>
        </w:rPr>
        <w:t>Целта на тази мярка е да се подобри прозрачността, предвидимостта и достъпността на процедурата за присъединяване към мрежата. Тя се състои от две подмерки, едната от които е съсредоточена върху издаването на разрешения за присъединяване към мрежата на зависимите от метеорологичните условия централи за енергия от възобновяеми източници, а другата — върху хармонизирането на процедурата за присъединяване към електроенергийната мрежа от страна на операторите на разпределителни системи.</w:t>
      </w:r>
    </w:p>
    <w:p w14:paraId="102517CA"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Целта на първата подмярка е да се увеличи C6.R4 (Подобряване на прозрачността, предвидимостта и наличността на връзката към мрежата — Разрешение за присъединяване към мрежата за централи за енергия от възобновяеми източници; етап 111) и увеличаване на наличието на мрежови връзки за възобновяеми енергийни източници. Операторът на преносна система или операторите на разпределителни системи издават разрешения за присъединяване към мрежата, които могат да бъдат изпълнени от датата на предоставяне за зависими от метеорологичните условия централи за възобновяема енергия — слънчева и вятърна енергия — за обща мощност от най-малко 12 000 MW. Обхватът включва всички категории такива електроцентрали (малки и големи), включително централи за енергия от възобновяеми източници, които подлежат само на процедура за регистрация и са регистрирани.</w:t>
      </w:r>
    </w:p>
    <w:p w14:paraId="7A0E6CE2"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Целта на втората подмярка е да се установи стандартизиран подход, който да се прилага от всички оператори на разпределителни системи при обработване на заявленията за процедурата за присъединяване към електроенергийната мрежа. Административните процедури за присъединяване към мрежата се преразглеждат и се осигурява последователно тълкуване на съответните общи правила и хармонизирани процедури от различните оператори на разпределителни системи. От операторите на разпределителни системи се изисква на всеки шест месеца да предоставят информация относно наличието на точки за свързване към мрежата за централи за енергия от възобновяеми източници в рамките на техния район на експлоатация. Изпълнението на тази подмярка трябва да приключи до 31 декември 2024 г.</w:t>
      </w:r>
    </w:p>
    <w:p w14:paraId="16740567"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30 юни 2026 г.</w:t>
      </w:r>
    </w:p>
    <w:p w14:paraId="7BFFF816"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25DD629F"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C10.R2: Определяне на мрежовите тарифи</w:t>
      </w:r>
    </w:p>
    <w:p w14:paraId="391D46B4" w14:textId="77777777" w:rsidR="00CE3BAD" w:rsidRPr="00782BF9" w:rsidRDefault="006B5475">
      <w:pPr>
        <w:pStyle w:val="P68B1DB1-Normal4"/>
        <w:spacing w:before="120" w:after="120"/>
        <w:jc w:val="both"/>
        <w:rPr>
          <w:rFonts w:eastAsia="Times New Roman" w:cs="Times New Roman"/>
          <w:noProof/>
          <w:lang w:val="bg-BG"/>
        </w:rPr>
      </w:pPr>
      <w:r w:rsidRPr="00782BF9">
        <w:rPr>
          <w:noProof/>
          <w:lang w:val="bg-BG"/>
        </w:rPr>
        <w:t xml:space="preserve">Целта на мярката е приемането и влизането в сила на нова методика за изчисляване на мрежовите тарифи.  В новата методика регулаторният орган носи цялата отговорност за определяне на това кои разходи и приходи се вземат предвид в методиката. Методиката гарантира, че тарифите за пренос и разпределение са недискриминационни и отразяват разходите.  </w:t>
      </w:r>
    </w:p>
    <w:p w14:paraId="332E322C" w14:textId="77777777" w:rsidR="00CE3BAD" w:rsidRPr="00782BF9" w:rsidRDefault="006B5475">
      <w:pPr>
        <w:pStyle w:val="P68B1DB1-Normal4"/>
        <w:spacing w:before="120" w:after="120"/>
        <w:jc w:val="both"/>
        <w:rPr>
          <w:rFonts w:eastAsia="Times New Roman" w:cs="Times New Roman"/>
          <w:noProof/>
          <w:lang w:val="bg-BG"/>
        </w:rPr>
      </w:pPr>
      <w:r w:rsidRPr="00782BF9">
        <w:rPr>
          <w:noProof/>
          <w:lang w:val="bg-BG"/>
        </w:rPr>
        <w:t>Изпълнението на мярката трябва да приключи до 31 декември 2024 г.</w:t>
      </w:r>
    </w:p>
    <w:p w14:paraId="0E47801A" w14:textId="77777777" w:rsidR="00CE3BAD" w:rsidRPr="00782BF9" w:rsidRDefault="00CE3BAD">
      <w:pPr>
        <w:spacing w:before="120" w:after="120" w:line="240" w:lineRule="auto"/>
        <w:jc w:val="both"/>
        <w:rPr>
          <w:rFonts w:ascii="Times New Roman" w:eastAsia="Times New Roman" w:hAnsi="Times New Roman" w:cs="Times New Roman"/>
          <w:b/>
          <w:noProof/>
          <w:sz w:val="24"/>
          <w:lang w:val="bg-BG"/>
        </w:rPr>
      </w:pPr>
    </w:p>
    <w:p w14:paraId="680A2F2C"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 xml:space="preserve">C10.R3: Адаптиране на законодателството относно интелигентните измервателни уреди </w:t>
      </w:r>
    </w:p>
    <w:p w14:paraId="69C0A0FF"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Тази мярка има за цел да засили използването на интелигентни измервателни уреди за по-добро използване на технологията и по този начин да бъде от полза както за функционирането на мрежата, така и за потребителите. </w:t>
      </w:r>
    </w:p>
    <w:p w14:paraId="1DED33B3"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Реформата се постига чрез изменение на съответното законодателство в областта на електроенергията, което:</w:t>
      </w:r>
    </w:p>
    <w:p w14:paraId="2FE5246F" w14:textId="77777777" w:rsidR="00CE3BAD" w:rsidRPr="00782BF9" w:rsidRDefault="006B5475">
      <w:pPr>
        <w:pStyle w:val="P68B1DB1-Normal4"/>
        <w:numPr>
          <w:ilvl w:val="0"/>
          <w:numId w:val="48"/>
        </w:numPr>
        <w:spacing w:before="120" w:after="120" w:line="240" w:lineRule="auto"/>
        <w:contextualSpacing/>
        <w:jc w:val="both"/>
        <w:rPr>
          <w:rFonts w:eastAsia="Times New Roman" w:cs="Times New Roman"/>
          <w:noProof/>
          <w:lang w:val="bg-BG"/>
        </w:rPr>
      </w:pPr>
      <w:r w:rsidRPr="00782BF9">
        <w:rPr>
          <w:noProof/>
          <w:lang w:val="bg-BG"/>
        </w:rPr>
        <w:t xml:space="preserve">определяне на основните функционални изисквания за интелигентните измервателни уреди, за да се гарантира тяхната оперативна съвместимост, включително изискванията, които те трябва да предоставят на системите за енергийно управление. </w:t>
      </w:r>
    </w:p>
    <w:p w14:paraId="04B377F7" w14:textId="77777777" w:rsidR="00CE3BAD" w:rsidRPr="00782BF9" w:rsidRDefault="006B5475">
      <w:pPr>
        <w:pStyle w:val="P68B1DB1-Normal4"/>
        <w:numPr>
          <w:ilvl w:val="0"/>
          <w:numId w:val="48"/>
        </w:numPr>
        <w:spacing w:before="120" w:after="120" w:line="240" w:lineRule="auto"/>
        <w:contextualSpacing/>
        <w:jc w:val="both"/>
        <w:rPr>
          <w:rFonts w:eastAsia="Calibri" w:cs="Times New Roman"/>
          <w:noProof/>
          <w:lang w:val="bg-BG"/>
        </w:rPr>
      </w:pPr>
      <w:r w:rsidRPr="00782BF9">
        <w:rPr>
          <w:noProof/>
          <w:lang w:val="bg-BG"/>
        </w:rPr>
        <w:t>установяване на изисквания за подобряване на прозрачността и достъпа до данни, произтичащи от използването на интелигентни измервателни уреди.</w:t>
      </w:r>
    </w:p>
    <w:p w14:paraId="740DF6B3" w14:textId="77777777" w:rsidR="00CE3BAD" w:rsidRPr="00782BF9" w:rsidRDefault="006B5475">
      <w:pPr>
        <w:pStyle w:val="P68B1DB1-Normal4"/>
        <w:numPr>
          <w:ilvl w:val="0"/>
          <w:numId w:val="48"/>
        </w:numPr>
        <w:spacing w:before="120" w:after="120" w:line="240" w:lineRule="auto"/>
        <w:contextualSpacing/>
        <w:jc w:val="both"/>
        <w:rPr>
          <w:rFonts w:eastAsia="Calibri" w:cs="Times New Roman"/>
          <w:noProof/>
          <w:lang w:val="bg-BG"/>
        </w:rPr>
      </w:pPr>
      <w:r w:rsidRPr="00782BF9">
        <w:rPr>
          <w:noProof/>
          <w:lang w:val="bg-BG"/>
        </w:rPr>
        <w:t xml:space="preserve">разширяване на обхвата на ползвателите, които са задължени да инсталират интелигентни измервателни уреди.  </w:t>
      </w:r>
    </w:p>
    <w:p w14:paraId="56BE252A"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31 декември 2024 г.</w:t>
      </w:r>
    </w:p>
    <w:p w14:paraId="57A4AB13"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6343EA8A"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C10.R4: Засилване на ролята на доставчиците на агрегирани услуги</w:t>
      </w:r>
    </w:p>
    <w:p w14:paraId="3F89ACE4" w14:textId="2DFE9EC1" w:rsidR="00CE3BAD" w:rsidRPr="00782BF9" w:rsidRDefault="006B5475">
      <w:pPr>
        <w:pStyle w:val="P68B1DB1-Normal4"/>
        <w:spacing w:before="120" w:after="120" w:line="257" w:lineRule="auto"/>
        <w:jc w:val="both"/>
        <w:rPr>
          <w:rFonts w:eastAsia="Times New Roman" w:cs="Times New Roman"/>
          <w:noProof/>
          <w:lang w:val="bg-BG"/>
        </w:rPr>
      </w:pPr>
      <w:r w:rsidRPr="00782BF9">
        <w:rPr>
          <w:noProof/>
          <w:lang w:val="bg-BG"/>
        </w:rPr>
        <w:t xml:space="preserve">Мярката има за цел въвеждането на законодателни изменения на агрегаторите и мрежовите кодекси, както и разработването на договорни модели, за да се премахнат пречките пред пазара и да се подобри навлизането на пазара и развитието на услугите на нови участници в оптимизацията на потреблението (независими доставчици на агрегирани услуги), действащи в Унгария в областта на управлението на търсенето и агрегирането. </w:t>
      </w:r>
    </w:p>
    <w:p w14:paraId="1FBA6ADE" w14:textId="77777777" w:rsidR="00CE3BAD" w:rsidRPr="00782BF9" w:rsidRDefault="006B5475">
      <w:pPr>
        <w:pStyle w:val="P68B1DB1-Normal4"/>
        <w:spacing w:after="0" w:line="240" w:lineRule="auto"/>
        <w:jc w:val="both"/>
        <w:rPr>
          <w:rFonts w:eastAsia="Times New Roman" w:cs="Times New Roman"/>
          <w:noProof/>
          <w:lang w:val="bg-BG"/>
        </w:rPr>
      </w:pPr>
      <w:r w:rsidRPr="00782BF9">
        <w:rPr>
          <w:noProof/>
          <w:lang w:val="bg-BG"/>
        </w:rPr>
        <w:t>Измененията се основават на най-добрите международни практики, главно регионални най-добри практики, и подобряват навлизането на пазара и развитието на услугите на нови участници в оптимизацията на потреблението (независими доставчици на агрегирани услуги), извършващи дейност в Унгария в областта на управлението на търсенето и агрегирането. Промените се въвеждат в рамката, предвидена от действащото унгарско законодателство, чрез подкрепяща правна и политическа среда, както и чрез модели на договори, в съответствие с Регламент (ЕС) 2019/943 за електроенергията и Директива (ЕС) 2019/944 за електроенергията.</w:t>
      </w:r>
    </w:p>
    <w:p w14:paraId="4DA2776D" w14:textId="77777777" w:rsidR="00CE3BAD" w:rsidRPr="00782BF9" w:rsidRDefault="006B5475">
      <w:pPr>
        <w:pStyle w:val="P68B1DB1-Normal4"/>
        <w:spacing w:before="120" w:after="120" w:line="257" w:lineRule="auto"/>
        <w:jc w:val="both"/>
        <w:rPr>
          <w:rFonts w:eastAsia="Times New Roman" w:cs="Times New Roman"/>
          <w:noProof/>
          <w:lang w:val="bg-BG"/>
        </w:rPr>
      </w:pPr>
      <w:r w:rsidRPr="00782BF9">
        <w:rPr>
          <w:noProof/>
          <w:lang w:val="bg-BG"/>
        </w:rPr>
        <w:t>Като част от измененията мярката разработва инструменти, които позволяват на бенефициерите на универсалната услуга да сключват договори с един или повече общностни доставчици, включително правната възможност за преобразуване на договор за универсална услуга в договор за частична или планирана доставка. Въведените промени обхващат определението на правилата за клиринг между доставчиците на агрегирани услуги и търговците, финансовата отговорност за несъответствията и отговорността за всякакви неравновесия, които могат да възникнат.</w:t>
      </w:r>
    </w:p>
    <w:p w14:paraId="6CCC73F3" w14:textId="77777777" w:rsidR="00CE3BAD" w:rsidRPr="00782BF9" w:rsidRDefault="006B5475">
      <w:pPr>
        <w:pStyle w:val="P68B1DB1-Normal4"/>
        <w:spacing w:before="120" w:after="120" w:line="257" w:lineRule="auto"/>
        <w:jc w:val="both"/>
        <w:rPr>
          <w:rFonts w:eastAsia="Times New Roman" w:cs="Times New Roman"/>
          <w:noProof/>
          <w:lang w:val="bg-BG"/>
        </w:rPr>
      </w:pPr>
      <w:r w:rsidRPr="00782BF9">
        <w:rPr>
          <w:noProof/>
          <w:lang w:val="bg-BG"/>
        </w:rPr>
        <w:t xml:space="preserve">Като част от реформата се разработва модел на договор за независим доставчик на агрегирани услуги с график за неговото въвеждане. </w:t>
      </w:r>
    </w:p>
    <w:p w14:paraId="7A892BEF"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Изпълнението на мярката трябва да приключи до 31 март 2024 г.</w:t>
      </w:r>
    </w:p>
    <w:p w14:paraId="7B6756FF" w14:textId="77777777" w:rsidR="00CE3BAD" w:rsidRPr="00782BF9" w:rsidRDefault="00CE3BAD">
      <w:pPr>
        <w:spacing w:before="120" w:after="120" w:line="240" w:lineRule="auto"/>
        <w:jc w:val="both"/>
        <w:rPr>
          <w:rFonts w:ascii="Times New Roman" w:eastAsia="Times New Roman" w:hAnsi="Times New Roman" w:cs="Times New Roman"/>
          <w:noProof/>
          <w:sz w:val="24"/>
          <w:u w:val="single"/>
          <w:lang w:val="bg-BG"/>
        </w:rPr>
      </w:pPr>
    </w:p>
    <w:p w14:paraId="4681797C"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C10.R5: По-широко използване на динамично ценообразуване в споразуменията за закупуване на електроенергия</w:t>
      </w:r>
    </w:p>
    <w:p w14:paraId="701E65D5" w14:textId="77777777" w:rsidR="00CE3BAD" w:rsidRPr="00782BF9" w:rsidRDefault="006B5475">
      <w:pPr>
        <w:pStyle w:val="P68B1DB1-Normal4"/>
        <w:spacing w:before="120" w:after="120"/>
        <w:jc w:val="both"/>
        <w:rPr>
          <w:rFonts w:eastAsia="Times New Roman" w:cs="Times New Roman"/>
          <w:noProof/>
          <w:lang w:val="bg-BG"/>
        </w:rPr>
      </w:pPr>
      <w:r w:rsidRPr="00782BF9">
        <w:rPr>
          <w:noProof/>
          <w:lang w:val="bg-BG"/>
        </w:rPr>
        <w:t>Реформата има за цел да измени регулаторната рамка, за да се подобри прилагането на динамично ценообразуване, и ще предлага използването ѝ и на жилищни потребители и микропредприятия, обхванати от универсалната услуга. Измененото законодателство предоставя на битовите потребители и микропредприятията с подходящи измервателни уреди възможността да сключат договор за доброволно изкупуване на електроенергия с динамично ценообразуване. Реформата ще позволи на ползвателите да коригират потреблението си в съответствие с ценовите сигнали, които отразяват условията на търсене и предлагане на пазара на електроенергия.</w:t>
      </w:r>
    </w:p>
    <w:p w14:paraId="593589C6"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31 декември 2025 г.</w:t>
      </w:r>
    </w:p>
    <w:p w14:paraId="75F35242" w14:textId="77777777" w:rsidR="00CE3BAD" w:rsidRPr="00782BF9" w:rsidRDefault="00CE3BAD">
      <w:pPr>
        <w:spacing w:before="120" w:after="120" w:line="240" w:lineRule="auto"/>
        <w:jc w:val="both"/>
        <w:rPr>
          <w:rFonts w:ascii="Times New Roman" w:eastAsia="Times New Roman" w:hAnsi="Times New Roman" w:cs="Times New Roman"/>
          <w:b/>
          <w:noProof/>
          <w:sz w:val="24"/>
          <w:lang w:val="bg-BG"/>
        </w:rPr>
      </w:pPr>
    </w:p>
    <w:p w14:paraId="12A7AC4F"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C10.R6: Обновяване на продуктовата структура на пазарите на регулаторни резерви с цел улесняване на навлизането на нови видове гъвкавост</w:t>
      </w:r>
    </w:p>
    <w:p w14:paraId="458A0FC4"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 xml:space="preserve">Тази мярка има за цел да установи всеобхватна регулаторна рамка, да измени правилата и да разработи примерни договори на необходимите регулаторни равнища, за да се отвори пазарът за нови участници от страна на предлагането, като се вземат предвид всички ограничения, които могат да възникнат от структурата на пазара на едро. </w:t>
      </w:r>
    </w:p>
    <w:p w14:paraId="5C8BAD77"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 xml:space="preserve">Освен това реформата има за цел да премахне пречките и да улесни достъпа до пазара за традиционните, нетрадиционните производители и производителите на енергия от възобновяеми източници, като по този начин се повиши ефективността на балансиращия пазар. </w:t>
      </w:r>
    </w:p>
    <w:p w14:paraId="758A9135" w14:textId="2440776E"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 xml:space="preserve">Реформата дава възможност за включване на зависими от метеорологичните условия производители в пазара на балансиращ капацитет и въвежда специален продукт за гъвкавост за потребителите с по-нисък праг на акредитационен капацитет. Въвежда се регулаторен пакет, който не позволява на производителите да блокират навлизането на нови участници на пазара въз основа на техните цени. </w:t>
      </w:r>
    </w:p>
    <w:p w14:paraId="5FF19C6E" w14:textId="77777777" w:rsidR="00CE3BAD" w:rsidRPr="00782BF9" w:rsidRDefault="006B5475">
      <w:pPr>
        <w:pStyle w:val="P68B1DB1-Normal4"/>
        <w:spacing w:before="120" w:after="120" w:line="240" w:lineRule="auto"/>
        <w:jc w:val="both"/>
        <w:rPr>
          <w:rFonts w:eastAsia="Times New Roman" w:cs="Times New Roman"/>
          <w:noProof/>
          <w:u w:val="single"/>
          <w:lang w:val="bg-BG"/>
        </w:rPr>
      </w:pPr>
      <w:r w:rsidRPr="00782BF9">
        <w:rPr>
          <w:noProof/>
          <w:lang w:val="bg-BG"/>
        </w:rPr>
        <w:t xml:space="preserve">Изпълнението на мярката трябва да приключи до 31 март 2024 г. </w:t>
      </w:r>
    </w:p>
    <w:p w14:paraId="530B23AB" w14:textId="77777777" w:rsidR="00CE3BAD" w:rsidRPr="00782BF9" w:rsidRDefault="00CE3BAD">
      <w:pPr>
        <w:spacing w:before="120" w:after="120" w:line="240" w:lineRule="auto"/>
        <w:jc w:val="both"/>
        <w:rPr>
          <w:rFonts w:ascii="Times New Roman" w:eastAsia="Times New Roman" w:hAnsi="Times New Roman" w:cs="Times New Roman"/>
          <w:b/>
          <w:noProof/>
          <w:sz w:val="24"/>
          <w:lang w:val="bg-BG"/>
        </w:rPr>
      </w:pPr>
    </w:p>
    <w:p w14:paraId="6D642CB0"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К10.И1: Развитие на електроенергийната мрежа и цифровизация (безвъзмездни средства)</w:t>
      </w:r>
    </w:p>
    <w:p w14:paraId="37134669" w14:textId="77777777" w:rsidR="00CE3BAD" w:rsidRPr="00782BF9" w:rsidRDefault="006B5475">
      <w:pPr>
        <w:pStyle w:val="P68B1DB1-Normal4"/>
        <w:spacing w:after="0" w:line="257" w:lineRule="auto"/>
        <w:jc w:val="both"/>
        <w:rPr>
          <w:rFonts w:eastAsia="MS Mincho" w:cs="Times New Roman"/>
          <w:noProof/>
          <w:lang w:val="bg-BG"/>
        </w:rPr>
      </w:pPr>
      <w:r w:rsidRPr="00782BF9">
        <w:rPr>
          <w:noProof/>
          <w:lang w:val="bg-BG"/>
        </w:rPr>
        <w:t xml:space="preserve">Целта на тази инвестиция е да се подкрепи внедряването на енергия от възобновяеми източници чрез увеличаване на способността на електроенергийната мрежа да интегрира допълнително енергия от възобновяеми източници, да подобри електроенергийните връзки на потребителите и производителите, както и качеството на услугите, предлагани от системните оператори. </w:t>
      </w:r>
    </w:p>
    <w:p w14:paraId="79810854"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Инвестицията подпомага четири вида интервенции, които са частично финансирани от безвъзмездна финансова подкрепа и отчасти със заеми, както е описано в раздел Й.3. по-долу, по инвестиционна мярка C10.I1 (заеми). Описанието по-долу се отнася до частите от инвестициите, които са финансирани с безвъзмездна финансова подкрепа. Целите, които трябва да бъдат постигнати в рамките на инвестициите, финансирани от безвъзмездна финансова подкрепа, са в допълнение към тези, финансирани по заемите: </w:t>
      </w:r>
    </w:p>
    <w:p w14:paraId="662964B7" w14:textId="77777777" w:rsidR="00CE3BAD" w:rsidRPr="00782BF9" w:rsidRDefault="006B5475">
      <w:pPr>
        <w:pStyle w:val="P68B1DB1-Normal4"/>
        <w:numPr>
          <w:ilvl w:val="0"/>
          <w:numId w:val="47"/>
        </w:numPr>
        <w:spacing w:before="120" w:after="120" w:line="240" w:lineRule="auto"/>
        <w:contextualSpacing/>
        <w:jc w:val="both"/>
        <w:rPr>
          <w:rFonts w:eastAsia="Calibri" w:cs="Times New Roman"/>
          <w:noProof/>
          <w:lang w:val="bg-BG"/>
        </w:rPr>
      </w:pPr>
      <w:r w:rsidRPr="00782BF9">
        <w:rPr>
          <w:noProof/>
          <w:lang w:val="bg-BG"/>
        </w:rPr>
        <w:t>Развитието на цифровите технологии на равнището на системния оператор;</w:t>
      </w:r>
    </w:p>
    <w:p w14:paraId="5D09B764" w14:textId="77777777" w:rsidR="00CE3BAD" w:rsidRPr="00782BF9" w:rsidRDefault="006B5475">
      <w:pPr>
        <w:pStyle w:val="P68B1DB1-Normal4"/>
        <w:numPr>
          <w:ilvl w:val="0"/>
          <w:numId w:val="47"/>
        </w:numPr>
        <w:spacing w:before="120" w:after="120" w:line="240" w:lineRule="auto"/>
        <w:contextualSpacing/>
        <w:jc w:val="both"/>
        <w:rPr>
          <w:rFonts w:eastAsia="Times New Roman" w:cs="Times New Roman"/>
          <w:noProof/>
          <w:lang w:val="bg-BG"/>
        </w:rPr>
      </w:pPr>
      <w:r w:rsidRPr="00782BF9">
        <w:rPr>
          <w:noProof/>
          <w:lang w:val="bg-BG"/>
        </w:rPr>
        <w:t>Подобряване на точността на прогнозата за времето;</w:t>
      </w:r>
    </w:p>
    <w:p w14:paraId="58CD5B48" w14:textId="77777777" w:rsidR="00CE3BAD" w:rsidRPr="00782BF9" w:rsidRDefault="006B5475">
      <w:pPr>
        <w:pStyle w:val="P68B1DB1-Normal4"/>
        <w:numPr>
          <w:ilvl w:val="0"/>
          <w:numId w:val="47"/>
        </w:numPr>
        <w:spacing w:before="120" w:after="120" w:line="240" w:lineRule="auto"/>
        <w:contextualSpacing/>
        <w:jc w:val="both"/>
        <w:rPr>
          <w:rFonts w:eastAsia="Times New Roman" w:cs="Times New Roman"/>
          <w:noProof/>
          <w:lang w:val="bg-BG"/>
        </w:rPr>
      </w:pPr>
      <w:r w:rsidRPr="00782BF9">
        <w:rPr>
          <w:noProof/>
          <w:lang w:val="bg-BG"/>
        </w:rPr>
        <w:t>Развитие на класически и интелигентни мрежи за операторите на преносни системи и операторите на разпределителни системи;</w:t>
      </w:r>
    </w:p>
    <w:p w14:paraId="5933BED5" w14:textId="77777777" w:rsidR="00CE3BAD" w:rsidRPr="00782BF9" w:rsidRDefault="006B5475">
      <w:pPr>
        <w:pStyle w:val="P68B1DB1-Normal4"/>
        <w:numPr>
          <w:ilvl w:val="0"/>
          <w:numId w:val="47"/>
        </w:numPr>
        <w:spacing w:before="120" w:after="120" w:line="240" w:lineRule="auto"/>
        <w:contextualSpacing/>
        <w:jc w:val="both"/>
        <w:rPr>
          <w:rFonts w:eastAsia="Times New Roman" w:cs="Times New Roman"/>
          <w:noProof/>
          <w:lang w:val="bg-BG"/>
        </w:rPr>
      </w:pPr>
      <w:r w:rsidRPr="00782BF9">
        <w:rPr>
          <w:noProof/>
          <w:lang w:val="bg-BG"/>
        </w:rPr>
        <w:t>Разпространение на интелигентни измервателни уреди.</w:t>
      </w:r>
    </w:p>
    <w:p w14:paraId="312CDDE0" w14:textId="77777777" w:rsidR="00CE3BAD" w:rsidRPr="00782BF9" w:rsidRDefault="006B5475">
      <w:pPr>
        <w:pStyle w:val="P68B1DB1-Normal4"/>
        <w:spacing w:before="120" w:after="160" w:line="257" w:lineRule="auto"/>
        <w:jc w:val="both"/>
        <w:rPr>
          <w:rFonts w:eastAsia="Times New Roman" w:cs="Times New Roman"/>
          <w:noProof/>
          <w:lang w:val="bg-BG"/>
        </w:rPr>
      </w:pPr>
      <w:r w:rsidRPr="00782BF9">
        <w:rPr>
          <w:noProof/>
          <w:lang w:val="bg-BG"/>
        </w:rPr>
        <w:t xml:space="preserve">Поканата за представяне на предложения, поканите за приоритетни проекти и споразуменията за отпускане на безвъзмездни средства, свързани с подмерките по тази инвестиция, могат да бъдат отделни или обобщени за частите, финансирани от безвъзмездна финансова подкрепа и от заемите. </w:t>
      </w:r>
    </w:p>
    <w:p w14:paraId="2148B4D1" w14:textId="77777777" w:rsidR="00CE3BAD" w:rsidRPr="00782BF9" w:rsidRDefault="00CE3BAD">
      <w:pPr>
        <w:spacing w:before="120" w:after="160" w:line="257" w:lineRule="auto"/>
        <w:jc w:val="both"/>
        <w:rPr>
          <w:rFonts w:ascii="Times New Roman" w:eastAsia="MS Mincho" w:hAnsi="Times New Roman" w:cs="Times New Roman"/>
          <w:noProof/>
          <w:sz w:val="24"/>
          <w:lang w:val="bg-BG"/>
        </w:rPr>
      </w:pPr>
    </w:p>
    <w:p w14:paraId="7D4D729D"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C10.I1a: Развитие на цифровите технологии на равнището на системния оператор (безвъзмездни средства)</w:t>
      </w:r>
    </w:p>
    <w:p w14:paraId="1F32F62F" w14:textId="77777777" w:rsidR="00CE3BAD" w:rsidRPr="00782BF9" w:rsidRDefault="006B5475">
      <w:pPr>
        <w:pStyle w:val="P68B1DB1-Normal4"/>
        <w:spacing w:before="120" w:after="0" w:line="257" w:lineRule="auto"/>
        <w:jc w:val="both"/>
        <w:rPr>
          <w:rFonts w:eastAsia="MS Mincho" w:cs="Times New Roman"/>
          <w:noProof/>
          <w:lang w:val="bg-BG"/>
        </w:rPr>
      </w:pPr>
      <w:r w:rsidRPr="00782BF9">
        <w:rPr>
          <w:noProof/>
          <w:lang w:val="bg-BG"/>
        </w:rPr>
        <w:t xml:space="preserve">Подмярката „Развитие на цифровите технологии в системния оператор“ има за цел да подкрепи използването на цифрови технологии в мрежовата инфраструктура и експлоатацията на електроенергийната мрежа, за да се отговори ефективно на предизвикателствата, произтичащи от зависимостта от различни енергийни източници, включително широкомащабното интегриране на възобновяеми енергийни източници в мрежата. Подмярката също така има за цел да подкрепи стабилността на мрежата и да подобри управлението на данните и киберсигурността. Подмярката, финансирана както по заемите, така и по линия на безвъзмездната подкрепа, трябва да допринася за постигането на тези цели. </w:t>
      </w:r>
    </w:p>
    <w:p w14:paraId="011B3A60" w14:textId="77777777" w:rsidR="00CE3BAD" w:rsidRPr="00782BF9" w:rsidRDefault="006B5475">
      <w:pPr>
        <w:pStyle w:val="P68B1DB1-Normal4"/>
        <w:spacing w:before="120" w:after="0" w:line="257" w:lineRule="auto"/>
        <w:jc w:val="both"/>
        <w:rPr>
          <w:rFonts w:eastAsia="MS Mincho" w:cs="Times New Roman"/>
          <w:noProof/>
          <w:lang w:val="bg-BG"/>
        </w:rPr>
      </w:pPr>
      <w:r w:rsidRPr="00782BF9">
        <w:rPr>
          <w:noProof/>
          <w:lang w:val="bg-BG"/>
        </w:rPr>
        <w:t>Като част от подмярката финансирането, предоставяно чрез покана за представяне на предложения, обхваща разработването и пускането в действие на развитието на цифровата инфраструктура, като например: системи за обслужване на клиенти, основна енергийна ИТ инфраструктура, информационни системи, поддържащи енергийни услуги, и/или системи за управление от страна на потребителите. От безвъзмездната финансова подкрепа се финансират общо 17 цифрови разработки, свързани с мрежовата инфраструктура и/или експлоатацията на електроенергийната мрежа при системния оператор.</w:t>
      </w:r>
    </w:p>
    <w:p w14:paraId="0C9B2B6D" w14:textId="77777777" w:rsidR="00CE3BAD" w:rsidRPr="00782BF9" w:rsidRDefault="006B5475">
      <w:pPr>
        <w:pStyle w:val="P68B1DB1-Normal4"/>
        <w:spacing w:before="120" w:after="0" w:line="257" w:lineRule="auto"/>
        <w:jc w:val="both"/>
        <w:rPr>
          <w:rFonts w:eastAsia="MS Mincho" w:cs="Times New Roman"/>
          <w:noProof/>
          <w:lang w:val="bg-BG"/>
        </w:rPr>
      </w:pPr>
      <w:r w:rsidRPr="00782BF9">
        <w:rPr>
          <w:noProof/>
          <w:lang w:val="bg-BG"/>
        </w:rPr>
        <w:t>Изпълнението на тази подмярка трябва да приключи до 30 юни 2026 г.</w:t>
      </w:r>
    </w:p>
    <w:p w14:paraId="37DDB111" w14:textId="77777777" w:rsidR="00CE3BAD" w:rsidRPr="00782BF9" w:rsidRDefault="00CE3BAD">
      <w:pPr>
        <w:spacing w:before="120" w:after="0" w:line="257" w:lineRule="auto"/>
        <w:jc w:val="both"/>
        <w:rPr>
          <w:rFonts w:ascii="Times New Roman" w:eastAsia="Times New Roman" w:hAnsi="Times New Roman" w:cs="Times New Roman"/>
          <w:noProof/>
          <w:sz w:val="24"/>
          <w:lang w:val="bg-BG"/>
        </w:rPr>
      </w:pPr>
    </w:p>
    <w:p w14:paraId="4EDEAE8E"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C10.I1b: Подобряване на точността на прогнозата за времето (безвъзмездни средства)</w:t>
      </w:r>
    </w:p>
    <w:p w14:paraId="4FDB69C8" w14:textId="77777777" w:rsidR="00CE3BAD" w:rsidRPr="00782BF9" w:rsidRDefault="006B5475">
      <w:pPr>
        <w:pStyle w:val="P68B1DB1-Normal4"/>
        <w:spacing w:before="120" w:after="0" w:line="257" w:lineRule="auto"/>
        <w:jc w:val="both"/>
        <w:rPr>
          <w:rFonts w:eastAsia="MS Mincho" w:cs="Times New Roman"/>
          <w:noProof/>
          <w:lang w:val="bg-BG"/>
        </w:rPr>
      </w:pPr>
      <w:r w:rsidRPr="00782BF9">
        <w:rPr>
          <w:noProof/>
          <w:lang w:val="bg-BG"/>
        </w:rPr>
        <w:t xml:space="preserve">Подмярката „Подобряване на точността на прогнозата за метеорологичните условия“ има за цел да подобри точността на оценката на производството на енергия от електроцентрали с възобновяема енергия, зависещи от метеорологичните условия, чрез инсталиране на 37 метеорологични станции в допълнение към финансираните по кредитната част. Данните и прогнозите, генерирани в резултат на инвестицията, се оповестяват публично както за участниците на енергийния пазар, така и за широката общественост. </w:t>
      </w:r>
    </w:p>
    <w:p w14:paraId="2F760296" w14:textId="77777777" w:rsidR="00CE3BAD" w:rsidRPr="00782BF9" w:rsidRDefault="006B5475">
      <w:pPr>
        <w:pStyle w:val="P68B1DB1-Normal4"/>
        <w:spacing w:before="120" w:after="0" w:line="257" w:lineRule="auto"/>
        <w:jc w:val="both"/>
        <w:rPr>
          <w:rFonts w:eastAsia="MS Mincho" w:cs="Times New Roman"/>
          <w:noProof/>
          <w:lang w:val="bg-BG"/>
        </w:rPr>
      </w:pPr>
      <w:r w:rsidRPr="00782BF9">
        <w:rPr>
          <w:noProof/>
          <w:lang w:val="bg-BG"/>
        </w:rPr>
        <w:t>Изпълнението на тази подмярка трябва да приключи до 30 юни 2026 г.</w:t>
      </w:r>
    </w:p>
    <w:p w14:paraId="5D4E01AB" w14:textId="77777777" w:rsidR="00CE3BAD" w:rsidRPr="00782BF9" w:rsidRDefault="00CE3BAD">
      <w:pPr>
        <w:spacing w:before="120" w:after="0" w:line="257" w:lineRule="auto"/>
        <w:jc w:val="both"/>
        <w:rPr>
          <w:rFonts w:ascii="Times New Roman" w:eastAsia="MS Mincho" w:hAnsi="Times New Roman" w:cs="Times New Roman"/>
          <w:noProof/>
          <w:sz w:val="24"/>
          <w:lang w:val="bg-BG"/>
        </w:rPr>
      </w:pPr>
    </w:p>
    <w:p w14:paraId="14A2DA69" w14:textId="77777777" w:rsidR="00CE3BAD" w:rsidRPr="00782BF9" w:rsidRDefault="006B5475">
      <w:pPr>
        <w:pStyle w:val="P68B1DB1-Normal4"/>
        <w:spacing w:before="120" w:after="120" w:line="240" w:lineRule="auto"/>
        <w:jc w:val="both"/>
        <w:rPr>
          <w:rFonts w:eastAsia="Times New Roman" w:cs="Times New Roman"/>
          <w:b/>
          <w:noProof/>
          <w:lang w:val="bg-BG"/>
        </w:rPr>
      </w:pPr>
      <w:r w:rsidRPr="00782BF9">
        <w:rPr>
          <w:b/>
          <w:noProof/>
          <w:lang w:val="bg-BG"/>
        </w:rPr>
        <w:t>C10.I1c:</w:t>
      </w:r>
      <w:r w:rsidRPr="00782BF9">
        <w:rPr>
          <w:noProof/>
          <w:lang w:val="bg-BG"/>
        </w:rPr>
        <w:t xml:space="preserve"> </w:t>
      </w:r>
      <w:r w:rsidRPr="00782BF9">
        <w:rPr>
          <w:b/>
          <w:noProof/>
          <w:lang w:val="bg-BG"/>
        </w:rPr>
        <w:t>Разширена мярка:</w:t>
      </w:r>
      <w:r w:rsidRPr="00782BF9">
        <w:rPr>
          <w:noProof/>
          <w:lang w:val="bg-BG"/>
        </w:rPr>
        <w:t xml:space="preserve"> </w:t>
      </w:r>
      <w:r w:rsidRPr="00782BF9">
        <w:rPr>
          <w:b/>
          <w:noProof/>
          <w:lang w:val="bg-BG"/>
        </w:rPr>
        <w:t>Класическо и интелигентно развитие на мрежи за операторите на преносни системи и операторите на разпределителни системи (безвъзмездни средства)</w:t>
      </w:r>
    </w:p>
    <w:p w14:paraId="46A1A717" w14:textId="77777777" w:rsidR="00CE3BAD" w:rsidRPr="00782BF9" w:rsidRDefault="006B5475">
      <w:pPr>
        <w:pStyle w:val="P68B1DB1-Normal4"/>
        <w:spacing w:before="120" w:after="160" w:line="257" w:lineRule="auto"/>
        <w:jc w:val="both"/>
        <w:rPr>
          <w:rFonts w:eastAsia="Calibri" w:cs="Times New Roman"/>
          <w:noProof/>
          <w:lang w:val="bg-BG"/>
        </w:rPr>
      </w:pPr>
      <w:r w:rsidRPr="00782BF9">
        <w:rPr>
          <w:noProof/>
          <w:lang w:val="bg-BG"/>
        </w:rPr>
        <w:t xml:space="preserve">Целта на тази мярка е увеличаване на инвестициите C6.I1 „Развитие на класически и интелигентни мрежи за операторите на преносни системи и операторите на разпределителни системи“. Увеличената част от мярката води до възможност за интегриране към мрежата на допълнителен капацитет на електроцентралата, използваща възобновяеми енергийни източници от 1 197 MW, в допълнение към капацитета, финансиран от заемите и като част от инвестицията C6.I1.  </w:t>
      </w:r>
    </w:p>
    <w:p w14:paraId="4293F8FE" w14:textId="77777777" w:rsidR="00CE3BAD" w:rsidRPr="00782BF9" w:rsidRDefault="006B5475">
      <w:pPr>
        <w:pStyle w:val="P68B1DB1-Normal4"/>
        <w:spacing w:before="120" w:after="160" w:line="257" w:lineRule="auto"/>
        <w:jc w:val="both"/>
        <w:rPr>
          <w:rFonts w:eastAsia="MS Mincho" w:cs="Times New Roman"/>
          <w:noProof/>
          <w:lang w:val="bg-BG"/>
        </w:rPr>
      </w:pPr>
      <w:r w:rsidRPr="00782BF9">
        <w:rPr>
          <w:noProof/>
          <w:lang w:val="bg-BG"/>
        </w:rPr>
        <w:t>Изпълнението на тази подмярка трябва да приключи до 30 юни 2026 г.</w:t>
      </w:r>
    </w:p>
    <w:p w14:paraId="41C407BB" w14:textId="77777777" w:rsidR="00CE3BAD" w:rsidRPr="00782BF9" w:rsidRDefault="00CE3BAD">
      <w:pPr>
        <w:spacing w:before="120" w:after="160" w:line="257" w:lineRule="auto"/>
        <w:jc w:val="both"/>
        <w:rPr>
          <w:rFonts w:ascii="Times New Roman" w:eastAsia="Times New Roman" w:hAnsi="Times New Roman" w:cs="Times New Roman"/>
          <w:noProof/>
          <w:sz w:val="24"/>
          <w:lang w:val="bg-BG"/>
        </w:rPr>
      </w:pPr>
    </w:p>
    <w:p w14:paraId="18697A83"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C10.I1d: Разширена мярка: Разпространение на интелигентни измервателни уреди (безвъзмездни средства)</w:t>
      </w:r>
    </w:p>
    <w:p w14:paraId="218DA472" w14:textId="77777777" w:rsidR="00CE3BAD" w:rsidRPr="00782BF9" w:rsidRDefault="006B5475">
      <w:pPr>
        <w:pStyle w:val="P68B1DB1-Normal4"/>
        <w:spacing w:before="120" w:after="0" w:line="257" w:lineRule="auto"/>
        <w:jc w:val="both"/>
        <w:rPr>
          <w:rFonts w:eastAsia="Times New Roman" w:cs="Times New Roman"/>
          <w:noProof/>
          <w:lang w:val="bg-BG"/>
        </w:rPr>
      </w:pPr>
      <w:r w:rsidRPr="00782BF9">
        <w:rPr>
          <w:noProof/>
          <w:lang w:val="bg-BG"/>
        </w:rPr>
        <w:t>Целта на тази мярка е да се увеличат инвестициите C6.I5 „Разпространяване на интелигентни измервателни уреди“. Увеличената част от мярката подкрепя закупуването и инсталирането на 387 791 интелигентни измервателни уреди до 30 юни 2026 г. в допълнение към финансираните от заемите и като част от инвестицията C6.I5.</w:t>
      </w:r>
    </w:p>
    <w:p w14:paraId="51EA6D60" w14:textId="77777777" w:rsidR="00CE3BAD" w:rsidRPr="00782BF9" w:rsidRDefault="006B5475">
      <w:pPr>
        <w:pStyle w:val="P68B1DB1-Normal4"/>
        <w:spacing w:before="120" w:after="0" w:line="257" w:lineRule="auto"/>
        <w:jc w:val="both"/>
        <w:rPr>
          <w:rFonts w:eastAsia="MS Mincho" w:cs="Times New Roman"/>
          <w:noProof/>
          <w:lang w:val="bg-BG"/>
        </w:rPr>
      </w:pPr>
      <w:r w:rsidRPr="00782BF9">
        <w:rPr>
          <w:noProof/>
          <w:lang w:val="bg-BG"/>
        </w:rPr>
        <w:t>Изпълнението на тази подмярка трябва да приключи до 30 юни 2026 г.</w:t>
      </w:r>
    </w:p>
    <w:p w14:paraId="2972CC0D" w14:textId="77777777" w:rsidR="00CE3BAD" w:rsidRPr="00782BF9" w:rsidRDefault="00CE3BAD">
      <w:pPr>
        <w:spacing w:before="120" w:after="120" w:line="240" w:lineRule="auto"/>
        <w:jc w:val="both"/>
        <w:rPr>
          <w:rFonts w:ascii="Times New Roman" w:eastAsia="Times New Roman" w:hAnsi="Times New Roman" w:cs="Times New Roman"/>
          <w:b/>
          <w:noProof/>
          <w:sz w:val="24"/>
          <w:u w:val="single"/>
          <w:lang w:val="bg-BG"/>
        </w:rPr>
        <w:sectPr w:rsidR="00CE3BAD" w:rsidRPr="00782BF9">
          <w:headerReference w:type="even" r:id="rId147"/>
          <w:headerReference w:type="default" r:id="rId148"/>
          <w:footerReference w:type="even" r:id="rId149"/>
          <w:footerReference w:type="default" r:id="rId150"/>
          <w:headerReference w:type="first" r:id="rId151"/>
          <w:footerReference w:type="first" r:id="rId152"/>
          <w:pgSz w:w="11907" w:h="16839"/>
          <w:pgMar w:top="1134" w:right="1417" w:bottom="1134" w:left="1417" w:header="709" w:footer="709" w:gutter="0"/>
          <w:cols w:space="720"/>
          <w:docGrid w:linePitch="360"/>
        </w:sectPr>
      </w:pPr>
    </w:p>
    <w:p w14:paraId="340ACFD6" w14:textId="77777777" w:rsidR="00CE3BAD" w:rsidRPr="00782BF9" w:rsidRDefault="006B5475">
      <w:pPr>
        <w:spacing w:before="120" w:after="120" w:line="240" w:lineRule="auto"/>
        <w:jc w:val="both"/>
        <w:rPr>
          <w:rFonts w:ascii="Times New Roman" w:eastAsia="Times New Roman" w:hAnsi="Times New Roman" w:cs="Times New Roman"/>
          <w:b/>
          <w:noProof/>
          <w:sz w:val="24"/>
          <w:lang w:val="bg-BG"/>
        </w:rPr>
      </w:pPr>
      <w:r w:rsidRPr="00782BF9">
        <w:rPr>
          <w:rFonts w:ascii="Times New Roman" w:hAnsi="Times New Roman"/>
          <w:b/>
          <w:noProof/>
          <w:sz w:val="24"/>
          <w:lang w:val="bg-BG"/>
        </w:rPr>
        <w:t xml:space="preserve">Й.2. </w:t>
      </w:r>
      <w:r w:rsidRPr="00782BF9">
        <w:rPr>
          <w:noProof/>
          <w:lang w:val="bg-BG"/>
        </w:rPr>
        <w:tab/>
      </w:r>
      <w:r w:rsidRPr="00782BF9">
        <w:rPr>
          <w:rFonts w:ascii="Times New Roman" w:hAnsi="Times New Roman"/>
          <w:b/>
          <w:noProof/>
          <w:sz w:val="24"/>
          <w:lang w:val="bg-BG"/>
        </w:rPr>
        <w:t>Ключови етапи, цели, показатели и график за мониторинг и изпълнение на безвъзмездната финансова подкрепа</w:t>
      </w:r>
    </w:p>
    <w:tbl>
      <w:tblPr>
        <w:tblW w:w="15615" w:type="dxa"/>
        <w:jc w:val="center"/>
        <w:tblLayout w:type="fixed"/>
        <w:tblLook w:val="04A0" w:firstRow="1" w:lastRow="0" w:firstColumn="1" w:lastColumn="0" w:noHBand="0" w:noVBand="1"/>
      </w:tblPr>
      <w:tblGrid>
        <w:gridCol w:w="948"/>
        <w:gridCol w:w="1712"/>
        <w:gridCol w:w="1276"/>
        <w:gridCol w:w="1914"/>
        <w:gridCol w:w="1529"/>
        <w:gridCol w:w="1125"/>
        <w:gridCol w:w="1050"/>
        <w:gridCol w:w="1031"/>
        <w:gridCol w:w="818"/>
        <w:gridCol w:w="734"/>
        <w:gridCol w:w="3478"/>
      </w:tblGrid>
      <w:tr w:rsidR="00CE3BAD" w:rsidRPr="00782BF9" w14:paraId="632E53EA" w14:textId="77777777">
        <w:trPr>
          <w:trHeight w:val="587"/>
          <w:tblHeader/>
          <w:jc w:val="center"/>
        </w:trPr>
        <w:tc>
          <w:tcPr>
            <w:tcW w:w="9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DD418AA" w14:textId="41287D0A" w:rsidR="00CE3BAD" w:rsidRPr="00782BF9" w:rsidRDefault="006B5475">
            <w:pPr>
              <w:pStyle w:val="P68B1DB1-Normal23"/>
              <w:spacing w:before="120" w:after="120" w:line="240" w:lineRule="auto"/>
              <w:jc w:val="both"/>
              <w:rPr>
                <w:rFonts w:eastAsia="MS Mincho"/>
                <w:noProof/>
                <w:lang w:val="bg-BG"/>
              </w:rPr>
            </w:pPr>
            <w:r w:rsidRPr="00782BF9">
              <w:rPr>
                <w:noProof/>
                <w:lang w:val="bg-BG"/>
              </w:rPr>
              <w:t>Следващи Брой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CC2F604"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Свързана мярка (реформа или инвестиции)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E64E381" w14:textId="77777777" w:rsidR="00CE3BAD" w:rsidRPr="00782BF9" w:rsidRDefault="006B5475">
            <w:pPr>
              <w:pStyle w:val="P68B1DB1-Normal23"/>
              <w:spacing w:before="120" w:after="120" w:line="240" w:lineRule="auto"/>
              <w:rPr>
                <w:rFonts w:eastAsia="Calibri"/>
                <w:noProof/>
                <w:lang w:val="bg-BG"/>
              </w:rPr>
            </w:pPr>
            <w:r w:rsidRPr="00782BF9">
              <w:rPr>
                <w:noProof/>
                <w:lang w:val="bg-BG"/>
              </w:rPr>
              <w:t>Ключов етап/Цел</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787CA4"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Име</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C5282EE"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 xml:space="preserve">Качествени индикатори  </w:t>
            </w:r>
            <w:r w:rsidRPr="00782BF9">
              <w:rPr>
                <w:noProof/>
                <w:lang w:val="bg-BG"/>
              </w:rPr>
              <w:br/>
              <w:t>(за ключовите етапи)</w:t>
            </w:r>
          </w:p>
        </w:tc>
        <w:tc>
          <w:tcPr>
            <w:tcW w:w="3206" w:type="dxa"/>
            <w:gridSpan w:val="3"/>
            <w:tcBorders>
              <w:top w:val="single" w:sz="4" w:space="0" w:color="auto"/>
              <w:left w:val="nil"/>
              <w:bottom w:val="single" w:sz="4" w:space="0" w:color="auto"/>
              <w:right w:val="single" w:sz="4" w:space="0" w:color="auto"/>
            </w:tcBorders>
            <w:shd w:val="clear" w:color="auto" w:fill="BDD7EE"/>
            <w:vAlign w:val="center"/>
            <w:hideMark/>
          </w:tcPr>
          <w:p w14:paraId="6475DF1E"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 xml:space="preserve">Количествени индикатори  </w:t>
            </w:r>
            <w:r w:rsidRPr="00782BF9">
              <w:rPr>
                <w:noProof/>
                <w:lang w:val="bg-BG"/>
              </w:rPr>
              <w:br/>
              <w:t>(за целите)</w:t>
            </w:r>
          </w:p>
        </w:tc>
        <w:tc>
          <w:tcPr>
            <w:tcW w:w="1552" w:type="dxa"/>
            <w:gridSpan w:val="2"/>
            <w:tcBorders>
              <w:top w:val="single" w:sz="4" w:space="0" w:color="auto"/>
              <w:left w:val="nil"/>
              <w:bottom w:val="single" w:sz="4" w:space="0" w:color="auto"/>
              <w:right w:val="single" w:sz="4" w:space="0" w:color="auto"/>
            </w:tcBorders>
            <w:shd w:val="clear" w:color="auto" w:fill="BDD7EE"/>
            <w:vAlign w:val="center"/>
            <w:hideMark/>
          </w:tcPr>
          <w:p w14:paraId="18FD6901"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 xml:space="preserve">Примерен график за приключване </w:t>
            </w:r>
          </w:p>
        </w:tc>
        <w:tc>
          <w:tcPr>
            <w:tcW w:w="34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B1FC71"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Описание на всеки ключов етап и цел</w:t>
            </w:r>
          </w:p>
        </w:tc>
      </w:tr>
      <w:tr w:rsidR="00CE3BAD" w:rsidRPr="00782BF9" w14:paraId="06D5CB8B" w14:textId="77777777">
        <w:trPr>
          <w:trHeight w:val="516"/>
          <w:tblHeader/>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14:paraId="0356222F" w14:textId="77777777" w:rsidR="00CE3BAD" w:rsidRPr="00782BF9" w:rsidRDefault="00CE3BAD">
            <w:pPr>
              <w:spacing w:before="120" w:after="0" w:line="240" w:lineRule="auto"/>
              <w:jc w:val="both"/>
              <w:rPr>
                <w:rFonts w:eastAsia="Times New Roman" w:cstheme="minorHAnsi"/>
                <w:b/>
                <w:noProof/>
                <w:sz w:val="18"/>
                <w:lang w:val="bg-BG"/>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14:paraId="1A6A2750" w14:textId="77777777" w:rsidR="00CE3BAD" w:rsidRPr="00782BF9" w:rsidRDefault="00CE3BAD">
            <w:pPr>
              <w:spacing w:before="120" w:after="0" w:line="240" w:lineRule="auto"/>
              <w:jc w:val="both"/>
              <w:rPr>
                <w:rFonts w:eastAsia="Times New Roman" w:cstheme="minorHAnsi"/>
                <w:b/>
                <w:noProof/>
                <w:sz w:val="18"/>
                <w:lang w:val="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72F16A" w14:textId="77777777" w:rsidR="00CE3BAD" w:rsidRPr="00782BF9" w:rsidRDefault="00CE3BAD">
            <w:pPr>
              <w:spacing w:before="120" w:after="0" w:line="240" w:lineRule="auto"/>
              <w:jc w:val="both"/>
              <w:rPr>
                <w:rFonts w:eastAsia="Times New Roman" w:cstheme="minorHAnsi"/>
                <w:b/>
                <w:noProof/>
                <w:sz w:val="18"/>
                <w:lang w:val="bg-BG"/>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5A4690A" w14:textId="77777777" w:rsidR="00CE3BAD" w:rsidRPr="00782BF9" w:rsidRDefault="00CE3BAD">
            <w:pPr>
              <w:spacing w:before="120" w:after="0" w:line="240" w:lineRule="auto"/>
              <w:jc w:val="both"/>
              <w:rPr>
                <w:rFonts w:eastAsia="Times New Roman" w:cstheme="minorHAnsi"/>
                <w:b/>
                <w:noProof/>
                <w:sz w:val="18"/>
                <w:lang w:val="bg-BG"/>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1F5E9674" w14:textId="77777777" w:rsidR="00CE3BAD" w:rsidRPr="00782BF9" w:rsidRDefault="00CE3BAD">
            <w:pPr>
              <w:spacing w:before="120" w:after="0" w:line="240" w:lineRule="auto"/>
              <w:jc w:val="both"/>
              <w:rPr>
                <w:rFonts w:eastAsia="Times New Roman" w:cstheme="minorHAnsi"/>
                <w:b/>
                <w:noProof/>
                <w:sz w:val="18"/>
                <w:lang w:val="bg-BG"/>
              </w:rPr>
            </w:pPr>
          </w:p>
        </w:tc>
        <w:tc>
          <w:tcPr>
            <w:tcW w:w="1125" w:type="dxa"/>
            <w:tcBorders>
              <w:top w:val="nil"/>
              <w:left w:val="single" w:sz="4" w:space="0" w:color="auto"/>
              <w:bottom w:val="single" w:sz="4" w:space="0" w:color="auto"/>
              <w:right w:val="single" w:sz="4" w:space="0" w:color="auto"/>
            </w:tcBorders>
            <w:shd w:val="clear" w:color="auto" w:fill="BDD7EE"/>
            <w:vAlign w:val="center"/>
            <w:hideMark/>
          </w:tcPr>
          <w:p w14:paraId="0ABE9040"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Единица мярка</w:t>
            </w:r>
          </w:p>
        </w:tc>
        <w:tc>
          <w:tcPr>
            <w:tcW w:w="1050" w:type="dxa"/>
            <w:tcBorders>
              <w:top w:val="nil"/>
              <w:left w:val="nil"/>
              <w:bottom w:val="single" w:sz="4" w:space="0" w:color="auto"/>
              <w:right w:val="single" w:sz="4" w:space="0" w:color="auto"/>
            </w:tcBorders>
            <w:shd w:val="clear" w:color="auto" w:fill="BDD7EE"/>
            <w:vAlign w:val="center"/>
            <w:hideMark/>
          </w:tcPr>
          <w:p w14:paraId="4BB08BE4"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 xml:space="preserve">Базова линия </w:t>
            </w:r>
          </w:p>
        </w:tc>
        <w:tc>
          <w:tcPr>
            <w:tcW w:w="1031" w:type="dxa"/>
            <w:tcBorders>
              <w:top w:val="nil"/>
              <w:left w:val="nil"/>
              <w:bottom w:val="single" w:sz="4" w:space="0" w:color="auto"/>
              <w:right w:val="single" w:sz="4" w:space="0" w:color="auto"/>
            </w:tcBorders>
            <w:shd w:val="clear" w:color="auto" w:fill="BDD7EE"/>
            <w:vAlign w:val="center"/>
            <w:hideMark/>
          </w:tcPr>
          <w:p w14:paraId="4EF37CD9"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 xml:space="preserve">Цел </w:t>
            </w:r>
          </w:p>
        </w:tc>
        <w:tc>
          <w:tcPr>
            <w:tcW w:w="818" w:type="dxa"/>
            <w:tcBorders>
              <w:top w:val="nil"/>
              <w:left w:val="nil"/>
              <w:bottom w:val="single" w:sz="4" w:space="0" w:color="auto"/>
              <w:right w:val="single" w:sz="4" w:space="0" w:color="auto"/>
            </w:tcBorders>
            <w:shd w:val="clear" w:color="auto" w:fill="BDD7EE"/>
            <w:vAlign w:val="center"/>
            <w:hideMark/>
          </w:tcPr>
          <w:p w14:paraId="6E09748F"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Тримесечие</w:t>
            </w:r>
          </w:p>
        </w:tc>
        <w:tc>
          <w:tcPr>
            <w:tcW w:w="734" w:type="dxa"/>
            <w:tcBorders>
              <w:top w:val="nil"/>
              <w:left w:val="nil"/>
              <w:bottom w:val="single" w:sz="4" w:space="0" w:color="auto"/>
              <w:right w:val="single" w:sz="4" w:space="0" w:color="auto"/>
            </w:tcBorders>
            <w:shd w:val="clear" w:color="auto" w:fill="BDD7EE"/>
            <w:vAlign w:val="center"/>
            <w:hideMark/>
          </w:tcPr>
          <w:p w14:paraId="7BC98915"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Година</w:t>
            </w:r>
          </w:p>
        </w:tc>
        <w:tc>
          <w:tcPr>
            <w:tcW w:w="3478" w:type="dxa"/>
            <w:vMerge/>
            <w:tcBorders>
              <w:top w:val="single" w:sz="4" w:space="0" w:color="auto"/>
              <w:bottom w:val="single" w:sz="4" w:space="0" w:color="auto"/>
              <w:right w:val="single" w:sz="4" w:space="0" w:color="auto"/>
            </w:tcBorders>
            <w:vAlign w:val="center"/>
            <w:hideMark/>
          </w:tcPr>
          <w:p w14:paraId="7D9CE3A2" w14:textId="77777777" w:rsidR="00CE3BAD" w:rsidRPr="00782BF9" w:rsidRDefault="00CE3BAD">
            <w:pPr>
              <w:spacing w:before="120" w:after="0" w:line="240" w:lineRule="auto"/>
              <w:jc w:val="both"/>
              <w:rPr>
                <w:rFonts w:eastAsia="Times New Roman" w:cstheme="minorHAnsi"/>
                <w:b/>
                <w:noProof/>
                <w:sz w:val="18"/>
                <w:lang w:val="bg-BG"/>
              </w:rPr>
            </w:pPr>
          </w:p>
        </w:tc>
      </w:tr>
      <w:tr w:rsidR="00CE3BAD" w:rsidRPr="00782BF9" w14:paraId="6FC48647" w14:textId="77777777">
        <w:trPr>
          <w:trHeight w:val="309"/>
          <w:jc w:val="center"/>
        </w:trPr>
        <w:tc>
          <w:tcPr>
            <w:tcW w:w="948" w:type="dxa"/>
            <w:tcBorders>
              <w:top w:val="single" w:sz="4" w:space="0" w:color="auto"/>
              <w:left w:val="single" w:sz="4" w:space="0" w:color="auto"/>
              <w:bottom w:val="single" w:sz="4" w:space="0" w:color="auto"/>
              <w:right w:val="single" w:sz="4" w:space="0" w:color="auto"/>
            </w:tcBorders>
            <w:shd w:val="clear" w:color="auto" w:fill="C6EFCE"/>
            <w:noWrap/>
          </w:tcPr>
          <w:p w14:paraId="52EE598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271</w:t>
            </w:r>
          </w:p>
        </w:tc>
        <w:tc>
          <w:tcPr>
            <w:tcW w:w="1712" w:type="dxa"/>
            <w:tcBorders>
              <w:top w:val="single" w:sz="4" w:space="0" w:color="auto"/>
              <w:left w:val="nil"/>
              <w:bottom w:val="single" w:sz="4" w:space="0" w:color="auto"/>
              <w:right w:val="single" w:sz="4" w:space="0" w:color="auto"/>
            </w:tcBorders>
            <w:shd w:val="clear" w:color="auto" w:fill="C6EFCE"/>
            <w:noWrap/>
          </w:tcPr>
          <w:p w14:paraId="1CEE700F" w14:textId="77777777" w:rsidR="00CE3BAD" w:rsidRPr="00782BF9" w:rsidRDefault="006B5475">
            <w:pPr>
              <w:pStyle w:val="P68B1DB1-Normal24"/>
              <w:spacing w:before="120" w:after="120" w:line="240" w:lineRule="auto"/>
              <w:jc w:val="center"/>
              <w:rPr>
                <w:rFonts w:eastAsia="MS Mincho"/>
                <w:noProof/>
                <w:lang w:val="bg-BG"/>
              </w:rPr>
            </w:pPr>
            <w:r w:rsidRPr="00782BF9">
              <w:rPr>
                <w:noProof/>
                <w:lang w:val="bg-BG"/>
              </w:rPr>
              <w:t>C10.R1: Подобряване на прозрачността, предвидимостта и достъпността на процедурата за присъединяване към мрежата</w:t>
            </w:r>
          </w:p>
          <w:p w14:paraId="024DB04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Разширена мярка:</w:t>
            </w:r>
          </w:p>
          <w:p w14:paraId="796FD8B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Разрешение за присъединяване към мрежата за зависими от метеорологичните условия централи за енергия от възобновяеми източници</w:t>
            </w:r>
          </w:p>
        </w:tc>
        <w:tc>
          <w:tcPr>
            <w:tcW w:w="1276" w:type="dxa"/>
            <w:tcBorders>
              <w:top w:val="single" w:sz="4" w:space="0" w:color="auto"/>
              <w:left w:val="nil"/>
              <w:bottom w:val="single" w:sz="4" w:space="0" w:color="auto"/>
              <w:right w:val="single" w:sz="4" w:space="0" w:color="auto"/>
            </w:tcBorders>
            <w:shd w:val="clear" w:color="auto" w:fill="C6EFCE"/>
            <w:noWrap/>
          </w:tcPr>
          <w:p w14:paraId="52DB127F"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914" w:type="dxa"/>
            <w:tcBorders>
              <w:top w:val="single" w:sz="4" w:space="0" w:color="auto"/>
              <w:left w:val="nil"/>
              <w:bottom w:val="single" w:sz="4" w:space="0" w:color="auto"/>
              <w:right w:val="single" w:sz="4" w:space="0" w:color="auto"/>
            </w:tcBorders>
            <w:shd w:val="clear" w:color="auto" w:fill="C6EFCE"/>
            <w:noWrap/>
          </w:tcPr>
          <w:p w14:paraId="39616D5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Разрешение за присъединяване към мрежата за зависими от метеорологичните условия централи за енергия от възобновяеми източници</w:t>
            </w:r>
          </w:p>
        </w:tc>
        <w:tc>
          <w:tcPr>
            <w:tcW w:w="1529" w:type="dxa"/>
            <w:tcBorders>
              <w:top w:val="single" w:sz="4" w:space="0" w:color="auto"/>
              <w:left w:val="nil"/>
              <w:bottom w:val="single" w:sz="4" w:space="0" w:color="auto"/>
              <w:right w:val="single" w:sz="4" w:space="0" w:color="auto"/>
            </w:tcBorders>
            <w:shd w:val="clear" w:color="auto" w:fill="C6EFCE"/>
            <w:noWrap/>
          </w:tcPr>
          <w:p w14:paraId="69ABE529" w14:textId="77777777" w:rsidR="00CE3BAD" w:rsidRPr="00782BF9" w:rsidRDefault="00CE3BAD">
            <w:pPr>
              <w:spacing w:before="120" w:after="120" w:line="240" w:lineRule="auto"/>
              <w:jc w:val="center"/>
              <w:rPr>
                <w:rFonts w:eastAsia="Times New Roman"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0283583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MW</w:t>
            </w:r>
          </w:p>
        </w:tc>
        <w:tc>
          <w:tcPr>
            <w:tcW w:w="1050" w:type="dxa"/>
            <w:tcBorders>
              <w:top w:val="nil"/>
              <w:left w:val="nil"/>
              <w:bottom w:val="single" w:sz="4" w:space="0" w:color="auto"/>
              <w:right w:val="single" w:sz="4" w:space="0" w:color="auto"/>
            </w:tcBorders>
            <w:shd w:val="clear" w:color="auto" w:fill="C6EFCE"/>
            <w:noWrap/>
          </w:tcPr>
          <w:p w14:paraId="03DB4B23" w14:textId="3825FF76"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10</w:t>
            </w:r>
            <w:r w:rsidRPr="00782BF9">
              <w:rPr>
                <w:noProof/>
                <w:color w:val="006100"/>
                <w:lang w:val="bg-BG"/>
              </w:rPr>
              <w:t xml:space="preserve"> </w:t>
            </w:r>
            <w:r w:rsidRPr="00782BF9">
              <w:rPr>
                <w:rFonts w:cstheme="minorHAnsi"/>
                <w:noProof/>
                <w:lang w:val="bg-BG"/>
              </w:rPr>
              <w:t>000</w:t>
            </w:r>
          </w:p>
        </w:tc>
        <w:tc>
          <w:tcPr>
            <w:tcW w:w="1031" w:type="dxa"/>
            <w:tcBorders>
              <w:top w:val="nil"/>
              <w:left w:val="nil"/>
              <w:bottom w:val="single" w:sz="4" w:space="0" w:color="auto"/>
              <w:right w:val="single" w:sz="4" w:space="0" w:color="auto"/>
            </w:tcBorders>
            <w:shd w:val="clear" w:color="auto" w:fill="C6EFCE"/>
            <w:noWrap/>
          </w:tcPr>
          <w:p w14:paraId="0EDE3072" w14:textId="5A281BEA"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12</w:t>
            </w:r>
            <w:r w:rsidRPr="00782BF9">
              <w:rPr>
                <w:noProof/>
                <w:color w:val="006100"/>
                <w:lang w:val="bg-BG"/>
              </w:rPr>
              <w:t xml:space="preserve"> </w:t>
            </w:r>
            <w:r w:rsidRPr="00782BF9">
              <w:rPr>
                <w:rFonts w:cstheme="minorHAnsi"/>
                <w:noProof/>
                <w:lang w:val="bg-BG"/>
              </w:rPr>
              <w:t>000</w:t>
            </w:r>
          </w:p>
        </w:tc>
        <w:tc>
          <w:tcPr>
            <w:tcW w:w="818" w:type="dxa"/>
            <w:tcBorders>
              <w:top w:val="nil"/>
              <w:left w:val="nil"/>
              <w:bottom w:val="single" w:sz="4" w:space="0" w:color="auto"/>
              <w:right w:val="single" w:sz="4" w:space="0" w:color="auto"/>
            </w:tcBorders>
            <w:shd w:val="clear" w:color="auto" w:fill="C6EFCE"/>
            <w:noWrap/>
          </w:tcPr>
          <w:p w14:paraId="7CF54EC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34" w:type="dxa"/>
            <w:tcBorders>
              <w:top w:val="nil"/>
              <w:left w:val="nil"/>
              <w:bottom w:val="single" w:sz="4" w:space="0" w:color="auto"/>
              <w:right w:val="single" w:sz="4" w:space="0" w:color="auto"/>
            </w:tcBorders>
            <w:shd w:val="clear" w:color="auto" w:fill="C6EFCE"/>
            <w:noWrap/>
          </w:tcPr>
          <w:p w14:paraId="69DB52C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3478" w:type="dxa"/>
            <w:tcBorders>
              <w:top w:val="single" w:sz="4" w:space="0" w:color="auto"/>
              <w:left w:val="nil"/>
              <w:bottom w:val="single" w:sz="4" w:space="0" w:color="auto"/>
              <w:right w:val="single" w:sz="4" w:space="0" w:color="auto"/>
            </w:tcBorders>
            <w:shd w:val="clear" w:color="auto" w:fill="C6EFCE"/>
            <w:noWrap/>
          </w:tcPr>
          <w:p w14:paraId="1E02E2D3" w14:textId="24361A90" w:rsidR="00CE3BAD" w:rsidRPr="00782BF9" w:rsidRDefault="006B5475">
            <w:pPr>
              <w:pStyle w:val="P68B1DB1-Normal10"/>
              <w:spacing w:before="120" w:after="120" w:line="240" w:lineRule="auto"/>
              <w:jc w:val="both"/>
              <w:rPr>
                <w:rFonts w:eastAsia="Calibri" w:cstheme="minorHAnsi"/>
                <w:noProof/>
                <w:lang w:val="bg-BG"/>
              </w:rPr>
            </w:pPr>
            <w:r w:rsidRPr="00782BF9">
              <w:rPr>
                <w:rFonts w:cstheme="minorHAnsi"/>
                <w:noProof/>
                <w:lang w:val="bg-BG"/>
              </w:rPr>
              <w:t>Разрешенията за присъединяване към мрежата, изпълними от датата на предоставяне, се издават от ОРС или ОПС на зависими от метеорологичните условия централи за възобновяема енергия — слънчева и вятърна енергия, с обща мощност от най-малко 12</w:t>
            </w:r>
            <w:r w:rsidRPr="00782BF9">
              <w:rPr>
                <w:noProof/>
                <w:color w:val="006100"/>
                <w:lang w:val="bg-BG"/>
              </w:rPr>
              <w:t xml:space="preserve"> </w:t>
            </w:r>
            <w:r w:rsidRPr="00782BF9">
              <w:rPr>
                <w:rFonts w:cstheme="minorHAnsi"/>
                <w:noProof/>
                <w:lang w:val="bg-BG"/>
              </w:rPr>
              <w:t>000 MW. Целта обхваща всички категории такива електроцентрали (малки и големи електроцентрали), включително централи за енергия от възобновяеми източници, които са обхванати само от процедура за регистрация и са регистрирани.</w:t>
            </w:r>
          </w:p>
        </w:tc>
      </w:tr>
      <w:tr w:rsidR="00CE3BAD" w:rsidRPr="00782BF9" w14:paraId="6505507B" w14:textId="77777777">
        <w:trPr>
          <w:trHeight w:val="1368"/>
          <w:jc w:val="center"/>
        </w:trPr>
        <w:tc>
          <w:tcPr>
            <w:tcW w:w="948" w:type="dxa"/>
            <w:tcBorders>
              <w:top w:val="nil"/>
              <w:left w:val="single" w:sz="4" w:space="0" w:color="auto"/>
              <w:bottom w:val="single" w:sz="4" w:space="0" w:color="auto"/>
              <w:right w:val="single" w:sz="4" w:space="0" w:color="auto"/>
            </w:tcBorders>
            <w:shd w:val="clear" w:color="auto" w:fill="C6EFCE"/>
            <w:noWrap/>
          </w:tcPr>
          <w:p w14:paraId="6160328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272</w:t>
            </w:r>
          </w:p>
        </w:tc>
        <w:tc>
          <w:tcPr>
            <w:tcW w:w="1712" w:type="dxa"/>
            <w:tcBorders>
              <w:top w:val="nil"/>
              <w:left w:val="nil"/>
              <w:bottom w:val="single" w:sz="4" w:space="0" w:color="auto"/>
              <w:right w:val="single" w:sz="4" w:space="0" w:color="auto"/>
            </w:tcBorders>
            <w:shd w:val="clear" w:color="auto" w:fill="C6EFCE"/>
            <w:noWrap/>
          </w:tcPr>
          <w:p w14:paraId="427F2BB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C10.R1: Подобряване на прозрачността, предвидимостта и наличието на процедура за присъединяване към мрежата</w:t>
            </w:r>
          </w:p>
          <w:p w14:paraId="23BC56E2" w14:textId="77777777" w:rsidR="00CE3BAD" w:rsidRPr="00782BF9" w:rsidRDefault="00CE3BAD">
            <w:pPr>
              <w:spacing w:before="120" w:after="120" w:line="240" w:lineRule="auto"/>
              <w:jc w:val="center"/>
              <w:rPr>
                <w:rFonts w:eastAsia="MS Mincho" w:cstheme="minorHAnsi"/>
                <w:noProof/>
                <w:sz w:val="18"/>
                <w:lang w:val="bg-BG"/>
              </w:rPr>
            </w:pPr>
          </w:p>
          <w:p w14:paraId="2BBFD21C" w14:textId="6BB4E5D3" w:rsidR="00CE3BAD" w:rsidRPr="00782BF9" w:rsidRDefault="006B5475">
            <w:pPr>
              <w:pStyle w:val="P68B1DB1-Normal24"/>
              <w:spacing w:before="120" w:after="120" w:line="240" w:lineRule="auto"/>
              <w:jc w:val="center"/>
              <w:rPr>
                <w:rFonts w:eastAsia="Calibri"/>
                <w:noProof/>
                <w:lang w:val="bg-BG"/>
              </w:rPr>
            </w:pPr>
            <w:r w:rsidRPr="00782BF9">
              <w:rPr>
                <w:noProof/>
                <w:lang w:val="bg-BG"/>
              </w:rPr>
              <w:t>Хармонизиране на процедурата за</w:t>
            </w:r>
            <w:r w:rsidRPr="00782BF9">
              <w:rPr>
                <w:noProof/>
                <w:u w:val="single"/>
                <w:lang w:val="bg-BG"/>
              </w:rPr>
              <w:t xml:space="preserve"> </w:t>
            </w:r>
            <w:r w:rsidRPr="00782BF9">
              <w:rPr>
                <w:noProof/>
                <w:lang w:val="bg-BG"/>
              </w:rPr>
              <w:t>присъединяване към електроенергийната мрежа от страна на операторите на разпределителни системи</w:t>
            </w:r>
          </w:p>
        </w:tc>
        <w:tc>
          <w:tcPr>
            <w:tcW w:w="1276" w:type="dxa"/>
            <w:tcBorders>
              <w:top w:val="nil"/>
              <w:left w:val="nil"/>
              <w:bottom w:val="single" w:sz="4" w:space="0" w:color="auto"/>
              <w:right w:val="single" w:sz="4" w:space="0" w:color="auto"/>
            </w:tcBorders>
            <w:shd w:val="clear" w:color="auto" w:fill="C6EFCE"/>
            <w:noWrap/>
          </w:tcPr>
          <w:p w14:paraId="78EC34BD"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914" w:type="dxa"/>
            <w:tcBorders>
              <w:top w:val="nil"/>
              <w:left w:val="nil"/>
              <w:bottom w:val="single" w:sz="4" w:space="0" w:color="auto"/>
              <w:right w:val="single" w:sz="4" w:space="0" w:color="auto"/>
            </w:tcBorders>
            <w:shd w:val="clear" w:color="auto" w:fill="C6EFCE"/>
            <w:noWrap/>
          </w:tcPr>
          <w:p w14:paraId="18B03C2F" w14:textId="77777777" w:rsidR="00CE3BAD" w:rsidRPr="00782BF9" w:rsidRDefault="006B5475">
            <w:pPr>
              <w:pStyle w:val="P68B1DB1-Normal24"/>
              <w:spacing w:before="120" w:after="120" w:line="240" w:lineRule="auto"/>
              <w:jc w:val="center"/>
              <w:rPr>
                <w:rFonts w:eastAsia="Times New Roman"/>
                <w:noProof/>
                <w:u w:val="single"/>
                <w:lang w:val="bg-BG"/>
              </w:rPr>
            </w:pPr>
            <w:r w:rsidRPr="00782BF9">
              <w:rPr>
                <w:noProof/>
                <w:lang w:val="bg-BG"/>
              </w:rPr>
              <w:t>Хармонизиране на процедурата за</w:t>
            </w:r>
            <w:r w:rsidRPr="00782BF9">
              <w:rPr>
                <w:noProof/>
                <w:u w:val="single"/>
                <w:lang w:val="bg-BG"/>
              </w:rPr>
              <w:t xml:space="preserve"> </w:t>
            </w:r>
            <w:r w:rsidRPr="00782BF9">
              <w:rPr>
                <w:noProof/>
                <w:lang w:val="bg-BG"/>
              </w:rPr>
              <w:t>присъединяване към електроенергийната мрежа от страна на операторите на разпределителни системи</w:t>
            </w:r>
          </w:p>
          <w:p w14:paraId="3C01A4ED" w14:textId="77777777" w:rsidR="00CE3BAD" w:rsidRPr="00782BF9" w:rsidRDefault="00CE3BAD">
            <w:pPr>
              <w:spacing w:before="120" w:after="120" w:line="240" w:lineRule="auto"/>
              <w:jc w:val="center"/>
              <w:rPr>
                <w:rFonts w:eastAsia="Times New Roman" w:cstheme="minorHAnsi"/>
                <w:noProof/>
                <w:sz w:val="18"/>
                <w:lang w:val="bg-BG"/>
              </w:rPr>
            </w:pPr>
          </w:p>
        </w:tc>
        <w:tc>
          <w:tcPr>
            <w:tcW w:w="1529" w:type="dxa"/>
            <w:tcBorders>
              <w:top w:val="nil"/>
              <w:left w:val="nil"/>
              <w:bottom w:val="single" w:sz="4" w:space="0" w:color="auto"/>
              <w:right w:val="single" w:sz="4" w:space="0" w:color="auto"/>
            </w:tcBorders>
            <w:shd w:val="clear" w:color="auto" w:fill="C6EFCE"/>
            <w:noWrap/>
          </w:tcPr>
          <w:p w14:paraId="2620E760"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Разпоредба в правилата, указваща влизането в сила на минималните изисквания за хармонизираната процедура за присъединяване към електроенергийната мрежа</w:t>
            </w:r>
          </w:p>
          <w:p w14:paraId="57590818" w14:textId="77777777" w:rsidR="00CE3BAD" w:rsidRPr="00782BF9" w:rsidRDefault="00CE3BAD">
            <w:pPr>
              <w:spacing w:before="120" w:after="120" w:line="240" w:lineRule="auto"/>
              <w:jc w:val="center"/>
              <w:rPr>
                <w:rFonts w:eastAsia="Times New Roman"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0D985FBB"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299D48B3"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11FAC49C"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5C55566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34" w:type="dxa"/>
            <w:tcBorders>
              <w:top w:val="nil"/>
              <w:left w:val="nil"/>
              <w:bottom w:val="single" w:sz="4" w:space="0" w:color="auto"/>
              <w:right w:val="single" w:sz="4" w:space="0" w:color="auto"/>
            </w:tcBorders>
            <w:shd w:val="clear" w:color="auto" w:fill="C6EFCE"/>
            <w:noWrap/>
          </w:tcPr>
          <w:p w14:paraId="50DFD2E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tcPr>
          <w:p w14:paraId="35AAD7F0"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Унгарският регулаторен орган в областта на енергетиката и комуналните услуги (MEKH) установява различията и определя минималните изисквания за хармонизиране на процедурите за присъединяване към електроенергийната мрежа, прилагани от всички оператори на разпределителни системи, например по отношение на общите срокове и документите, които трябва да бъдат представени.</w:t>
            </w:r>
          </w:p>
          <w:p w14:paraId="762ADADD"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От ОРС се изисква на всеки шест месеца да предоставят информация относно наличието на точки за свързване към мрежата за централи за енергия от възобновяеми източници в рамките на своя район на експлоатация.</w:t>
            </w:r>
          </w:p>
          <w:p w14:paraId="651B57D4" w14:textId="77777777" w:rsidR="00CE3BAD" w:rsidRPr="00782BF9" w:rsidRDefault="00CE3BAD">
            <w:pPr>
              <w:spacing w:before="120" w:after="120" w:line="240" w:lineRule="auto"/>
              <w:jc w:val="both"/>
              <w:rPr>
                <w:rFonts w:eastAsia="Times New Roman" w:cstheme="minorHAnsi"/>
                <w:noProof/>
                <w:sz w:val="18"/>
                <w:lang w:val="bg-BG"/>
              </w:rPr>
            </w:pPr>
          </w:p>
        </w:tc>
      </w:tr>
      <w:tr w:rsidR="00CE3BAD" w:rsidRPr="00782BF9" w14:paraId="3FFD91AF"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17ED712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273</w:t>
            </w:r>
          </w:p>
        </w:tc>
        <w:tc>
          <w:tcPr>
            <w:tcW w:w="1712" w:type="dxa"/>
            <w:tcBorders>
              <w:top w:val="nil"/>
              <w:left w:val="nil"/>
              <w:bottom w:val="single" w:sz="4" w:space="0" w:color="auto"/>
              <w:right w:val="single" w:sz="4" w:space="0" w:color="auto"/>
            </w:tcBorders>
            <w:shd w:val="clear" w:color="auto" w:fill="C6EFCE"/>
            <w:noWrap/>
          </w:tcPr>
          <w:p w14:paraId="0B1B93C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C10.R2: Определяне на мрежовите тарифи</w:t>
            </w:r>
          </w:p>
        </w:tc>
        <w:tc>
          <w:tcPr>
            <w:tcW w:w="1276" w:type="dxa"/>
            <w:tcBorders>
              <w:top w:val="nil"/>
              <w:left w:val="nil"/>
              <w:bottom w:val="single" w:sz="4" w:space="0" w:color="auto"/>
              <w:right w:val="single" w:sz="4" w:space="0" w:color="auto"/>
            </w:tcBorders>
            <w:shd w:val="clear" w:color="auto" w:fill="C6EFCE"/>
            <w:noWrap/>
          </w:tcPr>
          <w:p w14:paraId="3C02121D"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914" w:type="dxa"/>
            <w:tcBorders>
              <w:top w:val="nil"/>
              <w:left w:val="nil"/>
              <w:bottom w:val="single" w:sz="4" w:space="0" w:color="auto"/>
              <w:right w:val="single" w:sz="4" w:space="0" w:color="auto"/>
            </w:tcBorders>
            <w:shd w:val="clear" w:color="auto" w:fill="C6EFCE"/>
            <w:noWrap/>
          </w:tcPr>
          <w:p w14:paraId="367DB8E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Нова методика за изчисляване на мрежовите тарифи</w:t>
            </w:r>
          </w:p>
        </w:tc>
        <w:tc>
          <w:tcPr>
            <w:tcW w:w="1529" w:type="dxa"/>
            <w:tcBorders>
              <w:top w:val="nil"/>
              <w:left w:val="nil"/>
              <w:bottom w:val="single" w:sz="4" w:space="0" w:color="auto"/>
              <w:right w:val="single" w:sz="4" w:space="0" w:color="auto"/>
            </w:tcBorders>
            <w:shd w:val="clear" w:color="auto" w:fill="C6EFCE"/>
            <w:noWrap/>
          </w:tcPr>
          <w:p w14:paraId="102C468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Разпоредба в акта за изпълнение, указваща влизането в сила на методиката </w:t>
            </w:r>
          </w:p>
        </w:tc>
        <w:tc>
          <w:tcPr>
            <w:tcW w:w="1125" w:type="dxa"/>
            <w:tcBorders>
              <w:top w:val="nil"/>
              <w:left w:val="nil"/>
              <w:bottom w:val="single" w:sz="4" w:space="0" w:color="auto"/>
              <w:right w:val="single" w:sz="4" w:space="0" w:color="auto"/>
            </w:tcBorders>
            <w:shd w:val="clear" w:color="auto" w:fill="C6EFCE"/>
            <w:noWrap/>
          </w:tcPr>
          <w:p w14:paraId="0D994D48"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4D368026"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3EDF0619"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0CF9D43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34" w:type="dxa"/>
            <w:tcBorders>
              <w:top w:val="nil"/>
              <w:left w:val="nil"/>
              <w:bottom w:val="single" w:sz="4" w:space="0" w:color="auto"/>
              <w:right w:val="single" w:sz="4" w:space="0" w:color="auto"/>
            </w:tcBorders>
            <w:shd w:val="clear" w:color="auto" w:fill="C6EFCE"/>
            <w:noWrap/>
          </w:tcPr>
          <w:p w14:paraId="674DE68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tcPr>
          <w:p w14:paraId="32912ED2"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Влизане в сила на нова методика за изчисляване на мрежовите тарифи, приета от независимия регулаторен орган. Тя гарантира, че тарифите за пренос и разпределение отразяват разходите и са недискриминационни в съответствие с член 18 от Регламент (ЕС) 2019/943. Регулаторният орган носи цялата отговорност за определяне на това кои разходи и приходи се вземат предвид в методиката.</w:t>
            </w:r>
          </w:p>
          <w:p w14:paraId="06BDF21A" w14:textId="77777777" w:rsidR="00CE3BAD" w:rsidRPr="00782BF9" w:rsidRDefault="00CE3BAD">
            <w:pPr>
              <w:spacing w:before="120" w:after="120" w:line="240" w:lineRule="auto"/>
              <w:jc w:val="both"/>
              <w:rPr>
                <w:rFonts w:eastAsia="Times New Roman" w:cstheme="minorHAnsi"/>
                <w:noProof/>
                <w:sz w:val="18"/>
                <w:lang w:val="bg-BG"/>
              </w:rPr>
            </w:pPr>
          </w:p>
        </w:tc>
      </w:tr>
      <w:tr w:rsidR="00CE3BAD" w:rsidRPr="00782BF9" w14:paraId="3D595C12"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7DCAAFE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274</w:t>
            </w:r>
          </w:p>
        </w:tc>
        <w:tc>
          <w:tcPr>
            <w:tcW w:w="1712" w:type="dxa"/>
            <w:tcBorders>
              <w:top w:val="nil"/>
              <w:left w:val="nil"/>
              <w:bottom w:val="single" w:sz="4" w:space="0" w:color="auto"/>
              <w:right w:val="single" w:sz="4" w:space="0" w:color="auto"/>
            </w:tcBorders>
            <w:shd w:val="clear" w:color="auto" w:fill="C6EFCE"/>
            <w:noWrap/>
          </w:tcPr>
          <w:p w14:paraId="63CC10A1" w14:textId="77777777" w:rsidR="00CE3BAD" w:rsidRPr="00782BF9" w:rsidRDefault="006B5475">
            <w:pPr>
              <w:pStyle w:val="P68B1DB1-Normal24"/>
              <w:spacing w:before="120" w:after="120" w:line="240" w:lineRule="auto"/>
              <w:jc w:val="center"/>
              <w:rPr>
                <w:rFonts w:eastAsia="Times New Roman"/>
                <w:noProof/>
                <w:highlight w:val="yellow"/>
                <w:lang w:val="bg-BG"/>
              </w:rPr>
            </w:pPr>
            <w:r w:rsidRPr="00782BF9">
              <w:rPr>
                <w:noProof/>
                <w:lang w:val="bg-BG"/>
              </w:rPr>
              <w:t xml:space="preserve">C10.R3: Адаптиране на законодателството относно интелигентните измервателни уреди </w:t>
            </w:r>
          </w:p>
          <w:p w14:paraId="26A6E24E" w14:textId="77777777" w:rsidR="00CE3BAD" w:rsidRPr="00782BF9" w:rsidRDefault="00CE3BAD">
            <w:pPr>
              <w:spacing w:before="120" w:after="120" w:line="240" w:lineRule="auto"/>
              <w:jc w:val="center"/>
              <w:rPr>
                <w:rFonts w:eastAsia="Calibri" w:cstheme="minorHAnsi"/>
                <w:noProof/>
                <w:sz w:val="18"/>
                <w:lang w:val="bg-BG"/>
              </w:rPr>
            </w:pPr>
          </w:p>
        </w:tc>
        <w:tc>
          <w:tcPr>
            <w:tcW w:w="1276" w:type="dxa"/>
            <w:tcBorders>
              <w:top w:val="nil"/>
              <w:left w:val="nil"/>
              <w:bottom w:val="single" w:sz="4" w:space="0" w:color="auto"/>
              <w:right w:val="single" w:sz="4" w:space="0" w:color="auto"/>
            </w:tcBorders>
            <w:shd w:val="clear" w:color="auto" w:fill="C6EFCE"/>
            <w:noWrap/>
          </w:tcPr>
          <w:p w14:paraId="6B44A0CD"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914" w:type="dxa"/>
            <w:tcBorders>
              <w:top w:val="nil"/>
              <w:left w:val="nil"/>
              <w:bottom w:val="single" w:sz="4" w:space="0" w:color="auto"/>
              <w:right w:val="single" w:sz="4" w:space="0" w:color="auto"/>
            </w:tcBorders>
            <w:shd w:val="clear" w:color="auto" w:fill="C6EFCE"/>
            <w:noWrap/>
          </w:tcPr>
          <w:p w14:paraId="42D9C9D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измененото законодателство относно интелигентните измервателни уреди</w:t>
            </w:r>
          </w:p>
        </w:tc>
        <w:tc>
          <w:tcPr>
            <w:tcW w:w="1529" w:type="dxa"/>
            <w:tcBorders>
              <w:top w:val="nil"/>
              <w:left w:val="nil"/>
              <w:bottom w:val="single" w:sz="4" w:space="0" w:color="auto"/>
              <w:right w:val="single" w:sz="4" w:space="0" w:color="auto"/>
            </w:tcBorders>
            <w:shd w:val="clear" w:color="auto" w:fill="C6EFCE"/>
            <w:noWrap/>
          </w:tcPr>
          <w:p w14:paraId="3821103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Законова разпоредба, указваща влизането в сила на законодателството</w:t>
            </w:r>
          </w:p>
        </w:tc>
        <w:tc>
          <w:tcPr>
            <w:tcW w:w="1125" w:type="dxa"/>
            <w:tcBorders>
              <w:top w:val="nil"/>
              <w:left w:val="nil"/>
              <w:bottom w:val="single" w:sz="4" w:space="0" w:color="auto"/>
              <w:right w:val="single" w:sz="4" w:space="0" w:color="auto"/>
            </w:tcBorders>
            <w:shd w:val="clear" w:color="auto" w:fill="C6EFCE"/>
            <w:noWrap/>
          </w:tcPr>
          <w:p w14:paraId="67775F39"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698D00B8"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61618C13"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7647B10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34" w:type="dxa"/>
            <w:tcBorders>
              <w:top w:val="nil"/>
              <w:left w:val="nil"/>
              <w:bottom w:val="single" w:sz="4" w:space="0" w:color="auto"/>
              <w:right w:val="single" w:sz="4" w:space="0" w:color="auto"/>
            </w:tcBorders>
            <w:shd w:val="clear" w:color="auto" w:fill="C6EFCE"/>
            <w:noWrap/>
          </w:tcPr>
          <w:p w14:paraId="3760657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tcPr>
          <w:p w14:paraId="082157FB" w14:textId="77777777" w:rsidR="00CE3BAD" w:rsidRPr="00782BF9" w:rsidRDefault="006B5475">
            <w:pPr>
              <w:pStyle w:val="P68B1DB1-Normal24"/>
              <w:spacing w:before="120" w:after="120" w:line="240" w:lineRule="auto"/>
              <w:jc w:val="both"/>
              <w:rPr>
                <w:rFonts w:eastAsia="Times New Roman"/>
                <w:noProof/>
                <w:highlight w:val="yellow"/>
                <w:lang w:val="bg-BG"/>
              </w:rPr>
            </w:pPr>
            <w:r w:rsidRPr="00782BF9">
              <w:rPr>
                <w:noProof/>
                <w:lang w:val="bg-BG"/>
              </w:rPr>
              <w:t>Влизане в сила на измененото законодателство за подобряване на използването на интелигентни измервателни уреди.</w:t>
            </w:r>
          </w:p>
          <w:p w14:paraId="0238F22F"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Законодателните изменения включват:</w:t>
            </w:r>
          </w:p>
          <w:p w14:paraId="5DAF98D0" w14:textId="77777777" w:rsidR="00CE3BAD" w:rsidRPr="00782BF9" w:rsidRDefault="006B5475">
            <w:pPr>
              <w:pStyle w:val="P68B1DB1-Normal24"/>
              <w:numPr>
                <w:ilvl w:val="0"/>
                <w:numId w:val="48"/>
              </w:numPr>
              <w:spacing w:before="120" w:after="120" w:line="240" w:lineRule="auto"/>
              <w:contextualSpacing/>
              <w:jc w:val="both"/>
              <w:rPr>
                <w:rFonts w:eastAsia="Times New Roman"/>
                <w:noProof/>
                <w:lang w:val="bg-BG"/>
              </w:rPr>
            </w:pPr>
            <w:r w:rsidRPr="00782BF9">
              <w:rPr>
                <w:noProof/>
                <w:lang w:val="bg-BG"/>
              </w:rPr>
              <w:t xml:space="preserve">основни функционални изисквания за интелигентните измервателни уреди, за да се гарантира тяхната оперативна съвместимост, включително изискванията, които те трябва да предоставят на системите за енергийно управление; </w:t>
            </w:r>
          </w:p>
          <w:p w14:paraId="3486560E" w14:textId="77777777" w:rsidR="00CE3BAD" w:rsidRPr="00782BF9" w:rsidRDefault="006B5475">
            <w:pPr>
              <w:pStyle w:val="P68B1DB1-Normal24"/>
              <w:numPr>
                <w:ilvl w:val="0"/>
                <w:numId w:val="48"/>
              </w:numPr>
              <w:spacing w:before="120" w:after="120" w:line="240" w:lineRule="auto"/>
              <w:contextualSpacing/>
              <w:jc w:val="both"/>
              <w:rPr>
                <w:rFonts w:eastAsia="Calibri"/>
                <w:noProof/>
                <w:lang w:val="bg-BG"/>
              </w:rPr>
            </w:pPr>
            <w:r w:rsidRPr="00782BF9">
              <w:rPr>
                <w:noProof/>
                <w:lang w:val="bg-BG"/>
              </w:rPr>
              <w:t>изисквания за подобряване на прозрачността и достъпа на ползвателите и участниците на пазара до данните, произтичащи от използването на интелигентни измервателни уреди;</w:t>
            </w:r>
          </w:p>
          <w:p w14:paraId="20A0368C" w14:textId="77777777" w:rsidR="00CE3BAD" w:rsidRPr="00782BF9" w:rsidRDefault="006B5475">
            <w:pPr>
              <w:pStyle w:val="P68B1DB1-Normal24"/>
              <w:numPr>
                <w:ilvl w:val="0"/>
                <w:numId w:val="48"/>
              </w:numPr>
              <w:spacing w:before="120" w:after="120" w:line="240" w:lineRule="auto"/>
              <w:contextualSpacing/>
              <w:jc w:val="both"/>
              <w:rPr>
                <w:rFonts w:eastAsia="Times New Roman"/>
                <w:noProof/>
                <w:lang w:val="bg-BG"/>
              </w:rPr>
            </w:pPr>
            <w:r w:rsidRPr="00782BF9">
              <w:rPr>
                <w:noProof/>
                <w:lang w:val="bg-BG"/>
              </w:rPr>
              <w:t xml:space="preserve">разпоредби за разширяване на обхвата на ползвателите, задължени от националното законодателство да инсталират интелигентни измервателни уреди. </w:t>
            </w:r>
          </w:p>
        </w:tc>
      </w:tr>
      <w:tr w:rsidR="00CE3BAD" w:rsidRPr="00782BF9" w14:paraId="271FCCB4"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282DF5C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275</w:t>
            </w:r>
          </w:p>
        </w:tc>
        <w:tc>
          <w:tcPr>
            <w:tcW w:w="1712" w:type="dxa"/>
            <w:tcBorders>
              <w:top w:val="nil"/>
              <w:left w:val="nil"/>
              <w:bottom w:val="single" w:sz="4" w:space="0" w:color="auto"/>
              <w:right w:val="single" w:sz="4" w:space="0" w:color="auto"/>
            </w:tcBorders>
            <w:shd w:val="clear" w:color="auto" w:fill="C6EFCE"/>
            <w:noWrap/>
          </w:tcPr>
          <w:p w14:paraId="0639D77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C10.R4: Засилване на ролята на доставчиците на агрегирани услуги  </w:t>
            </w:r>
          </w:p>
        </w:tc>
        <w:tc>
          <w:tcPr>
            <w:tcW w:w="1276" w:type="dxa"/>
            <w:tcBorders>
              <w:top w:val="nil"/>
              <w:left w:val="nil"/>
              <w:bottom w:val="single" w:sz="4" w:space="0" w:color="auto"/>
              <w:right w:val="single" w:sz="4" w:space="0" w:color="auto"/>
            </w:tcBorders>
            <w:shd w:val="clear" w:color="auto" w:fill="C6EFCE"/>
            <w:noWrap/>
          </w:tcPr>
          <w:p w14:paraId="740AB3DC"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914" w:type="dxa"/>
            <w:tcBorders>
              <w:top w:val="nil"/>
              <w:left w:val="nil"/>
              <w:bottom w:val="single" w:sz="4" w:space="0" w:color="auto"/>
              <w:right w:val="single" w:sz="4" w:space="0" w:color="auto"/>
            </w:tcBorders>
            <w:shd w:val="clear" w:color="auto" w:fill="C6EFCE"/>
            <w:noWrap/>
          </w:tcPr>
          <w:p w14:paraId="59A2E66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акт за изпълнение относно доставчиците на агрегирани услуги и мрежовите кодекси, включително образци на договори</w:t>
            </w:r>
          </w:p>
          <w:p w14:paraId="596DAB0C" w14:textId="77777777" w:rsidR="00CE3BAD" w:rsidRPr="00782BF9" w:rsidRDefault="00CE3BAD">
            <w:pPr>
              <w:spacing w:before="120" w:after="120" w:line="240" w:lineRule="auto"/>
              <w:jc w:val="center"/>
              <w:rPr>
                <w:rFonts w:eastAsia="Times New Roman" w:cstheme="minorHAnsi"/>
                <w:noProof/>
                <w:sz w:val="18"/>
                <w:lang w:val="bg-BG"/>
              </w:rPr>
            </w:pPr>
          </w:p>
        </w:tc>
        <w:tc>
          <w:tcPr>
            <w:tcW w:w="1529" w:type="dxa"/>
            <w:tcBorders>
              <w:top w:val="nil"/>
              <w:left w:val="nil"/>
              <w:bottom w:val="single" w:sz="4" w:space="0" w:color="auto"/>
              <w:right w:val="single" w:sz="4" w:space="0" w:color="auto"/>
            </w:tcBorders>
            <w:shd w:val="clear" w:color="auto" w:fill="C6EFCE"/>
            <w:noWrap/>
          </w:tcPr>
          <w:p w14:paraId="5F47DCF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Разпоредба в акта за изпълнение, указваща влизането в сила на законодателството относно доставчиците на агрегирани услуги и мрежовите кодекси, включително изменените образци на договори</w:t>
            </w:r>
          </w:p>
        </w:tc>
        <w:tc>
          <w:tcPr>
            <w:tcW w:w="1125" w:type="dxa"/>
            <w:tcBorders>
              <w:top w:val="nil"/>
              <w:left w:val="nil"/>
              <w:bottom w:val="single" w:sz="4" w:space="0" w:color="auto"/>
              <w:right w:val="single" w:sz="4" w:space="0" w:color="auto"/>
            </w:tcBorders>
            <w:shd w:val="clear" w:color="auto" w:fill="C6EFCE"/>
            <w:noWrap/>
          </w:tcPr>
          <w:p w14:paraId="62F43E33"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4F032842"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472C3DE0"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074E824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34" w:type="dxa"/>
            <w:tcBorders>
              <w:top w:val="nil"/>
              <w:left w:val="nil"/>
              <w:bottom w:val="single" w:sz="4" w:space="0" w:color="auto"/>
              <w:right w:val="single" w:sz="4" w:space="0" w:color="auto"/>
            </w:tcBorders>
            <w:shd w:val="clear" w:color="auto" w:fill="C6EFCE"/>
            <w:noWrap/>
          </w:tcPr>
          <w:p w14:paraId="69E9D28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tcPr>
          <w:p w14:paraId="4A3FAB30" w14:textId="58327826"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Влизане в сила на акта за изпълнение относно доставчиците на агрегирани услуги и мрежовите кодекси с цел подобряване на навлизането на пазара и разработването на услуги на нови участници в оптимизацията на потреблението (независими доставчици на агрегирани услуги), извършващи дейност в Унгария в областта на управлението на търсенето и агрегирането. </w:t>
            </w:r>
          </w:p>
          <w:p w14:paraId="07973838"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С промените се разработват инструменти, които насърчават бенефициерите на универсалната услуга да сключват договори с един или повече общностни доставчици, включително правната възможност за преобразуване на договор за универсална услуга в договор за частична или планирана доставка. </w:t>
            </w:r>
          </w:p>
          <w:p w14:paraId="4F545F69"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Измененията обхващат определението на правилата за клиринг между доставчиците на агрегирани услуги и търговците, финансовата отговорност за несъответствията и отговорността за всякакви неравновесия, които могат да възникнат.</w:t>
            </w:r>
          </w:p>
          <w:p w14:paraId="72DD1948"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 мярката се включва и разработването на модели на договори.</w:t>
            </w:r>
          </w:p>
        </w:tc>
      </w:tr>
      <w:tr w:rsidR="00CE3BAD" w:rsidRPr="00782BF9" w14:paraId="3E982E23"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09FCDE7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276</w:t>
            </w:r>
          </w:p>
        </w:tc>
        <w:tc>
          <w:tcPr>
            <w:tcW w:w="1712" w:type="dxa"/>
            <w:tcBorders>
              <w:top w:val="nil"/>
              <w:left w:val="nil"/>
              <w:bottom w:val="single" w:sz="4" w:space="0" w:color="auto"/>
              <w:right w:val="single" w:sz="4" w:space="0" w:color="auto"/>
            </w:tcBorders>
            <w:shd w:val="clear" w:color="auto" w:fill="C6EFCE"/>
            <w:noWrap/>
          </w:tcPr>
          <w:p w14:paraId="44EE9913" w14:textId="77777777" w:rsidR="00CE3BAD" w:rsidRPr="00782BF9" w:rsidRDefault="006B5475">
            <w:pPr>
              <w:pStyle w:val="P68B1DB1-Normal24"/>
              <w:spacing w:before="120" w:after="120" w:line="240" w:lineRule="auto"/>
              <w:jc w:val="center"/>
              <w:rPr>
                <w:rFonts w:eastAsia="MS Mincho"/>
                <w:noProof/>
                <w:lang w:val="bg-BG"/>
              </w:rPr>
            </w:pPr>
            <w:r w:rsidRPr="00782BF9">
              <w:rPr>
                <w:noProof/>
                <w:lang w:val="bg-BG"/>
              </w:rPr>
              <w:t>C10.R5: По-широко използване на динамично ценообразуване в споразуменията за закупуване на електроенергия</w:t>
            </w:r>
          </w:p>
          <w:p w14:paraId="107349B1" w14:textId="77777777" w:rsidR="00CE3BAD" w:rsidRPr="00782BF9" w:rsidRDefault="00CE3BAD">
            <w:pPr>
              <w:spacing w:before="120" w:after="120" w:line="240" w:lineRule="auto"/>
              <w:jc w:val="center"/>
              <w:rPr>
                <w:rFonts w:eastAsia="Calibri" w:cstheme="minorHAnsi"/>
                <w:noProof/>
                <w:sz w:val="18"/>
                <w:lang w:val="bg-BG"/>
              </w:rPr>
            </w:pPr>
          </w:p>
        </w:tc>
        <w:tc>
          <w:tcPr>
            <w:tcW w:w="1276" w:type="dxa"/>
            <w:tcBorders>
              <w:top w:val="nil"/>
              <w:left w:val="nil"/>
              <w:bottom w:val="single" w:sz="4" w:space="0" w:color="auto"/>
              <w:right w:val="single" w:sz="4" w:space="0" w:color="auto"/>
            </w:tcBorders>
            <w:shd w:val="clear" w:color="auto" w:fill="C6EFCE"/>
            <w:noWrap/>
          </w:tcPr>
          <w:p w14:paraId="31DED256"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914" w:type="dxa"/>
            <w:tcBorders>
              <w:top w:val="nil"/>
              <w:left w:val="nil"/>
              <w:bottom w:val="single" w:sz="4" w:space="0" w:color="auto"/>
              <w:right w:val="single" w:sz="4" w:space="0" w:color="auto"/>
            </w:tcBorders>
            <w:shd w:val="clear" w:color="auto" w:fill="C6EFCE"/>
            <w:noWrap/>
          </w:tcPr>
          <w:p w14:paraId="4C37E836"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измененото законодателство за улесняване на прилагането на динамично ценообразуване в сегмента на битовите потребители и микропредприятията</w:t>
            </w:r>
          </w:p>
        </w:tc>
        <w:tc>
          <w:tcPr>
            <w:tcW w:w="1529" w:type="dxa"/>
            <w:tcBorders>
              <w:top w:val="nil"/>
              <w:left w:val="nil"/>
              <w:bottom w:val="single" w:sz="4" w:space="0" w:color="auto"/>
              <w:right w:val="single" w:sz="4" w:space="0" w:color="auto"/>
            </w:tcBorders>
            <w:shd w:val="clear" w:color="auto" w:fill="C6EFCE"/>
            <w:noWrap/>
          </w:tcPr>
          <w:p w14:paraId="17D4379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Законова разпоредба, указваща влизането в сила на законодателните изменения</w:t>
            </w:r>
          </w:p>
          <w:p w14:paraId="43653269" w14:textId="77777777" w:rsidR="00CE3BAD" w:rsidRPr="00782BF9" w:rsidRDefault="00CE3BAD">
            <w:pPr>
              <w:spacing w:before="120" w:after="120" w:line="240" w:lineRule="auto"/>
              <w:jc w:val="center"/>
              <w:rPr>
                <w:rFonts w:eastAsia="Calibri"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1C4BB379"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1F30EDD2"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332041FE"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779089A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34" w:type="dxa"/>
            <w:tcBorders>
              <w:top w:val="nil"/>
              <w:left w:val="nil"/>
              <w:bottom w:val="single" w:sz="4" w:space="0" w:color="auto"/>
              <w:right w:val="single" w:sz="4" w:space="0" w:color="auto"/>
            </w:tcBorders>
            <w:shd w:val="clear" w:color="auto" w:fill="C6EFCE"/>
            <w:noWrap/>
          </w:tcPr>
          <w:p w14:paraId="7EFDF0C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3478" w:type="dxa"/>
            <w:tcBorders>
              <w:top w:val="nil"/>
              <w:left w:val="nil"/>
              <w:bottom w:val="single" w:sz="4" w:space="0" w:color="auto"/>
              <w:right w:val="single" w:sz="4" w:space="0" w:color="auto"/>
            </w:tcBorders>
            <w:shd w:val="clear" w:color="auto" w:fill="C6EFCE"/>
            <w:noWrap/>
          </w:tcPr>
          <w:p w14:paraId="6F0C1BEC"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Влизане в сила на законодателните изменения за улесняване на прилагането на динамично ценообразуване в сегмента на жилищните потребители и микропредприятията. Измененото (ите) законодателство (я) предоставя (т) на битовите потребители и микропредприятията с подходящи измервателни уреди възможността да сключат договор за доброволно изкупуване на електроенергия с динамично ценообразуване, също и в допълнение към договор за универсална услуга. Измененото (ите) законодателство (я) гарантира (т), че чрез договори за динамично ценообразуване потребителите могат да се възползват от функциите на интелигентните измервателни уреди и от агрегирането, и им позволява да действат като произвеждащи потребители.</w:t>
            </w:r>
          </w:p>
        </w:tc>
      </w:tr>
      <w:tr w:rsidR="00CE3BAD" w:rsidRPr="00782BF9" w14:paraId="3CC383D3"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6F2EC2D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277</w:t>
            </w:r>
          </w:p>
        </w:tc>
        <w:tc>
          <w:tcPr>
            <w:tcW w:w="1712" w:type="dxa"/>
            <w:tcBorders>
              <w:top w:val="nil"/>
              <w:left w:val="nil"/>
              <w:bottom w:val="single" w:sz="4" w:space="0" w:color="auto"/>
              <w:right w:val="single" w:sz="4" w:space="0" w:color="auto"/>
            </w:tcBorders>
            <w:shd w:val="clear" w:color="auto" w:fill="C6EFCE"/>
            <w:noWrap/>
          </w:tcPr>
          <w:p w14:paraId="6FF6836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C10.R6: Обновяване на продуктовата структура на пазарите на регулаторни резерви с цел улесняване на навлизането на нови видове гъвкавост</w:t>
            </w:r>
          </w:p>
          <w:p w14:paraId="5F1D0992" w14:textId="77777777" w:rsidR="00CE3BAD" w:rsidRPr="00782BF9" w:rsidRDefault="00CE3BAD">
            <w:pPr>
              <w:spacing w:before="120" w:after="120" w:line="240" w:lineRule="auto"/>
              <w:jc w:val="center"/>
              <w:rPr>
                <w:rFonts w:eastAsia="Calibri" w:cstheme="minorHAnsi"/>
                <w:noProof/>
                <w:sz w:val="18"/>
                <w:lang w:val="bg-BG"/>
              </w:rPr>
            </w:pPr>
          </w:p>
        </w:tc>
        <w:tc>
          <w:tcPr>
            <w:tcW w:w="1276" w:type="dxa"/>
            <w:tcBorders>
              <w:top w:val="nil"/>
              <w:left w:val="nil"/>
              <w:bottom w:val="single" w:sz="4" w:space="0" w:color="auto"/>
              <w:right w:val="single" w:sz="4" w:space="0" w:color="auto"/>
            </w:tcBorders>
            <w:shd w:val="clear" w:color="auto" w:fill="C6EFCE"/>
            <w:noWrap/>
          </w:tcPr>
          <w:p w14:paraId="7805148E"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 xml:space="preserve">Ключов етап </w:t>
            </w:r>
          </w:p>
        </w:tc>
        <w:tc>
          <w:tcPr>
            <w:tcW w:w="1914" w:type="dxa"/>
            <w:tcBorders>
              <w:top w:val="nil"/>
              <w:left w:val="nil"/>
              <w:bottom w:val="single" w:sz="4" w:space="0" w:color="auto"/>
              <w:right w:val="single" w:sz="4" w:space="0" w:color="auto"/>
            </w:tcBorders>
            <w:shd w:val="clear" w:color="auto" w:fill="C6EFCE"/>
            <w:noWrap/>
          </w:tcPr>
          <w:p w14:paraId="75F288B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всеобхватна регулаторна рамка и изменения на правилата и типовия договор на необходимите регулаторни равнища</w:t>
            </w:r>
          </w:p>
          <w:p w14:paraId="7473BB81" w14:textId="77777777" w:rsidR="00CE3BAD" w:rsidRPr="00782BF9" w:rsidRDefault="00CE3BAD">
            <w:pPr>
              <w:spacing w:before="120" w:after="120" w:line="240" w:lineRule="auto"/>
              <w:jc w:val="center"/>
              <w:rPr>
                <w:rFonts w:eastAsia="Times New Roman" w:cstheme="minorHAnsi"/>
                <w:noProof/>
                <w:sz w:val="18"/>
                <w:lang w:val="bg-BG"/>
              </w:rPr>
            </w:pPr>
          </w:p>
        </w:tc>
        <w:tc>
          <w:tcPr>
            <w:tcW w:w="1529" w:type="dxa"/>
            <w:tcBorders>
              <w:top w:val="nil"/>
              <w:left w:val="nil"/>
              <w:bottom w:val="single" w:sz="4" w:space="0" w:color="auto"/>
              <w:right w:val="single" w:sz="4" w:space="0" w:color="auto"/>
            </w:tcBorders>
            <w:shd w:val="clear" w:color="auto" w:fill="C6EFCE"/>
            <w:noWrap/>
          </w:tcPr>
          <w:p w14:paraId="16ED3AC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Публикуване на образци на договори и на регулаторната рамка на уебсайтовете на съответните органи </w:t>
            </w:r>
          </w:p>
        </w:tc>
        <w:tc>
          <w:tcPr>
            <w:tcW w:w="1125" w:type="dxa"/>
            <w:tcBorders>
              <w:top w:val="nil"/>
              <w:left w:val="nil"/>
              <w:bottom w:val="single" w:sz="4" w:space="0" w:color="auto"/>
              <w:right w:val="single" w:sz="4" w:space="0" w:color="auto"/>
            </w:tcBorders>
            <w:shd w:val="clear" w:color="auto" w:fill="C6EFCE"/>
            <w:noWrap/>
          </w:tcPr>
          <w:p w14:paraId="25F4A1F6"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34F620A7"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614F68AE"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3E6FB606" w14:textId="69EA77A3" w:rsidR="00CE3BAD" w:rsidRPr="00782BF9" w:rsidRDefault="006B5475">
            <w:pPr>
              <w:pStyle w:val="P68B1DB1-Normal25"/>
              <w:spacing w:before="120" w:after="120" w:line="240" w:lineRule="auto"/>
              <w:jc w:val="center"/>
              <w:rPr>
                <w:noProof/>
                <w:lang w:val="bg-BG"/>
              </w:rPr>
            </w:pPr>
            <w:r w:rsidRPr="00782BF9">
              <w:rPr>
                <w:noProof/>
                <w:lang w:val="bg-BG"/>
              </w:rPr>
              <w:t>Т2 Г.</w:t>
            </w:r>
          </w:p>
        </w:tc>
        <w:tc>
          <w:tcPr>
            <w:tcW w:w="734" w:type="dxa"/>
            <w:tcBorders>
              <w:top w:val="nil"/>
              <w:left w:val="nil"/>
              <w:bottom w:val="single" w:sz="4" w:space="0" w:color="auto"/>
              <w:right w:val="single" w:sz="4" w:space="0" w:color="auto"/>
            </w:tcBorders>
            <w:shd w:val="clear" w:color="auto" w:fill="C6EFCE"/>
            <w:noWrap/>
          </w:tcPr>
          <w:p w14:paraId="5EA6E3B6" w14:textId="42CD36CE" w:rsidR="00CE3BAD" w:rsidRPr="00782BF9" w:rsidRDefault="006B5475">
            <w:pPr>
              <w:pStyle w:val="P68B1DB1-Normal25"/>
              <w:spacing w:before="120" w:after="120" w:line="240" w:lineRule="auto"/>
              <w:jc w:val="center"/>
              <w:rPr>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tcPr>
          <w:p w14:paraId="437AADA9"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Влизането в сила на новата регулаторна рамка ще отвори пазара за нови участници в предлагането, ще премахне пречките и ще улесни достъпа до пазара за традиционните, нетрадиционните производители и производителите на енергия от възобновяеми източници. </w:t>
            </w:r>
          </w:p>
          <w:p w14:paraId="5464FF7D"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В регулаторната рамка се въвежда пакет, който не позволява на производителите да навлязат на пазара, за да блокират навлизането на нови участници на пазара. Регулаторната рамка включва използването на зависими от метеорологичните условия производители на пазара на балансиращ капацитет и разработва специален продукт за гъвкавост за потребителите с по-нисък праг на акредитационен капацитет.</w:t>
            </w:r>
          </w:p>
          <w:p w14:paraId="41AA491C" w14:textId="77777777" w:rsidR="00CE3BAD" w:rsidRPr="00782BF9" w:rsidRDefault="00CE3BAD">
            <w:pPr>
              <w:spacing w:before="120" w:after="120" w:line="240" w:lineRule="auto"/>
              <w:jc w:val="both"/>
              <w:rPr>
                <w:rFonts w:eastAsia="Times New Roman" w:cstheme="minorHAnsi"/>
                <w:noProof/>
                <w:sz w:val="18"/>
                <w:lang w:val="bg-BG"/>
              </w:rPr>
            </w:pPr>
          </w:p>
        </w:tc>
      </w:tr>
      <w:tr w:rsidR="00CE3BAD" w:rsidRPr="00782BF9" w14:paraId="4C7A6170"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hideMark/>
          </w:tcPr>
          <w:p w14:paraId="33A5088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278</w:t>
            </w:r>
          </w:p>
        </w:tc>
        <w:tc>
          <w:tcPr>
            <w:tcW w:w="1712" w:type="dxa"/>
            <w:tcBorders>
              <w:top w:val="nil"/>
              <w:left w:val="nil"/>
              <w:bottom w:val="single" w:sz="4" w:space="0" w:color="auto"/>
              <w:right w:val="single" w:sz="4" w:space="0" w:color="auto"/>
            </w:tcBorders>
            <w:shd w:val="clear" w:color="auto" w:fill="C6EFCE"/>
            <w:noWrap/>
            <w:hideMark/>
          </w:tcPr>
          <w:p w14:paraId="5D44D27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344B44F9" w14:textId="77777777" w:rsidR="00CE3BAD" w:rsidRPr="00782BF9" w:rsidRDefault="006B5475">
            <w:pPr>
              <w:pStyle w:val="P68B1DB1-Normal24"/>
              <w:spacing w:before="120" w:after="120" w:line="240" w:lineRule="auto"/>
              <w:jc w:val="center"/>
              <w:rPr>
                <w:rFonts w:eastAsia="MS Mincho"/>
                <w:noProof/>
                <w:lang w:val="bg-BG"/>
              </w:rPr>
            </w:pPr>
            <w:r w:rsidRPr="00782BF9">
              <w:rPr>
                <w:noProof/>
                <w:lang w:val="bg-BG"/>
              </w:rPr>
              <w:t>В.10.I1a: Развитие на цифровите технологии на равнището на системния оператор (безвъзмездни средства)</w:t>
            </w:r>
          </w:p>
        </w:tc>
        <w:tc>
          <w:tcPr>
            <w:tcW w:w="1276" w:type="dxa"/>
            <w:tcBorders>
              <w:top w:val="nil"/>
              <w:left w:val="nil"/>
              <w:bottom w:val="single" w:sz="4" w:space="0" w:color="auto"/>
              <w:right w:val="single" w:sz="4" w:space="0" w:color="auto"/>
            </w:tcBorders>
            <w:shd w:val="clear" w:color="auto" w:fill="C6EFCE"/>
            <w:noWrap/>
            <w:hideMark/>
          </w:tcPr>
          <w:p w14:paraId="46A1D634"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 xml:space="preserve">Ключов етап </w:t>
            </w:r>
          </w:p>
        </w:tc>
        <w:tc>
          <w:tcPr>
            <w:tcW w:w="1914" w:type="dxa"/>
            <w:tcBorders>
              <w:top w:val="nil"/>
              <w:left w:val="nil"/>
              <w:bottom w:val="single" w:sz="4" w:space="0" w:color="auto"/>
              <w:right w:val="single" w:sz="4" w:space="0" w:color="auto"/>
            </w:tcBorders>
            <w:shd w:val="clear" w:color="auto" w:fill="C6EFCE"/>
            <w:noWrap/>
            <w:hideMark/>
          </w:tcPr>
          <w:p w14:paraId="49A36940"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Отправяне на покана за представяне на предложения относно развитието на цифровите технологии, свързани с мрежовата инфраструктура и експлоатацията на електроенергийната мрежа на равнището на системния оператор</w:t>
            </w:r>
          </w:p>
          <w:p w14:paraId="1D09865B" w14:textId="77777777" w:rsidR="00CE3BAD" w:rsidRPr="00782BF9" w:rsidRDefault="00CE3BAD">
            <w:pPr>
              <w:spacing w:before="120" w:after="120" w:line="240" w:lineRule="auto"/>
              <w:jc w:val="center"/>
              <w:rPr>
                <w:rFonts w:eastAsia="Calibri" w:cstheme="minorHAnsi"/>
                <w:noProof/>
                <w:sz w:val="18"/>
                <w:lang w:val="bg-BG"/>
              </w:rPr>
            </w:pPr>
          </w:p>
        </w:tc>
        <w:tc>
          <w:tcPr>
            <w:tcW w:w="1529" w:type="dxa"/>
            <w:tcBorders>
              <w:top w:val="nil"/>
              <w:left w:val="nil"/>
              <w:bottom w:val="single" w:sz="4" w:space="0" w:color="auto"/>
              <w:right w:val="single" w:sz="4" w:space="0" w:color="auto"/>
            </w:tcBorders>
            <w:shd w:val="clear" w:color="auto" w:fill="C6EFCE"/>
            <w:noWrap/>
            <w:hideMark/>
          </w:tcPr>
          <w:p w14:paraId="11741D3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поканата за представяне на предложения на официалния уебсайт на правителството за покани за представяне на предложения</w:t>
            </w:r>
          </w:p>
        </w:tc>
        <w:tc>
          <w:tcPr>
            <w:tcW w:w="1125" w:type="dxa"/>
            <w:tcBorders>
              <w:top w:val="nil"/>
              <w:left w:val="nil"/>
              <w:bottom w:val="single" w:sz="4" w:space="0" w:color="auto"/>
              <w:right w:val="single" w:sz="4" w:space="0" w:color="auto"/>
            </w:tcBorders>
            <w:shd w:val="clear" w:color="auto" w:fill="C6EFCE"/>
            <w:noWrap/>
            <w:hideMark/>
          </w:tcPr>
          <w:p w14:paraId="2E9082E5"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hideMark/>
          </w:tcPr>
          <w:p w14:paraId="78FA5777"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hideMark/>
          </w:tcPr>
          <w:p w14:paraId="36FA6CFD"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hideMark/>
          </w:tcPr>
          <w:p w14:paraId="4033EA0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34" w:type="dxa"/>
            <w:tcBorders>
              <w:top w:val="nil"/>
              <w:left w:val="nil"/>
              <w:bottom w:val="single" w:sz="4" w:space="0" w:color="auto"/>
              <w:right w:val="single" w:sz="4" w:space="0" w:color="auto"/>
            </w:tcBorders>
            <w:shd w:val="clear" w:color="auto" w:fill="C6EFCE"/>
            <w:noWrap/>
            <w:hideMark/>
          </w:tcPr>
          <w:p w14:paraId="22A59FE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hideMark/>
          </w:tcPr>
          <w:p w14:paraId="46F52655"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Отправя се покана за представяне на предложения за разработване на цифрови технологии за изграждане и експлоатация на електроенергийната мрежа на равнището на системния оператор. </w:t>
            </w:r>
          </w:p>
          <w:p w14:paraId="45CC5F8C"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 xml:space="preserve">В поканата се описват основните елементи и дейности, свързани с развитието, които могат да получат подкрепа за развитието на цифрова инфраструктура, като например: цифровата система за обслужване на клиенти, основната енергийна ИТ инфраструктура, информационните системи, поддържащи енергийните услуги, и системите за управление от страна на потребителите. </w:t>
            </w:r>
          </w:p>
        </w:tc>
      </w:tr>
      <w:tr w:rsidR="00CE3BAD" w:rsidRPr="00782BF9" w14:paraId="060791DD"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hideMark/>
          </w:tcPr>
          <w:p w14:paraId="0DF8EEE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279</w:t>
            </w:r>
          </w:p>
        </w:tc>
        <w:tc>
          <w:tcPr>
            <w:tcW w:w="1712" w:type="dxa"/>
            <w:tcBorders>
              <w:top w:val="nil"/>
              <w:left w:val="nil"/>
              <w:bottom w:val="single" w:sz="4" w:space="0" w:color="auto"/>
              <w:right w:val="single" w:sz="4" w:space="0" w:color="auto"/>
            </w:tcBorders>
            <w:shd w:val="clear" w:color="auto" w:fill="C6EFCE"/>
            <w:noWrap/>
            <w:hideMark/>
          </w:tcPr>
          <w:p w14:paraId="21F1553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425E847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В.10.I1a: Развитие на цифровите технологии на равнището на системния оператор (безвъзмездни средства)</w:t>
            </w:r>
          </w:p>
          <w:p w14:paraId="3F0C4ACE" w14:textId="77777777" w:rsidR="00CE3BAD" w:rsidRPr="00782BF9" w:rsidRDefault="00CE3BAD">
            <w:pPr>
              <w:spacing w:before="120" w:after="120" w:line="240" w:lineRule="auto"/>
              <w:jc w:val="center"/>
              <w:rPr>
                <w:rFonts w:eastAsia="Calibri" w:cstheme="minorHAnsi"/>
                <w:noProof/>
                <w:sz w:val="18"/>
                <w:lang w:val="bg-BG"/>
              </w:rPr>
            </w:pPr>
          </w:p>
        </w:tc>
        <w:tc>
          <w:tcPr>
            <w:tcW w:w="1276" w:type="dxa"/>
            <w:tcBorders>
              <w:top w:val="nil"/>
              <w:left w:val="nil"/>
              <w:bottom w:val="single" w:sz="4" w:space="0" w:color="auto"/>
              <w:right w:val="single" w:sz="4" w:space="0" w:color="auto"/>
            </w:tcBorders>
            <w:shd w:val="clear" w:color="auto" w:fill="C6EFCE"/>
            <w:noWrap/>
            <w:hideMark/>
          </w:tcPr>
          <w:p w14:paraId="559E938E"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914" w:type="dxa"/>
            <w:tcBorders>
              <w:top w:val="nil"/>
              <w:left w:val="nil"/>
              <w:bottom w:val="single" w:sz="4" w:space="0" w:color="auto"/>
              <w:right w:val="single" w:sz="4" w:space="0" w:color="auto"/>
            </w:tcBorders>
            <w:shd w:val="clear" w:color="auto" w:fill="C6EFCE"/>
            <w:noWrap/>
            <w:hideMark/>
          </w:tcPr>
          <w:p w14:paraId="3F8F9CC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Влизане в сила на споразуменията за отпускане на безвъзмездни средства за развитие на цифровите технологии, свързани с мрежовата инфраструктура и експлоатацията на електроенергийната мрежа на равнището на системния оператор </w:t>
            </w:r>
          </w:p>
        </w:tc>
        <w:tc>
          <w:tcPr>
            <w:tcW w:w="1529" w:type="dxa"/>
            <w:tcBorders>
              <w:top w:val="nil"/>
              <w:left w:val="nil"/>
              <w:bottom w:val="single" w:sz="4" w:space="0" w:color="auto"/>
              <w:right w:val="single" w:sz="4" w:space="0" w:color="auto"/>
            </w:tcBorders>
            <w:shd w:val="clear" w:color="auto" w:fill="C6EFCE"/>
            <w:noWrap/>
            <w:hideMark/>
          </w:tcPr>
          <w:p w14:paraId="037F6C1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споразуменията за отпускане на безвъзмездни средства</w:t>
            </w:r>
          </w:p>
        </w:tc>
        <w:tc>
          <w:tcPr>
            <w:tcW w:w="1125" w:type="dxa"/>
            <w:tcBorders>
              <w:top w:val="nil"/>
              <w:left w:val="nil"/>
              <w:bottom w:val="single" w:sz="4" w:space="0" w:color="auto"/>
              <w:right w:val="single" w:sz="4" w:space="0" w:color="auto"/>
            </w:tcBorders>
            <w:shd w:val="clear" w:color="auto" w:fill="C6EFCE"/>
            <w:noWrap/>
            <w:hideMark/>
          </w:tcPr>
          <w:p w14:paraId="4A62A5B7"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hideMark/>
          </w:tcPr>
          <w:p w14:paraId="457C44E2"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hideMark/>
          </w:tcPr>
          <w:p w14:paraId="4B6B5F0D"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hideMark/>
          </w:tcPr>
          <w:p w14:paraId="712A647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34" w:type="dxa"/>
            <w:tcBorders>
              <w:top w:val="nil"/>
              <w:left w:val="nil"/>
              <w:bottom w:val="single" w:sz="4" w:space="0" w:color="auto"/>
              <w:right w:val="single" w:sz="4" w:space="0" w:color="auto"/>
            </w:tcBorders>
            <w:shd w:val="clear" w:color="auto" w:fill="C6EFCE"/>
            <w:noWrap/>
            <w:hideMark/>
          </w:tcPr>
          <w:p w14:paraId="025D14E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hideMark/>
          </w:tcPr>
          <w:p w14:paraId="47F7BC82" w14:textId="257C813F"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Споразуменията за отпускане на безвъзмездни средства се подписват със системните оператори, включително с техните ИТ дружества, влизат в сила за всички проекти, избрани в рамките на поканата за представяне на предложения, посочена в етап 278. </w:t>
            </w:r>
          </w:p>
        </w:tc>
      </w:tr>
      <w:tr w:rsidR="00CE3BAD" w:rsidRPr="00782BF9" w14:paraId="1F9969F2"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6B736C1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280</w:t>
            </w:r>
          </w:p>
        </w:tc>
        <w:tc>
          <w:tcPr>
            <w:tcW w:w="1712" w:type="dxa"/>
            <w:tcBorders>
              <w:top w:val="nil"/>
              <w:left w:val="nil"/>
              <w:bottom w:val="single" w:sz="4" w:space="0" w:color="auto"/>
              <w:right w:val="single" w:sz="4" w:space="0" w:color="auto"/>
            </w:tcBorders>
            <w:shd w:val="clear" w:color="auto" w:fill="C6EFCE"/>
            <w:noWrap/>
          </w:tcPr>
          <w:p w14:paraId="460710B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18190C4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В.10.I1a: Развитие на цифровите технологии на равнището на системния оператор (безвъзмездни средства)</w:t>
            </w:r>
          </w:p>
        </w:tc>
        <w:tc>
          <w:tcPr>
            <w:tcW w:w="1276" w:type="dxa"/>
            <w:tcBorders>
              <w:top w:val="nil"/>
              <w:left w:val="nil"/>
              <w:bottom w:val="single" w:sz="4" w:space="0" w:color="auto"/>
              <w:right w:val="single" w:sz="4" w:space="0" w:color="auto"/>
            </w:tcBorders>
            <w:shd w:val="clear" w:color="auto" w:fill="C6EFCE"/>
            <w:noWrap/>
          </w:tcPr>
          <w:p w14:paraId="13F8EACB"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914" w:type="dxa"/>
            <w:tcBorders>
              <w:top w:val="nil"/>
              <w:left w:val="nil"/>
              <w:bottom w:val="single" w:sz="4" w:space="0" w:color="auto"/>
              <w:right w:val="single" w:sz="4" w:space="0" w:color="auto"/>
            </w:tcBorders>
            <w:shd w:val="clear" w:color="auto" w:fill="C6EFCE"/>
            <w:noWrap/>
          </w:tcPr>
          <w:p w14:paraId="4F542FE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Цифрови разработки, свързани с мрежовата инфраструктура и експлоатацията на електроенергийната мрежа на равнището на системния оператор</w:t>
            </w:r>
          </w:p>
        </w:tc>
        <w:tc>
          <w:tcPr>
            <w:tcW w:w="1529" w:type="dxa"/>
            <w:tcBorders>
              <w:top w:val="nil"/>
              <w:left w:val="nil"/>
              <w:bottom w:val="single" w:sz="4" w:space="0" w:color="auto"/>
              <w:right w:val="single" w:sz="4" w:space="0" w:color="auto"/>
            </w:tcBorders>
            <w:shd w:val="clear" w:color="auto" w:fill="C6EFCE"/>
            <w:noWrap/>
          </w:tcPr>
          <w:p w14:paraId="6BBEC007" w14:textId="77777777" w:rsidR="00CE3BAD" w:rsidRPr="00782BF9" w:rsidRDefault="00CE3BAD">
            <w:pPr>
              <w:spacing w:before="120" w:after="120" w:line="240" w:lineRule="auto"/>
              <w:jc w:val="center"/>
              <w:rPr>
                <w:rFonts w:eastAsia="Times New Roman"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0FD9CA3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1050" w:type="dxa"/>
            <w:tcBorders>
              <w:top w:val="nil"/>
              <w:left w:val="nil"/>
              <w:bottom w:val="single" w:sz="4" w:space="0" w:color="auto"/>
              <w:right w:val="single" w:sz="4" w:space="0" w:color="auto"/>
            </w:tcBorders>
            <w:shd w:val="clear" w:color="auto" w:fill="C6EFCE"/>
            <w:noWrap/>
          </w:tcPr>
          <w:p w14:paraId="312ED18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031" w:type="dxa"/>
            <w:tcBorders>
              <w:top w:val="nil"/>
              <w:left w:val="nil"/>
              <w:bottom w:val="single" w:sz="4" w:space="0" w:color="auto"/>
              <w:right w:val="single" w:sz="4" w:space="0" w:color="auto"/>
            </w:tcBorders>
            <w:shd w:val="clear" w:color="auto" w:fill="C6EFCE"/>
            <w:noWrap/>
          </w:tcPr>
          <w:p w14:paraId="6C29216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w:t>
            </w:r>
          </w:p>
        </w:tc>
        <w:tc>
          <w:tcPr>
            <w:tcW w:w="818" w:type="dxa"/>
            <w:tcBorders>
              <w:top w:val="nil"/>
              <w:left w:val="nil"/>
              <w:bottom w:val="single" w:sz="4" w:space="0" w:color="auto"/>
              <w:right w:val="single" w:sz="4" w:space="0" w:color="auto"/>
            </w:tcBorders>
            <w:shd w:val="clear" w:color="auto" w:fill="C6EFCE"/>
            <w:noWrap/>
          </w:tcPr>
          <w:p w14:paraId="00F4365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34" w:type="dxa"/>
            <w:tcBorders>
              <w:top w:val="nil"/>
              <w:left w:val="nil"/>
              <w:bottom w:val="single" w:sz="4" w:space="0" w:color="auto"/>
              <w:right w:val="single" w:sz="4" w:space="0" w:color="auto"/>
            </w:tcBorders>
            <w:shd w:val="clear" w:color="auto" w:fill="C6EFCE"/>
            <w:noWrap/>
          </w:tcPr>
          <w:p w14:paraId="33D5055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3478" w:type="dxa"/>
            <w:tcBorders>
              <w:top w:val="nil"/>
              <w:left w:val="nil"/>
              <w:bottom w:val="single" w:sz="4" w:space="0" w:color="auto"/>
              <w:right w:val="single" w:sz="4" w:space="0" w:color="auto"/>
            </w:tcBorders>
            <w:shd w:val="clear" w:color="auto" w:fill="C6EFCE"/>
            <w:noWrap/>
          </w:tcPr>
          <w:p w14:paraId="0E3B9A41"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Брой на разработките в областта на цифровите технологии, извършени от системните оператори и/или техните ИТ дружества. Цифровото развитие включва разработването и инсталирането на цифрова инфраструктура, като например: цифрова система за обслужване на клиенти, основна енергийна ИТ инфраструктура, информационни системи, поддържащи енергийни услуги, и системи за управление от страна на потребителите.</w:t>
            </w:r>
          </w:p>
        </w:tc>
      </w:tr>
      <w:tr w:rsidR="00CE3BAD" w:rsidRPr="00782BF9" w14:paraId="0F7E9FCE"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hideMark/>
          </w:tcPr>
          <w:p w14:paraId="5B823F3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281</w:t>
            </w:r>
          </w:p>
        </w:tc>
        <w:tc>
          <w:tcPr>
            <w:tcW w:w="1712" w:type="dxa"/>
            <w:tcBorders>
              <w:top w:val="nil"/>
              <w:left w:val="nil"/>
              <w:bottom w:val="single" w:sz="4" w:space="0" w:color="auto"/>
              <w:right w:val="single" w:sz="4" w:space="0" w:color="auto"/>
            </w:tcBorders>
            <w:shd w:val="clear" w:color="auto" w:fill="C6EFCE"/>
            <w:noWrap/>
            <w:hideMark/>
          </w:tcPr>
          <w:p w14:paraId="2EBF2DE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К10.И1: Развитие и цифровизация на електроенергийната мрежа </w:t>
            </w:r>
          </w:p>
          <w:p w14:paraId="7751CDA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В.10.I1a: Развитие на цифровите технологии на равнището на системния оператор (безвъзмездни средства)</w:t>
            </w:r>
          </w:p>
        </w:tc>
        <w:tc>
          <w:tcPr>
            <w:tcW w:w="1276" w:type="dxa"/>
            <w:tcBorders>
              <w:top w:val="nil"/>
              <w:left w:val="nil"/>
              <w:bottom w:val="single" w:sz="4" w:space="0" w:color="auto"/>
              <w:right w:val="single" w:sz="4" w:space="0" w:color="auto"/>
            </w:tcBorders>
            <w:shd w:val="clear" w:color="auto" w:fill="C6EFCE"/>
            <w:noWrap/>
            <w:hideMark/>
          </w:tcPr>
          <w:p w14:paraId="184ADFAD"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914" w:type="dxa"/>
            <w:tcBorders>
              <w:top w:val="nil"/>
              <w:left w:val="nil"/>
              <w:bottom w:val="single" w:sz="4" w:space="0" w:color="auto"/>
              <w:right w:val="single" w:sz="4" w:space="0" w:color="auto"/>
            </w:tcBorders>
            <w:shd w:val="clear" w:color="auto" w:fill="C6EFCE"/>
            <w:noWrap/>
            <w:hideMark/>
          </w:tcPr>
          <w:p w14:paraId="0B73B443" w14:textId="15E1C30B" w:rsidR="00CE3BAD" w:rsidRPr="00782BF9" w:rsidRDefault="006B5475">
            <w:pPr>
              <w:pStyle w:val="P68B1DB1-Normal24"/>
              <w:spacing w:before="120" w:after="120" w:line="240" w:lineRule="auto"/>
              <w:jc w:val="center"/>
              <w:rPr>
                <w:rFonts w:eastAsia="Calibri"/>
                <w:noProof/>
                <w:lang w:val="bg-BG"/>
              </w:rPr>
            </w:pPr>
            <w:r w:rsidRPr="00782BF9">
              <w:rPr>
                <w:noProof/>
                <w:lang w:val="bg-BG"/>
              </w:rPr>
              <w:t>Цифрови разработки, свързани с мрежовата инфраструктура и експлоатацията на електроенергийната мрежа на равнището на системния оператор</w:t>
            </w:r>
          </w:p>
          <w:p w14:paraId="70D71B98" w14:textId="77777777" w:rsidR="00CE3BAD" w:rsidRPr="00782BF9" w:rsidRDefault="00CE3BAD">
            <w:pPr>
              <w:spacing w:before="120" w:after="120" w:line="240" w:lineRule="auto"/>
              <w:jc w:val="center"/>
              <w:rPr>
                <w:rFonts w:eastAsia="Calibri" w:cstheme="minorHAnsi"/>
                <w:noProof/>
                <w:sz w:val="18"/>
                <w:lang w:val="bg-BG"/>
              </w:rPr>
            </w:pPr>
          </w:p>
        </w:tc>
        <w:tc>
          <w:tcPr>
            <w:tcW w:w="1529" w:type="dxa"/>
            <w:tcBorders>
              <w:top w:val="nil"/>
              <w:left w:val="nil"/>
              <w:bottom w:val="single" w:sz="4" w:space="0" w:color="auto"/>
              <w:right w:val="single" w:sz="4" w:space="0" w:color="auto"/>
            </w:tcBorders>
            <w:shd w:val="clear" w:color="auto" w:fill="C6EFCE"/>
            <w:noWrap/>
            <w:hideMark/>
          </w:tcPr>
          <w:p w14:paraId="074A8B56" w14:textId="77777777" w:rsidR="00CE3BAD" w:rsidRPr="00782BF9" w:rsidRDefault="00CE3BAD">
            <w:pPr>
              <w:spacing w:before="120" w:after="120" w:line="240" w:lineRule="auto"/>
              <w:jc w:val="center"/>
              <w:rPr>
                <w:rFonts w:eastAsia="Calibri"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hideMark/>
          </w:tcPr>
          <w:p w14:paraId="51D0121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1050" w:type="dxa"/>
            <w:tcBorders>
              <w:top w:val="nil"/>
              <w:left w:val="nil"/>
              <w:bottom w:val="single" w:sz="4" w:space="0" w:color="auto"/>
              <w:right w:val="single" w:sz="4" w:space="0" w:color="auto"/>
            </w:tcBorders>
            <w:shd w:val="clear" w:color="auto" w:fill="C6EFCE"/>
            <w:noWrap/>
            <w:hideMark/>
          </w:tcPr>
          <w:p w14:paraId="36540BB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w:t>
            </w:r>
          </w:p>
        </w:tc>
        <w:tc>
          <w:tcPr>
            <w:tcW w:w="1031" w:type="dxa"/>
            <w:tcBorders>
              <w:top w:val="nil"/>
              <w:left w:val="nil"/>
              <w:bottom w:val="single" w:sz="4" w:space="0" w:color="auto"/>
              <w:right w:val="single" w:sz="4" w:space="0" w:color="auto"/>
            </w:tcBorders>
            <w:shd w:val="clear" w:color="auto" w:fill="C6EFCE"/>
            <w:noWrap/>
            <w:hideMark/>
          </w:tcPr>
          <w:p w14:paraId="5152979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17</w:t>
            </w:r>
          </w:p>
        </w:tc>
        <w:tc>
          <w:tcPr>
            <w:tcW w:w="818" w:type="dxa"/>
            <w:tcBorders>
              <w:top w:val="nil"/>
              <w:left w:val="nil"/>
              <w:bottom w:val="single" w:sz="4" w:space="0" w:color="auto"/>
              <w:right w:val="single" w:sz="4" w:space="0" w:color="auto"/>
            </w:tcBorders>
            <w:shd w:val="clear" w:color="auto" w:fill="C6EFCE"/>
            <w:noWrap/>
            <w:hideMark/>
          </w:tcPr>
          <w:p w14:paraId="688E5E7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34" w:type="dxa"/>
            <w:tcBorders>
              <w:top w:val="nil"/>
              <w:left w:val="nil"/>
              <w:bottom w:val="single" w:sz="4" w:space="0" w:color="auto"/>
              <w:right w:val="single" w:sz="4" w:space="0" w:color="auto"/>
            </w:tcBorders>
            <w:shd w:val="clear" w:color="auto" w:fill="C6EFCE"/>
            <w:noWrap/>
            <w:hideMark/>
          </w:tcPr>
          <w:p w14:paraId="38CAB03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3478" w:type="dxa"/>
            <w:tcBorders>
              <w:top w:val="nil"/>
              <w:left w:val="nil"/>
              <w:bottom w:val="single" w:sz="4" w:space="0" w:color="auto"/>
              <w:right w:val="single" w:sz="4" w:space="0" w:color="auto"/>
            </w:tcBorders>
            <w:shd w:val="clear" w:color="auto" w:fill="C6EFCE"/>
            <w:noWrap/>
            <w:hideMark/>
          </w:tcPr>
          <w:p w14:paraId="52D6A4D7" w14:textId="77777777" w:rsidR="00CE3BAD" w:rsidRPr="00782BF9" w:rsidRDefault="006B5475">
            <w:pPr>
              <w:pStyle w:val="P68B1DB1-Normal24"/>
              <w:spacing w:before="120" w:after="120" w:line="240" w:lineRule="auto"/>
              <w:jc w:val="both"/>
              <w:rPr>
                <w:rFonts w:eastAsia="Calibri"/>
                <w:noProof/>
                <w:highlight w:val="yellow"/>
                <w:lang w:val="bg-BG"/>
              </w:rPr>
            </w:pPr>
            <w:r w:rsidRPr="00782BF9">
              <w:rPr>
                <w:noProof/>
                <w:lang w:val="bg-BG"/>
              </w:rPr>
              <w:t>Брой на разработките в областта на цифровите технологии, извършени от системните оператори и/или техните ИТ дружества. Цифровото развитие включва разработването и инсталирането на цифрова инфраструктура една, няколко, като например: цифрова система за обслужване на клиенти, основна енергийна ИТ инфраструктура, информационни системи, поддържащи енергийни услуги, и системи за управление от страна на потребителите.</w:t>
            </w:r>
          </w:p>
        </w:tc>
      </w:tr>
      <w:tr w:rsidR="00CE3BAD" w:rsidRPr="00782BF9" w14:paraId="2EEAC155"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07C5513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282</w:t>
            </w:r>
          </w:p>
        </w:tc>
        <w:tc>
          <w:tcPr>
            <w:tcW w:w="1712" w:type="dxa"/>
            <w:tcBorders>
              <w:top w:val="nil"/>
              <w:left w:val="nil"/>
              <w:bottom w:val="single" w:sz="4" w:space="0" w:color="auto"/>
              <w:right w:val="single" w:sz="4" w:space="0" w:color="auto"/>
            </w:tcBorders>
            <w:shd w:val="clear" w:color="auto" w:fill="C6EFCE"/>
            <w:noWrap/>
          </w:tcPr>
          <w:p w14:paraId="37C896D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254FD8B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C10.I1b: Подобряване на точността на прогнозата за времето</w:t>
            </w:r>
          </w:p>
          <w:p w14:paraId="03392B0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(безвъзмездни средства)</w:t>
            </w:r>
          </w:p>
        </w:tc>
        <w:tc>
          <w:tcPr>
            <w:tcW w:w="1276" w:type="dxa"/>
            <w:tcBorders>
              <w:top w:val="nil"/>
              <w:left w:val="nil"/>
              <w:bottom w:val="single" w:sz="4" w:space="0" w:color="auto"/>
              <w:right w:val="single" w:sz="4" w:space="0" w:color="auto"/>
            </w:tcBorders>
            <w:shd w:val="clear" w:color="auto" w:fill="C6EFCE"/>
            <w:noWrap/>
          </w:tcPr>
          <w:p w14:paraId="4333DFB7"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914" w:type="dxa"/>
            <w:tcBorders>
              <w:top w:val="nil"/>
              <w:left w:val="nil"/>
              <w:bottom w:val="single" w:sz="4" w:space="0" w:color="auto"/>
              <w:right w:val="single" w:sz="4" w:space="0" w:color="auto"/>
            </w:tcBorders>
            <w:shd w:val="clear" w:color="auto" w:fill="C6EFCE"/>
            <w:noWrap/>
          </w:tcPr>
          <w:p w14:paraId="381A503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Отправяне на покана за приоритетен (и) проект (и) за инсталиране на метеорологични станции с цел подобряване на точността на метеорологичните прогнози </w:t>
            </w:r>
          </w:p>
        </w:tc>
        <w:tc>
          <w:tcPr>
            <w:tcW w:w="1529" w:type="dxa"/>
            <w:tcBorders>
              <w:top w:val="nil"/>
              <w:left w:val="nil"/>
              <w:bottom w:val="single" w:sz="4" w:space="0" w:color="auto"/>
              <w:right w:val="single" w:sz="4" w:space="0" w:color="auto"/>
            </w:tcBorders>
            <w:shd w:val="clear" w:color="auto" w:fill="C6EFCE"/>
            <w:noWrap/>
          </w:tcPr>
          <w:p w14:paraId="64842B9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поканата за приоритетен (и) проект (и) на официалния уебсайт на правителството за покани за представяне на предложения</w:t>
            </w:r>
          </w:p>
          <w:p w14:paraId="3D882E7F" w14:textId="77777777" w:rsidR="00CE3BAD" w:rsidRPr="00782BF9" w:rsidRDefault="00CE3BAD">
            <w:pPr>
              <w:spacing w:before="120" w:after="120" w:line="240" w:lineRule="auto"/>
              <w:jc w:val="center"/>
              <w:rPr>
                <w:rFonts w:eastAsia="Calibri"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2C6C894B"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5ADBBCD7"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3AE85F98"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7FA81BB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34" w:type="dxa"/>
            <w:tcBorders>
              <w:top w:val="nil"/>
              <w:left w:val="nil"/>
              <w:bottom w:val="single" w:sz="4" w:space="0" w:color="auto"/>
              <w:right w:val="single" w:sz="4" w:space="0" w:color="auto"/>
            </w:tcBorders>
            <w:shd w:val="clear" w:color="auto" w:fill="C6EFCE"/>
            <w:noWrap/>
          </w:tcPr>
          <w:p w14:paraId="6F3D137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tcPr>
          <w:p w14:paraId="152105DE"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Стартира се покана за приоритетен (и) проект (и) за проектиране, закупуване и инсталиране на подобрен инструмент за метеорологично прогнозиране. В поканата за представяне на предложения се изисква инструментът за метеорологично прогнозиране да се използва за подобряване на точността на оценките за производството на енергия от възобновяеми източници, зависима от метеорологичните условия (като слънчева и вятърна енергия). В поканата се описват основните изисквания за метеорологичните станции, които ще бъдат инсталирани. Тя изисква също така данните и прогнозите, генерирани от метеорологичните станции, да бъдат публично достъпни.</w:t>
            </w:r>
          </w:p>
        </w:tc>
      </w:tr>
      <w:tr w:rsidR="00CE3BAD" w:rsidRPr="00782BF9" w14:paraId="768018F5"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7F07AFB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283</w:t>
            </w:r>
          </w:p>
        </w:tc>
        <w:tc>
          <w:tcPr>
            <w:tcW w:w="1712" w:type="dxa"/>
            <w:tcBorders>
              <w:top w:val="nil"/>
              <w:left w:val="nil"/>
              <w:bottom w:val="single" w:sz="4" w:space="0" w:color="auto"/>
              <w:right w:val="single" w:sz="4" w:space="0" w:color="auto"/>
            </w:tcBorders>
            <w:shd w:val="clear" w:color="auto" w:fill="C6EFCE"/>
            <w:noWrap/>
          </w:tcPr>
          <w:p w14:paraId="64EE125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К10.И1: Развитие и цифровизация на електроенергийната мрежа </w:t>
            </w:r>
          </w:p>
          <w:p w14:paraId="1C43943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C10.I1b: Подобряване на точността на прогнозата за времето (безвъзмездни средства)</w:t>
            </w:r>
          </w:p>
        </w:tc>
        <w:tc>
          <w:tcPr>
            <w:tcW w:w="1276" w:type="dxa"/>
            <w:tcBorders>
              <w:top w:val="nil"/>
              <w:left w:val="nil"/>
              <w:bottom w:val="single" w:sz="4" w:space="0" w:color="auto"/>
              <w:right w:val="single" w:sz="4" w:space="0" w:color="auto"/>
            </w:tcBorders>
            <w:shd w:val="clear" w:color="auto" w:fill="C6EFCE"/>
            <w:noWrap/>
          </w:tcPr>
          <w:p w14:paraId="6799C351"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914" w:type="dxa"/>
            <w:tcBorders>
              <w:top w:val="nil"/>
              <w:left w:val="nil"/>
              <w:bottom w:val="single" w:sz="4" w:space="0" w:color="auto"/>
              <w:right w:val="single" w:sz="4" w:space="0" w:color="auto"/>
            </w:tcBorders>
            <w:shd w:val="clear" w:color="auto" w:fill="C6EFCE"/>
            <w:noWrap/>
          </w:tcPr>
          <w:p w14:paraId="10E6E34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споразумението (ята) за отпускане на безвъзмездни средства относно подкрепата за инсталиране на метеорологични станции с цел подобряване на точността на метеорологичните прогнози</w:t>
            </w:r>
          </w:p>
        </w:tc>
        <w:tc>
          <w:tcPr>
            <w:tcW w:w="1529" w:type="dxa"/>
            <w:tcBorders>
              <w:top w:val="nil"/>
              <w:left w:val="nil"/>
              <w:bottom w:val="single" w:sz="4" w:space="0" w:color="auto"/>
              <w:right w:val="single" w:sz="4" w:space="0" w:color="auto"/>
            </w:tcBorders>
            <w:shd w:val="clear" w:color="auto" w:fill="C6EFCE"/>
            <w:noWrap/>
          </w:tcPr>
          <w:p w14:paraId="04A8EC8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споразумението (ята) за отпускане на безвъзмездни средства</w:t>
            </w:r>
          </w:p>
        </w:tc>
        <w:tc>
          <w:tcPr>
            <w:tcW w:w="1125" w:type="dxa"/>
            <w:tcBorders>
              <w:top w:val="nil"/>
              <w:left w:val="nil"/>
              <w:bottom w:val="single" w:sz="4" w:space="0" w:color="auto"/>
              <w:right w:val="single" w:sz="4" w:space="0" w:color="auto"/>
            </w:tcBorders>
            <w:shd w:val="clear" w:color="auto" w:fill="C6EFCE"/>
            <w:noWrap/>
          </w:tcPr>
          <w:p w14:paraId="5F862465"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382F297B"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04573804"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210CAD4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34" w:type="dxa"/>
            <w:tcBorders>
              <w:top w:val="nil"/>
              <w:left w:val="nil"/>
              <w:bottom w:val="single" w:sz="4" w:space="0" w:color="auto"/>
              <w:right w:val="single" w:sz="4" w:space="0" w:color="auto"/>
            </w:tcBorders>
            <w:shd w:val="clear" w:color="auto" w:fill="C6EFCE"/>
            <w:noWrap/>
          </w:tcPr>
          <w:p w14:paraId="7E5F21C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tcPr>
          <w:p w14:paraId="229FAB9B" w14:textId="25EEB3EA" w:rsidR="00CE3BAD" w:rsidRPr="00782BF9" w:rsidRDefault="006B5475">
            <w:pPr>
              <w:pStyle w:val="P68B1DB1-Normal24"/>
              <w:spacing w:before="120" w:after="120" w:line="240" w:lineRule="auto"/>
              <w:jc w:val="both"/>
              <w:rPr>
                <w:rFonts w:eastAsia="Calibri"/>
                <w:noProof/>
                <w:lang w:val="bg-BG"/>
              </w:rPr>
            </w:pPr>
            <w:r w:rsidRPr="00782BF9">
              <w:rPr>
                <w:noProof/>
                <w:lang w:val="bg-BG"/>
              </w:rPr>
              <w:t>Споразуменията за отпускане на безвъзмездни средства се подписват и влизат в сила за проекта (ите), избран (и) в рамките на поканата, посочена в етап 282.</w:t>
            </w:r>
          </w:p>
          <w:p w14:paraId="62872AC1" w14:textId="77777777" w:rsidR="00CE3BAD" w:rsidRPr="00782BF9" w:rsidRDefault="00CE3BAD">
            <w:pPr>
              <w:spacing w:before="120" w:after="120" w:line="240" w:lineRule="auto"/>
              <w:jc w:val="both"/>
              <w:rPr>
                <w:rFonts w:eastAsia="Calibri" w:cstheme="minorHAnsi"/>
                <w:noProof/>
                <w:sz w:val="18"/>
                <w:lang w:val="bg-BG"/>
              </w:rPr>
            </w:pPr>
          </w:p>
        </w:tc>
      </w:tr>
      <w:tr w:rsidR="00CE3BAD" w:rsidRPr="00782BF9" w14:paraId="792E140F" w14:textId="77777777">
        <w:trPr>
          <w:trHeight w:val="309"/>
          <w:jc w:val="center"/>
        </w:trPr>
        <w:tc>
          <w:tcPr>
            <w:tcW w:w="948" w:type="dxa"/>
            <w:tcBorders>
              <w:top w:val="single" w:sz="4" w:space="0" w:color="auto"/>
              <w:left w:val="single" w:sz="4" w:space="0" w:color="auto"/>
              <w:bottom w:val="single" w:sz="4" w:space="0" w:color="auto"/>
              <w:right w:val="single" w:sz="4" w:space="0" w:color="auto"/>
            </w:tcBorders>
            <w:shd w:val="clear" w:color="auto" w:fill="C6EFCE"/>
            <w:noWrap/>
          </w:tcPr>
          <w:p w14:paraId="2B4A6FF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284</w:t>
            </w:r>
          </w:p>
        </w:tc>
        <w:tc>
          <w:tcPr>
            <w:tcW w:w="1712" w:type="dxa"/>
            <w:tcBorders>
              <w:top w:val="nil"/>
              <w:left w:val="single" w:sz="4" w:space="0" w:color="auto"/>
              <w:bottom w:val="single" w:sz="4" w:space="0" w:color="auto"/>
              <w:right w:val="single" w:sz="4" w:space="0" w:color="auto"/>
            </w:tcBorders>
            <w:shd w:val="clear" w:color="auto" w:fill="C6EFCE"/>
            <w:noWrap/>
          </w:tcPr>
          <w:p w14:paraId="61B5D4B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17AE014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C10.I1b: Подобряване на точността на прогнозата за времето (безвъзмездни средства)</w:t>
            </w:r>
          </w:p>
        </w:tc>
        <w:tc>
          <w:tcPr>
            <w:tcW w:w="1276" w:type="dxa"/>
            <w:tcBorders>
              <w:top w:val="nil"/>
              <w:left w:val="nil"/>
              <w:bottom w:val="single" w:sz="4" w:space="0" w:color="auto"/>
              <w:right w:val="single" w:sz="4" w:space="0" w:color="auto"/>
            </w:tcBorders>
            <w:shd w:val="clear" w:color="auto" w:fill="C6EFCE"/>
            <w:noWrap/>
          </w:tcPr>
          <w:p w14:paraId="09735B8F"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 xml:space="preserve">Целеви </w:t>
            </w:r>
          </w:p>
        </w:tc>
        <w:tc>
          <w:tcPr>
            <w:tcW w:w="1914" w:type="dxa"/>
            <w:tcBorders>
              <w:top w:val="nil"/>
              <w:left w:val="nil"/>
              <w:bottom w:val="single" w:sz="4" w:space="0" w:color="auto"/>
              <w:right w:val="single" w:sz="4" w:space="0" w:color="auto"/>
            </w:tcBorders>
            <w:shd w:val="clear" w:color="auto" w:fill="C6EFCE"/>
            <w:noWrap/>
          </w:tcPr>
          <w:p w14:paraId="298C25D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Метеорологични станции в експлоатация  </w:t>
            </w:r>
          </w:p>
        </w:tc>
        <w:tc>
          <w:tcPr>
            <w:tcW w:w="1529" w:type="dxa"/>
            <w:tcBorders>
              <w:top w:val="nil"/>
              <w:left w:val="nil"/>
              <w:bottom w:val="single" w:sz="4" w:space="0" w:color="auto"/>
              <w:right w:val="single" w:sz="4" w:space="0" w:color="auto"/>
            </w:tcBorders>
            <w:shd w:val="clear" w:color="auto" w:fill="C6EFCE"/>
            <w:noWrap/>
          </w:tcPr>
          <w:p w14:paraId="00954982" w14:textId="77777777" w:rsidR="00CE3BAD" w:rsidRPr="00782BF9" w:rsidRDefault="00CE3BAD">
            <w:pPr>
              <w:spacing w:before="120" w:after="120" w:line="240" w:lineRule="auto"/>
              <w:jc w:val="center"/>
              <w:rPr>
                <w:rFonts w:eastAsia="Calibri"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7A31B8D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1050" w:type="dxa"/>
            <w:tcBorders>
              <w:top w:val="nil"/>
              <w:left w:val="nil"/>
              <w:bottom w:val="single" w:sz="4" w:space="0" w:color="auto"/>
              <w:right w:val="single" w:sz="4" w:space="0" w:color="auto"/>
            </w:tcBorders>
            <w:shd w:val="clear" w:color="auto" w:fill="C6EFCE"/>
            <w:noWrap/>
          </w:tcPr>
          <w:p w14:paraId="608E292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031" w:type="dxa"/>
            <w:tcBorders>
              <w:top w:val="nil"/>
              <w:left w:val="nil"/>
              <w:bottom w:val="single" w:sz="4" w:space="0" w:color="auto"/>
              <w:right w:val="single" w:sz="4" w:space="0" w:color="auto"/>
            </w:tcBorders>
            <w:shd w:val="clear" w:color="auto" w:fill="C6EFCE"/>
            <w:noWrap/>
          </w:tcPr>
          <w:p w14:paraId="48CD1F4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7</w:t>
            </w:r>
          </w:p>
        </w:tc>
        <w:tc>
          <w:tcPr>
            <w:tcW w:w="818" w:type="dxa"/>
            <w:tcBorders>
              <w:top w:val="nil"/>
              <w:left w:val="nil"/>
              <w:bottom w:val="single" w:sz="4" w:space="0" w:color="auto"/>
              <w:right w:val="single" w:sz="4" w:space="0" w:color="auto"/>
            </w:tcBorders>
            <w:shd w:val="clear" w:color="auto" w:fill="C6EFCE"/>
            <w:noWrap/>
          </w:tcPr>
          <w:p w14:paraId="0035881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34" w:type="dxa"/>
            <w:tcBorders>
              <w:top w:val="nil"/>
              <w:left w:val="nil"/>
              <w:bottom w:val="single" w:sz="4" w:space="0" w:color="auto"/>
              <w:right w:val="single" w:sz="4" w:space="0" w:color="auto"/>
            </w:tcBorders>
            <w:shd w:val="clear" w:color="auto" w:fill="C6EFCE"/>
            <w:noWrap/>
          </w:tcPr>
          <w:p w14:paraId="20B19A2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3478" w:type="dxa"/>
            <w:tcBorders>
              <w:top w:val="nil"/>
              <w:left w:val="nil"/>
              <w:bottom w:val="single" w:sz="4" w:space="0" w:color="auto"/>
              <w:right w:val="single" w:sz="4" w:space="0" w:color="auto"/>
            </w:tcBorders>
            <w:shd w:val="clear" w:color="auto" w:fill="C6EFCE"/>
            <w:noWrap/>
          </w:tcPr>
          <w:p w14:paraId="58741A9E" w14:textId="77777777" w:rsidR="00CE3BAD" w:rsidRPr="00782BF9" w:rsidRDefault="006B5475">
            <w:pPr>
              <w:pStyle w:val="P68B1DB1-Normal24"/>
              <w:spacing w:before="120" w:after="120" w:line="240" w:lineRule="auto"/>
              <w:jc w:val="both"/>
              <w:rPr>
                <w:rFonts w:eastAsia="Times New Roman"/>
                <w:noProof/>
                <w:highlight w:val="yellow"/>
                <w:lang w:val="bg-BG"/>
              </w:rPr>
            </w:pPr>
            <w:r w:rsidRPr="00782BF9">
              <w:rPr>
                <w:noProof/>
                <w:lang w:val="bg-BG"/>
              </w:rPr>
              <w:t>Въведени в експлоатация метеорологични станции за подобряване на точността на метеорологичните прогнози. Данните и прогнозите, генерирани от метеорологичните станции, се използват за оценка на зависещото от метеорологичните условия производство на енергия от възобновяеми източници (слънчева и вятърна).</w:t>
            </w:r>
          </w:p>
        </w:tc>
      </w:tr>
      <w:tr w:rsidR="00CE3BAD" w:rsidRPr="00782BF9" w14:paraId="0E9C49C8"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77C47C8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285</w:t>
            </w:r>
          </w:p>
        </w:tc>
        <w:tc>
          <w:tcPr>
            <w:tcW w:w="1712" w:type="dxa"/>
            <w:tcBorders>
              <w:top w:val="nil"/>
              <w:left w:val="nil"/>
              <w:bottom w:val="single" w:sz="4" w:space="0" w:color="auto"/>
              <w:right w:val="single" w:sz="4" w:space="0" w:color="auto"/>
            </w:tcBorders>
            <w:shd w:val="clear" w:color="auto" w:fill="C6EFCE"/>
            <w:noWrap/>
          </w:tcPr>
          <w:p w14:paraId="47EA5BA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04C9EA7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C10.I1b: Подобряване на точността на прогнозата за времето</w:t>
            </w:r>
          </w:p>
        </w:tc>
        <w:tc>
          <w:tcPr>
            <w:tcW w:w="1276" w:type="dxa"/>
            <w:tcBorders>
              <w:top w:val="nil"/>
              <w:left w:val="nil"/>
              <w:bottom w:val="single" w:sz="4" w:space="0" w:color="auto"/>
              <w:right w:val="single" w:sz="4" w:space="0" w:color="auto"/>
            </w:tcBorders>
            <w:shd w:val="clear" w:color="auto" w:fill="C6EFCE"/>
            <w:noWrap/>
          </w:tcPr>
          <w:p w14:paraId="51346278"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914" w:type="dxa"/>
            <w:tcBorders>
              <w:top w:val="nil"/>
              <w:left w:val="nil"/>
              <w:bottom w:val="single" w:sz="4" w:space="0" w:color="auto"/>
              <w:right w:val="single" w:sz="4" w:space="0" w:color="auto"/>
            </w:tcBorders>
            <w:shd w:val="clear" w:color="auto" w:fill="C6EFCE"/>
            <w:noWrap/>
          </w:tcPr>
          <w:p w14:paraId="61B278D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Метеорологични станции в експлоатация </w:t>
            </w:r>
          </w:p>
        </w:tc>
        <w:tc>
          <w:tcPr>
            <w:tcW w:w="1529" w:type="dxa"/>
            <w:tcBorders>
              <w:top w:val="nil"/>
              <w:left w:val="nil"/>
              <w:bottom w:val="single" w:sz="4" w:space="0" w:color="auto"/>
              <w:right w:val="single" w:sz="4" w:space="0" w:color="auto"/>
            </w:tcBorders>
            <w:shd w:val="clear" w:color="auto" w:fill="C6EFCE"/>
            <w:noWrap/>
          </w:tcPr>
          <w:p w14:paraId="16D3F6B4" w14:textId="77777777" w:rsidR="00CE3BAD" w:rsidRPr="00782BF9" w:rsidRDefault="00CE3BAD">
            <w:pPr>
              <w:spacing w:before="120" w:after="120" w:line="240" w:lineRule="auto"/>
              <w:jc w:val="center"/>
              <w:rPr>
                <w:rFonts w:eastAsia="Calibri"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5CAC1C4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1050" w:type="dxa"/>
            <w:tcBorders>
              <w:top w:val="nil"/>
              <w:left w:val="nil"/>
              <w:bottom w:val="single" w:sz="4" w:space="0" w:color="auto"/>
              <w:right w:val="single" w:sz="4" w:space="0" w:color="auto"/>
            </w:tcBorders>
            <w:shd w:val="clear" w:color="auto" w:fill="C6EFCE"/>
            <w:noWrap/>
          </w:tcPr>
          <w:p w14:paraId="51C49A5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7</w:t>
            </w:r>
          </w:p>
        </w:tc>
        <w:tc>
          <w:tcPr>
            <w:tcW w:w="1031" w:type="dxa"/>
            <w:tcBorders>
              <w:top w:val="nil"/>
              <w:left w:val="nil"/>
              <w:bottom w:val="single" w:sz="4" w:space="0" w:color="auto"/>
              <w:right w:val="single" w:sz="4" w:space="0" w:color="auto"/>
            </w:tcBorders>
            <w:shd w:val="clear" w:color="auto" w:fill="C6EFCE"/>
            <w:noWrap/>
          </w:tcPr>
          <w:p w14:paraId="7E60F1C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37</w:t>
            </w:r>
          </w:p>
        </w:tc>
        <w:tc>
          <w:tcPr>
            <w:tcW w:w="818" w:type="dxa"/>
            <w:tcBorders>
              <w:top w:val="nil"/>
              <w:left w:val="nil"/>
              <w:bottom w:val="single" w:sz="4" w:space="0" w:color="auto"/>
              <w:right w:val="single" w:sz="4" w:space="0" w:color="auto"/>
            </w:tcBorders>
            <w:shd w:val="clear" w:color="auto" w:fill="C6EFCE"/>
            <w:noWrap/>
          </w:tcPr>
          <w:p w14:paraId="682990F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34" w:type="dxa"/>
            <w:tcBorders>
              <w:top w:val="nil"/>
              <w:left w:val="nil"/>
              <w:bottom w:val="single" w:sz="4" w:space="0" w:color="auto"/>
              <w:right w:val="single" w:sz="4" w:space="0" w:color="auto"/>
            </w:tcBorders>
            <w:shd w:val="clear" w:color="auto" w:fill="C6EFCE"/>
            <w:noWrap/>
          </w:tcPr>
          <w:p w14:paraId="1DABAD8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3478" w:type="dxa"/>
            <w:tcBorders>
              <w:top w:val="nil"/>
              <w:left w:val="nil"/>
              <w:bottom w:val="single" w:sz="4" w:space="0" w:color="auto"/>
              <w:right w:val="single" w:sz="4" w:space="0" w:color="auto"/>
            </w:tcBorders>
            <w:shd w:val="clear" w:color="auto" w:fill="C6EFCE"/>
            <w:noWrap/>
          </w:tcPr>
          <w:p w14:paraId="5E2DAED2" w14:textId="77777777" w:rsidR="00CE3BAD" w:rsidRPr="00782BF9" w:rsidRDefault="006B5475">
            <w:pPr>
              <w:pStyle w:val="P68B1DB1-Normal24"/>
              <w:spacing w:before="120" w:after="120" w:line="240" w:lineRule="auto"/>
              <w:jc w:val="both"/>
              <w:rPr>
                <w:rFonts w:eastAsia="Times New Roman"/>
                <w:noProof/>
                <w:highlight w:val="yellow"/>
                <w:lang w:val="bg-BG"/>
              </w:rPr>
            </w:pPr>
            <w:r w:rsidRPr="00782BF9">
              <w:rPr>
                <w:noProof/>
                <w:lang w:val="bg-BG"/>
              </w:rPr>
              <w:t>Въведени в експлоатация метеорологични станции за подобряване на точността на метеорологичните прогнози. Данните и прогнозите, генерирани от метеорологичните станции, се използват за оценка на зависещото от метеорологичните условия производство на енергия от възобновяеми източници (слънчева и вятърна).</w:t>
            </w:r>
          </w:p>
          <w:p w14:paraId="19989BC3" w14:textId="77777777" w:rsidR="00CE3BAD" w:rsidRPr="00782BF9" w:rsidRDefault="00CE3BAD">
            <w:pPr>
              <w:spacing w:before="120" w:after="120" w:line="240" w:lineRule="auto"/>
              <w:jc w:val="both"/>
              <w:rPr>
                <w:rFonts w:eastAsia="Times New Roman" w:cstheme="minorHAnsi"/>
                <w:noProof/>
                <w:sz w:val="18"/>
                <w:lang w:val="bg-BG"/>
              </w:rPr>
            </w:pPr>
          </w:p>
        </w:tc>
      </w:tr>
      <w:tr w:rsidR="00CE3BAD" w:rsidRPr="00782BF9" w14:paraId="3E9F6170"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1CC72B2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286</w:t>
            </w:r>
          </w:p>
        </w:tc>
        <w:tc>
          <w:tcPr>
            <w:tcW w:w="1712" w:type="dxa"/>
            <w:tcBorders>
              <w:top w:val="nil"/>
              <w:left w:val="nil"/>
              <w:bottom w:val="single" w:sz="4" w:space="0" w:color="auto"/>
              <w:right w:val="single" w:sz="4" w:space="0" w:color="auto"/>
            </w:tcBorders>
            <w:shd w:val="clear" w:color="auto" w:fill="C6EFCE"/>
            <w:noWrap/>
          </w:tcPr>
          <w:p w14:paraId="1FCEC15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59DD235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C10.I1c: Разширена мярка:  </w:t>
            </w:r>
            <w:r w:rsidRPr="00782BF9">
              <w:rPr>
                <w:noProof/>
                <w:lang w:val="bg-BG"/>
              </w:rPr>
              <w:br/>
              <w:t>Развитие на класическа и интелигентна мрежа за оператора на преносна система и оператора на разпределителна система</w:t>
            </w:r>
          </w:p>
        </w:tc>
        <w:tc>
          <w:tcPr>
            <w:tcW w:w="1276" w:type="dxa"/>
            <w:tcBorders>
              <w:top w:val="nil"/>
              <w:left w:val="nil"/>
              <w:bottom w:val="single" w:sz="4" w:space="0" w:color="auto"/>
              <w:right w:val="single" w:sz="4" w:space="0" w:color="auto"/>
            </w:tcBorders>
            <w:shd w:val="clear" w:color="auto" w:fill="C6EFCE"/>
            <w:noWrap/>
          </w:tcPr>
          <w:p w14:paraId="13A0B10C"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914" w:type="dxa"/>
            <w:tcBorders>
              <w:top w:val="nil"/>
              <w:left w:val="nil"/>
              <w:bottom w:val="single" w:sz="4" w:space="0" w:color="auto"/>
              <w:right w:val="single" w:sz="4" w:space="0" w:color="auto"/>
            </w:tcBorders>
            <w:shd w:val="clear" w:color="auto" w:fill="C6EFCE"/>
            <w:noWrap/>
          </w:tcPr>
          <w:p w14:paraId="16B4CBF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всички споразумения за предоставяне на безвъзмездна финансова помощ, съдържащи условията за изпълнение и подпомагане на развитието на преносни и разпределителни мрежи</w:t>
            </w:r>
          </w:p>
        </w:tc>
        <w:tc>
          <w:tcPr>
            <w:tcW w:w="1529" w:type="dxa"/>
            <w:tcBorders>
              <w:top w:val="nil"/>
              <w:left w:val="nil"/>
              <w:bottom w:val="single" w:sz="4" w:space="0" w:color="auto"/>
              <w:right w:val="single" w:sz="4" w:space="0" w:color="auto"/>
            </w:tcBorders>
            <w:shd w:val="clear" w:color="auto" w:fill="C6EFCE"/>
            <w:noWrap/>
          </w:tcPr>
          <w:p w14:paraId="310080F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споразуменията за отпускане на безвъзмездни средства</w:t>
            </w:r>
          </w:p>
        </w:tc>
        <w:tc>
          <w:tcPr>
            <w:tcW w:w="1125" w:type="dxa"/>
            <w:tcBorders>
              <w:top w:val="nil"/>
              <w:left w:val="nil"/>
              <w:bottom w:val="single" w:sz="4" w:space="0" w:color="auto"/>
              <w:right w:val="single" w:sz="4" w:space="0" w:color="auto"/>
            </w:tcBorders>
            <w:shd w:val="clear" w:color="auto" w:fill="C6EFCE"/>
            <w:noWrap/>
          </w:tcPr>
          <w:p w14:paraId="7B606835"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3C8AA959"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2E8F8AFB"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53D39C3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34" w:type="dxa"/>
            <w:tcBorders>
              <w:top w:val="nil"/>
              <w:left w:val="nil"/>
              <w:bottom w:val="single" w:sz="4" w:space="0" w:color="auto"/>
              <w:right w:val="single" w:sz="4" w:space="0" w:color="auto"/>
            </w:tcBorders>
            <w:shd w:val="clear" w:color="auto" w:fill="C6EFCE"/>
            <w:noWrap/>
          </w:tcPr>
          <w:p w14:paraId="781DE74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tcPr>
          <w:p w14:paraId="2E3EE9E2"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Влизане в сила на всички споразумения за предоставяне на безвъзмездна финансова помощ относно условията за изпълнение и подпомагане на инвестицията между организациите, участващи в инвестицията (оторизирания оператор на преносна система и операторите на разпределителни системи) и управляващия орган. Тези споразумения за отпускане на безвъзмездни средства водят до създаване на възможност за интегриране на добавен капацитет от 1 197 MW електроенергия, произведена от възобновяеми източници, в електроенергийната мрежа чрез тази инвестиция, която е в допълнение към инвестициите, финансирани от заемите и като част от инвестицията C6.I1. В споразуменията за отпускане на безвъзмездни средства се описват планираните инвестиции, които включват свързаните с развитието елементи, като изграждане и модернизиране на мрежата с високо/средно/ниско напрежение; нови инсталации на подстанции; подмяна и разширяване на трансформатора на подстанцията; конструкции и подмяна на органи за управление; и развитието на цифровизацията.</w:t>
            </w:r>
          </w:p>
        </w:tc>
      </w:tr>
      <w:tr w:rsidR="00CE3BAD" w:rsidRPr="00782BF9" w14:paraId="3120986C"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0369D37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287</w:t>
            </w:r>
          </w:p>
        </w:tc>
        <w:tc>
          <w:tcPr>
            <w:tcW w:w="1712" w:type="dxa"/>
            <w:tcBorders>
              <w:top w:val="nil"/>
              <w:left w:val="nil"/>
              <w:bottom w:val="single" w:sz="4" w:space="0" w:color="auto"/>
              <w:right w:val="single" w:sz="4" w:space="0" w:color="auto"/>
            </w:tcBorders>
            <w:shd w:val="clear" w:color="auto" w:fill="C6EFCE"/>
            <w:noWrap/>
          </w:tcPr>
          <w:p w14:paraId="0DE2448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3C6C207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C10.I1c:  </w:t>
            </w:r>
            <w:r w:rsidRPr="00782BF9">
              <w:rPr>
                <w:noProof/>
                <w:lang w:val="bg-BG"/>
              </w:rPr>
              <w:br/>
              <w:t>Разширена мярка: Развитие на класическа и интелигентна мрежа за оператора на преносна система и оператора на разпределителна система</w:t>
            </w:r>
          </w:p>
          <w:p w14:paraId="1B26A098" w14:textId="77777777" w:rsidR="00CE3BAD" w:rsidRPr="00782BF9" w:rsidRDefault="00CE3BAD">
            <w:pPr>
              <w:spacing w:before="120" w:after="120" w:line="240" w:lineRule="auto"/>
              <w:jc w:val="center"/>
              <w:rPr>
                <w:rFonts w:eastAsia="Calibri" w:cstheme="minorHAnsi"/>
                <w:noProof/>
                <w:sz w:val="18"/>
                <w:lang w:val="bg-BG"/>
              </w:rPr>
            </w:pPr>
          </w:p>
        </w:tc>
        <w:tc>
          <w:tcPr>
            <w:tcW w:w="1276" w:type="dxa"/>
            <w:tcBorders>
              <w:top w:val="nil"/>
              <w:left w:val="nil"/>
              <w:bottom w:val="single" w:sz="4" w:space="0" w:color="auto"/>
              <w:right w:val="single" w:sz="4" w:space="0" w:color="auto"/>
            </w:tcBorders>
            <w:shd w:val="clear" w:color="auto" w:fill="C6EFCE"/>
            <w:noWrap/>
          </w:tcPr>
          <w:p w14:paraId="33EBAA81"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914" w:type="dxa"/>
            <w:tcBorders>
              <w:top w:val="nil"/>
              <w:left w:val="nil"/>
              <w:bottom w:val="single" w:sz="4" w:space="0" w:color="auto"/>
              <w:right w:val="single" w:sz="4" w:space="0" w:color="auto"/>
            </w:tcBorders>
            <w:shd w:val="clear" w:color="auto" w:fill="C6EFCE"/>
            <w:noWrap/>
          </w:tcPr>
          <w:p w14:paraId="72F8F50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c>
          <w:tcPr>
            <w:tcW w:w="1529" w:type="dxa"/>
            <w:tcBorders>
              <w:top w:val="nil"/>
              <w:left w:val="nil"/>
              <w:bottom w:val="single" w:sz="4" w:space="0" w:color="auto"/>
              <w:right w:val="single" w:sz="4" w:space="0" w:color="auto"/>
            </w:tcBorders>
            <w:shd w:val="clear" w:color="auto" w:fill="C6EFCE"/>
            <w:noWrap/>
          </w:tcPr>
          <w:p w14:paraId="53DDB390" w14:textId="77777777" w:rsidR="00CE3BAD" w:rsidRPr="00782BF9" w:rsidRDefault="00CE3BAD">
            <w:pPr>
              <w:spacing w:before="120" w:after="120" w:line="240" w:lineRule="auto"/>
              <w:jc w:val="center"/>
              <w:rPr>
                <w:rFonts w:eastAsia="Calibri"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7B3E6BD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MW</w:t>
            </w:r>
          </w:p>
        </w:tc>
        <w:tc>
          <w:tcPr>
            <w:tcW w:w="1050" w:type="dxa"/>
            <w:tcBorders>
              <w:top w:val="nil"/>
              <w:left w:val="nil"/>
              <w:bottom w:val="single" w:sz="4" w:space="0" w:color="auto"/>
              <w:right w:val="single" w:sz="4" w:space="0" w:color="auto"/>
            </w:tcBorders>
            <w:shd w:val="clear" w:color="auto" w:fill="C6EFCE"/>
            <w:noWrap/>
          </w:tcPr>
          <w:p w14:paraId="24BCBAE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031" w:type="dxa"/>
            <w:tcBorders>
              <w:top w:val="nil"/>
              <w:left w:val="nil"/>
              <w:bottom w:val="single" w:sz="4" w:space="0" w:color="auto"/>
              <w:right w:val="single" w:sz="4" w:space="0" w:color="auto"/>
            </w:tcBorders>
            <w:shd w:val="clear" w:color="auto" w:fill="C6EFCE"/>
            <w:noWrap/>
          </w:tcPr>
          <w:p w14:paraId="775A093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295</w:t>
            </w:r>
          </w:p>
        </w:tc>
        <w:tc>
          <w:tcPr>
            <w:tcW w:w="818" w:type="dxa"/>
            <w:tcBorders>
              <w:top w:val="nil"/>
              <w:left w:val="nil"/>
              <w:bottom w:val="single" w:sz="4" w:space="0" w:color="auto"/>
              <w:right w:val="single" w:sz="4" w:space="0" w:color="auto"/>
            </w:tcBorders>
            <w:shd w:val="clear" w:color="auto" w:fill="C6EFCE"/>
            <w:noWrap/>
          </w:tcPr>
          <w:p w14:paraId="541FE3F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34" w:type="dxa"/>
            <w:tcBorders>
              <w:top w:val="nil"/>
              <w:left w:val="nil"/>
              <w:bottom w:val="single" w:sz="4" w:space="0" w:color="auto"/>
              <w:right w:val="single" w:sz="4" w:space="0" w:color="auto"/>
            </w:tcBorders>
            <w:shd w:val="clear" w:color="auto" w:fill="C6EFCE"/>
            <w:noWrap/>
          </w:tcPr>
          <w:p w14:paraId="667926B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3478" w:type="dxa"/>
            <w:tcBorders>
              <w:top w:val="nil"/>
              <w:left w:val="nil"/>
              <w:bottom w:val="single" w:sz="4" w:space="0" w:color="auto"/>
              <w:right w:val="single" w:sz="4" w:space="0" w:color="auto"/>
            </w:tcBorders>
            <w:shd w:val="clear" w:color="auto" w:fill="C6EFCE"/>
            <w:noWrap/>
          </w:tcPr>
          <w:p w14:paraId="50CF05DC"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Повишена способност на електроенергийната мрежа да интегрира допълнителна мощност на електроцентралата от 295 MW, използваща възобновяеми енергийни източници, чрез действия в рамките на тази инвестиция, която е в допълнение към финансираните със заеми и като част от инвестиция C6.I1. Унгарският регулаторен орган за енергетиката и обществените нужди го проверява и представя доклад за валидиране, като използва методика, в която се разработват необходимите действия по мрежата, финансирани по плана за възстановяване и устойчивост, за да се интегрира енергията, произведена чрез допълнителен капацитет за производство на енергия от възобновяеми източници.</w:t>
            </w:r>
          </w:p>
        </w:tc>
      </w:tr>
      <w:tr w:rsidR="00CE3BAD" w:rsidRPr="00782BF9" w14:paraId="5081602A"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4A84365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288</w:t>
            </w:r>
          </w:p>
        </w:tc>
        <w:tc>
          <w:tcPr>
            <w:tcW w:w="1712" w:type="dxa"/>
            <w:tcBorders>
              <w:top w:val="nil"/>
              <w:left w:val="nil"/>
              <w:bottom w:val="single" w:sz="4" w:space="0" w:color="auto"/>
              <w:right w:val="single" w:sz="4" w:space="0" w:color="auto"/>
            </w:tcBorders>
            <w:shd w:val="clear" w:color="auto" w:fill="C6EFCE"/>
            <w:noWrap/>
          </w:tcPr>
          <w:p w14:paraId="4D263A1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4E8E856D"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C10.I1c:  </w:t>
            </w:r>
            <w:r w:rsidRPr="00782BF9">
              <w:rPr>
                <w:noProof/>
                <w:lang w:val="bg-BG"/>
              </w:rPr>
              <w:br/>
              <w:t>Разширена мярка: Развитие на класическа и интелигентна мрежа за оператора на преносна система и оператора на разпределителна система</w:t>
            </w:r>
          </w:p>
          <w:p w14:paraId="4CA18BFA" w14:textId="77777777" w:rsidR="00CE3BAD" w:rsidRPr="00782BF9" w:rsidRDefault="00CE3BAD">
            <w:pPr>
              <w:spacing w:before="120" w:after="120" w:line="240" w:lineRule="auto"/>
              <w:jc w:val="center"/>
              <w:rPr>
                <w:rFonts w:eastAsia="Calibri" w:cstheme="minorHAnsi"/>
                <w:noProof/>
                <w:sz w:val="18"/>
                <w:lang w:val="bg-BG"/>
              </w:rPr>
            </w:pPr>
          </w:p>
        </w:tc>
        <w:tc>
          <w:tcPr>
            <w:tcW w:w="1276" w:type="dxa"/>
            <w:tcBorders>
              <w:top w:val="nil"/>
              <w:left w:val="nil"/>
              <w:bottom w:val="single" w:sz="4" w:space="0" w:color="auto"/>
              <w:right w:val="single" w:sz="4" w:space="0" w:color="auto"/>
            </w:tcBorders>
            <w:shd w:val="clear" w:color="auto" w:fill="C6EFCE"/>
            <w:noWrap/>
          </w:tcPr>
          <w:p w14:paraId="6C83C671"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914" w:type="dxa"/>
            <w:tcBorders>
              <w:top w:val="nil"/>
              <w:left w:val="nil"/>
              <w:bottom w:val="single" w:sz="4" w:space="0" w:color="auto"/>
              <w:right w:val="single" w:sz="4" w:space="0" w:color="auto"/>
            </w:tcBorders>
            <w:shd w:val="clear" w:color="auto" w:fill="C6EFCE"/>
            <w:noWrap/>
          </w:tcPr>
          <w:p w14:paraId="1660C7F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p w14:paraId="19E47D17" w14:textId="77777777" w:rsidR="00CE3BAD" w:rsidRPr="00782BF9" w:rsidRDefault="00CE3BAD">
            <w:pPr>
              <w:spacing w:before="120" w:after="120" w:line="240" w:lineRule="auto"/>
              <w:jc w:val="center"/>
              <w:rPr>
                <w:rFonts w:eastAsia="Calibri" w:cstheme="minorHAnsi"/>
                <w:noProof/>
                <w:sz w:val="18"/>
                <w:lang w:val="bg-BG"/>
              </w:rPr>
            </w:pPr>
          </w:p>
        </w:tc>
        <w:tc>
          <w:tcPr>
            <w:tcW w:w="1529" w:type="dxa"/>
            <w:tcBorders>
              <w:top w:val="nil"/>
              <w:left w:val="nil"/>
              <w:bottom w:val="single" w:sz="4" w:space="0" w:color="auto"/>
              <w:right w:val="single" w:sz="4" w:space="0" w:color="auto"/>
            </w:tcBorders>
            <w:shd w:val="clear" w:color="auto" w:fill="C6EFCE"/>
            <w:noWrap/>
          </w:tcPr>
          <w:p w14:paraId="6D9FA8D4" w14:textId="77777777" w:rsidR="00CE3BAD" w:rsidRPr="00782BF9" w:rsidRDefault="00CE3BAD">
            <w:pPr>
              <w:spacing w:before="120" w:after="120" w:line="240" w:lineRule="auto"/>
              <w:jc w:val="center"/>
              <w:rPr>
                <w:rFonts w:eastAsia="Calibri"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211CC62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MW</w:t>
            </w:r>
          </w:p>
          <w:p w14:paraId="67EB7B3F"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4FE403F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295</w:t>
            </w:r>
          </w:p>
        </w:tc>
        <w:tc>
          <w:tcPr>
            <w:tcW w:w="1031" w:type="dxa"/>
            <w:tcBorders>
              <w:top w:val="nil"/>
              <w:left w:val="nil"/>
              <w:bottom w:val="single" w:sz="4" w:space="0" w:color="auto"/>
              <w:right w:val="single" w:sz="4" w:space="0" w:color="auto"/>
            </w:tcBorders>
            <w:shd w:val="clear" w:color="auto" w:fill="C6EFCE"/>
            <w:noWrap/>
          </w:tcPr>
          <w:p w14:paraId="7979F48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1197</w:t>
            </w:r>
          </w:p>
        </w:tc>
        <w:tc>
          <w:tcPr>
            <w:tcW w:w="818" w:type="dxa"/>
            <w:tcBorders>
              <w:top w:val="nil"/>
              <w:left w:val="nil"/>
              <w:bottom w:val="single" w:sz="4" w:space="0" w:color="auto"/>
              <w:right w:val="single" w:sz="4" w:space="0" w:color="auto"/>
            </w:tcBorders>
            <w:shd w:val="clear" w:color="auto" w:fill="C6EFCE"/>
            <w:noWrap/>
          </w:tcPr>
          <w:p w14:paraId="56A69CE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34" w:type="dxa"/>
            <w:tcBorders>
              <w:top w:val="nil"/>
              <w:left w:val="nil"/>
              <w:bottom w:val="single" w:sz="4" w:space="0" w:color="auto"/>
              <w:right w:val="single" w:sz="4" w:space="0" w:color="auto"/>
            </w:tcBorders>
            <w:shd w:val="clear" w:color="auto" w:fill="C6EFCE"/>
            <w:noWrap/>
          </w:tcPr>
          <w:p w14:paraId="50DF582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3478" w:type="dxa"/>
            <w:tcBorders>
              <w:top w:val="nil"/>
              <w:left w:val="nil"/>
              <w:bottom w:val="single" w:sz="4" w:space="0" w:color="auto"/>
              <w:right w:val="single" w:sz="4" w:space="0" w:color="auto"/>
            </w:tcBorders>
            <w:shd w:val="clear" w:color="auto" w:fill="C6EFCE"/>
            <w:noWrap/>
          </w:tcPr>
          <w:p w14:paraId="234606D8"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Повишена способност на електроенергийната мрежа да интегрира допълнителна мощност на електроцентралата от общо 1 197 MW, като използва възобновяеми енергийни източници, чрез действия в рамките на тази инвестиция, която е в допълнение към финансираните от заемите и като част от инвестицията C6.I1. Унгарският регулаторен орган за енергетиката и обществените нужди го проверява и представя доклад за валидиране, като използва методика, в която се разработват необходимите действия по мрежата, финансирани по плана за възстановяване и устойчивост, за да се интегрира енергията, произведена чрез допълнителен капацитет за производство на енергия от възобновяеми източници.</w:t>
            </w:r>
          </w:p>
        </w:tc>
      </w:tr>
      <w:tr w:rsidR="00CE3BAD" w:rsidRPr="00782BF9" w14:paraId="23D4717F"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0E5300F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289</w:t>
            </w:r>
          </w:p>
        </w:tc>
        <w:tc>
          <w:tcPr>
            <w:tcW w:w="1712" w:type="dxa"/>
            <w:tcBorders>
              <w:top w:val="nil"/>
              <w:left w:val="nil"/>
              <w:bottom w:val="single" w:sz="4" w:space="0" w:color="auto"/>
              <w:right w:val="single" w:sz="4" w:space="0" w:color="auto"/>
            </w:tcBorders>
            <w:shd w:val="clear" w:color="auto" w:fill="C6EFCE"/>
            <w:noWrap/>
          </w:tcPr>
          <w:p w14:paraId="215948D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794D428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C10.I1d</w:t>
            </w:r>
            <w:r w:rsidRPr="00782BF9">
              <w:rPr>
                <w:b/>
                <w:noProof/>
                <w:lang w:val="bg-BG"/>
              </w:rPr>
              <w:t xml:space="preserve"> </w:t>
            </w:r>
            <w:r w:rsidRPr="00782BF9">
              <w:rPr>
                <w:noProof/>
                <w:lang w:val="bg-BG"/>
              </w:rPr>
              <w:t>разширена мярка: Разпространение на интелигентни измервателни уреди (безвъзмездни средства)</w:t>
            </w:r>
          </w:p>
        </w:tc>
        <w:tc>
          <w:tcPr>
            <w:tcW w:w="1276" w:type="dxa"/>
            <w:tcBorders>
              <w:top w:val="nil"/>
              <w:left w:val="nil"/>
              <w:bottom w:val="single" w:sz="4" w:space="0" w:color="auto"/>
              <w:right w:val="single" w:sz="4" w:space="0" w:color="auto"/>
            </w:tcBorders>
            <w:shd w:val="clear" w:color="auto" w:fill="C6EFCE"/>
            <w:noWrap/>
          </w:tcPr>
          <w:p w14:paraId="23FDA1F0"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Ключов етап</w:t>
            </w:r>
          </w:p>
          <w:p w14:paraId="543A41E3" w14:textId="77777777" w:rsidR="00CE3BAD" w:rsidRPr="00782BF9" w:rsidRDefault="00CE3BAD">
            <w:pPr>
              <w:spacing w:before="120" w:after="120" w:line="240" w:lineRule="auto"/>
              <w:rPr>
                <w:rFonts w:eastAsia="Calibri" w:cstheme="minorHAnsi"/>
                <w:noProof/>
                <w:sz w:val="18"/>
                <w:lang w:val="bg-BG"/>
              </w:rPr>
            </w:pPr>
          </w:p>
        </w:tc>
        <w:tc>
          <w:tcPr>
            <w:tcW w:w="1914" w:type="dxa"/>
            <w:tcBorders>
              <w:top w:val="nil"/>
              <w:left w:val="nil"/>
              <w:bottom w:val="single" w:sz="4" w:space="0" w:color="auto"/>
              <w:right w:val="single" w:sz="4" w:space="0" w:color="auto"/>
            </w:tcBorders>
            <w:shd w:val="clear" w:color="auto" w:fill="C6EFCE"/>
            <w:noWrap/>
          </w:tcPr>
          <w:p w14:paraId="59FE892A" w14:textId="77777777" w:rsidR="00CE3BAD" w:rsidRPr="00782BF9" w:rsidRDefault="006B5475">
            <w:pPr>
              <w:pStyle w:val="P68B1DB1-Normal24"/>
              <w:spacing w:before="120" w:after="120" w:line="240" w:lineRule="auto"/>
              <w:jc w:val="center"/>
              <w:rPr>
                <w:rFonts w:eastAsia="MS Mincho"/>
                <w:noProof/>
                <w:lang w:val="bg-BG"/>
              </w:rPr>
            </w:pPr>
            <w:r w:rsidRPr="00782BF9">
              <w:rPr>
                <w:noProof/>
                <w:lang w:val="bg-BG"/>
              </w:rPr>
              <w:t>Отправяне на покана за представяне на предложения за приоритетни проекти, насочени към ОРС, за закупуване и инсталиране на интелигентни измервателни уреди</w:t>
            </w:r>
          </w:p>
        </w:tc>
        <w:tc>
          <w:tcPr>
            <w:tcW w:w="1529" w:type="dxa"/>
            <w:tcBorders>
              <w:top w:val="nil"/>
              <w:left w:val="nil"/>
              <w:bottom w:val="single" w:sz="4" w:space="0" w:color="auto"/>
              <w:right w:val="single" w:sz="4" w:space="0" w:color="auto"/>
            </w:tcBorders>
            <w:shd w:val="clear" w:color="auto" w:fill="C6EFCE"/>
            <w:noWrap/>
          </w:tcPr>
          <w:p w14:paraId="14E0F91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поканата за приоритетни проекти на официалния уебсайт на правителството за покани за представяне на предложения</w:t>
            </w:r>
          </w:p>
        </w:tc>
        <w:tc>
          <w:tcPr>
            <w:tcW w:w="1125" w:type="dxa"/>
            <w:tcBorders>
              <w:top w:val="nil"/>
              <w:left w:val="nil"/>
              <w:bottom w:val="single" w:sz="4" w:space="0" w:color="auto"/>
              <w:right w:val="single" w:sz="4" w:space="0" w:color="auto"/>
            </w:tcBorders>
            <w:shd w:val="clear" w:color="auto" w:fill="C6EFCE"/>
            <w:noWrap/>
          </w:tcPr>
          <w:p w14:paraId="15C078E4"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13EA89A3"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27AEFEA5"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7F6BBDE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34" w:type="dxa"/>
            <w:tcBorders>
              <w:top w:val="nil"/>
              <w:left w:val="nil"/>
              <w:bottom w:val="single" w:sz="4" w:space="0" w:color="auto"/>
              <w:right w:val="single" w:sz="4" w:space="0" w:color="auto"/>
            </w:tcBorders>
            <w:shd w:val="clear" w:color="auto" w:fill="C6EFCE"/>
            <w:noWrap/>
          </w:tcPr>
          <w:p w14:paraId="63614F6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tcPr>
          <w:p w14:paraId="273153BB"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Отправя се покана (в допълнение към инвестицията C6.I5) за приоритетни проекти, насочени към операторите на разпределителни системи, за закупуване и инсталиране на интелигентни измервателни уреди. В поканата се описват техническите изисквания за инсталирането на интелигентни измервателни уреди. </w:t>
            </w:r>
          </w:p>
          <w:p w14:paraId="2A65F0D2"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Операторите на разпределителни системи получават субсидията пропорционално на броя физически обекти, необходими за инсталирането на интелигентни измервателни уреди в географските райони, в които работят.</w:t>
            </w:r>
          </w:p>
        </w:tc>
      </w:tr>
      <w:tr w:rsidR="00CE3BAD" w:rsidRPr="00782BF9" w14:paraId="2381FDDB"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2812DA5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290</w:t>
            </w:r>
          </w:p>
        </w:tc>
        <w:tc>
          <w:tcPr>
            <w:tcW w:w="1712" w:type="dxa"/>
            <w:tcBorders>
              <w:top w:val="nil"/>
              <w:left w:val="nil"/>
              <w:bottom w:val="single" w:sz="4" w:space="0" w:color="auto"/>
              <w:right w:val="single" w:sz="4" w:space="0" w:color="auto"/>
            </w:tcBorders>
            <w:shd w:val="clear" w:color="auto" w:fill="C6EFCE"/>
            <w:noWrap/>
          </w:tcPr>
          <w:p w14:paraId="7650420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0003013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C10.I1d</w:t>
            </w:r>
            <w:r w:rsidRPr="00782BF9">
              <w:rPr>
                <w:b/>
                <w:noProof/>
                <w:lang w:val="bg-BG"/>
              </w:rPr>
              <w:t xml:space="preserve"> </w:t>
            </w:r>
            <w:r w:rsidRPr="00782BF9">
              <w:rPr>
                <w:noProof/>
                <w:lang w:val="bg-BG"/>
              </w:rPr>
              <w:t>разширена мярка: Разпространение на интелигентни измервателни уреди (безвъзмездни средства)</w:t>
            </w:r>
          </w:p>
          <w:p w14:paraId="0E530EE0" w14:textId="77777777" w:rsidR="00CE3BAD" w:rsidRPr="00782BF9" w:rsidRDefault="00CE3BAD">
            <w:pPr>
              <w:spacing w:before="120" w:after="120" w:line="240" w:lineRule="auto"/>
              <w:jc w:val="center"/>
              <w:rPr>
                <w:rFonts w:eastAsia="Calibri" w:cstheme="minorHAnsi"/>
                <w:noProof/>
                <w:sz w:val="18"/>
                <w:lang w:val="bg-BG"/>
              </w:rPr>
            </w:pPr>
          </w:p>
        </w:tc>
        <w:tc>
          <w:tcPr>
            <w:tcW w:w="1276" w:type="dxa"/>
            <w:tcBorders>
              <w:top w:val="nil"/>
              <w:left w:val="nil"/>
              <w:bottom w:val="single" w:sz="4" w:space="0" w:color="auto"/>
              <w:right w:val="single" w:sz="4" w:space="0" w:color="auto"/>
            </w:tcBorders>
            <w:shd w:val="clear" w:color="auto" w:fill="C6EFCE"/>
            <w:noWrap/>
          </w:tcPr>
          <w:p w14:paraId="236E6412"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914" w:type="dxa"/>
            <w:tcBorders>
              <w:top w:val="nil"/>
              <w:left w:val="nil"/>
              <w:bottom w:val="single" w:sz="4" w:space="0" w:color="auto"/>
              <w:right w:val="single" w:sz="4" w:space="0" w:color="auto"/>
            </w:tcBorders>
            <w:shd w:val="clear" w:color="auto" w:fill="C6EFCE"/>
            <w:noWrap/>
          </w:tcPr>
          <w:p w14:paraId="5D01CCC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всички споразумения за отпускане на безвъзмездна финансова помощ за закупуване и инсталиране на интелигентни измервателни уреди</w:t>
            </w:r>
          </w:p>
        </w:tc>
        <w:tc>
          <w:tcPr>
            <w:tcW w:w="1529" w:type="dxa"/>
            <w:tcBorders>
              <w:top w:val="nil"/>
              <w:left w:val="nil"/>
              <w:bottom w:val="single" w:sz="4" w:space="0" w:color="auto"/>
              <w:right w:val="single" w:sz="4" w:space="0" w:color="auto"/>
            </w:tcBorders>
            <w:shd w:val="clear" w:color="auto" w:fill="C6EFCE"/>
            <w:noWrap/>
          </w:tcPr>
          <w:p w14:paraId="291A0CBB"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споразуменията за отпускане на безвъзмездни средства</w:t>
            </w:r>
          </w:p>
        </w:tc>
        <w:tc>
          <w:tcPr>
            <w:tcW w:w="1125" w:type="dxa"/>
            <w:tcBorders>
              <w:top w:val="nil"/>
              <w:left w:val="nil"/>
              <w:bottom w:val="single" w:sz="4" w:space="0" w:color="auto"/>
              <w:right w:val="single" w:sz="4" w:space="0" w:color="auto"/>
            </w:tcBorders>
            <w:shd w:val="clear" w:color="auto" w:fill="C6EFCE"/>
            <w:noWrap/>
          </w:tcPr>
          <w:p w14:paraId="67672BA9" w14:textId="77777777" w:rsidR="00CE3BAD" w:rsidRPr="00782BF9" w:rsidRDefault="00CE3BAD">
            <w:pPr>
              <w:spacing w:before="120" w:after="120" w:line="240" w:lineRule="auto"/>
              <w:jc w:val="center"/>
              <w:rPr>
                <w:rFonts w:eastAsia="Calibri" w:cstheme="minorHAnsi"/>
                <w:noProof/>
                <w:sz w:val="18"/>
                <w:lang w:val="bg-BG"/>
              </w:rPr>
            </w:pPr>
          </w:p>
        </w:tc>
        <w:tc>
          <w:tcPr>
            <w:tcW w:w="1050" w:type="dxa"/>
            <w:tcBorders>
              <w:top w:val="nil"/>
              <w:left w:val="nil"/>
              <w:bottom w:val="single" w:sz="4" w:space="0" w:color="auto"/>
              <w:right w:val="single" w:sz="4" w:space="0" w:color="auto"/>
            </w:tcBorders>
            <w:shd w:val="clear" w:color="auto" w:fill="C6EFCE"/>
            <w:noWrap/>
          </w:tcPr>
          <w:p w14:paraId="7C02E867" w14:textId="77777777" w:rsidR="00CE3BAD" w:rsidRPr="00782BF9" w:rsidRDefault="00CE3BAD">
            <w:pPr>
              <w:spacing w:before="120" w:after="120" w:line="240" w:lineRule="auto"/>
              <w:jc w:val="center"/>
              <w:rPr>
                <w:rFonts w:eastAsia="Calibri" w:cstheme="minorHAnsi"/>
                <w:noProof/>
                <w:sz w:val="18"/>
                <w:lang w:val="bg-BG"/>
              </w:rPr>
            </w:pPr>
          </w:p>
        </w:tc>
        <w:tc>
          <w:tcPr>
            <w:tcW w:w="1031" w:type="dxa"/>
            <w:tcBorders>
              <w:top w:val="nil"/>
              <w:left w:val="nil"/>
              <w:bottom w:val="single" w:sz="4" w:space="0" w:color="auto"/>
              <w:right w:val="single" w:sz="4" w:space="0" w:color="auto"/>
            </w:tcBorders>
            <w:shd w:val="clear" w:color="auto" w:fill="C6EFCE"/>
            <w:noWrap/>
          </w:tcPr>
          <w:p w14:paraId="169ABAD8" w14:textId="77777777" w:rsidR="00CE3BAD" w:rsidRPr="00782BF9" w:rsidRDefault="00CE3BAD">
            <w:pPr>
              <w:spacing w:before="120" w:after="120" w:line="240" w:lineRule="auto"/>
              <w:jc w:val="center"/>
              <w:rPr>
                <w:rFonts w:eastAsia="Calibri" w:cstheme="minorHAnsi"/>
                <w:noProof/>
                <w:sz w:val="18"/>
                <w:lang w:val="bg-BG"/>
              </w:rPr>
            </w:pPr>
          </w:p>
        </w:tc>
        <w:tc>
          <w:tcPr>
            <w:tcW w:w="818" w:type="dxa"/>
            <w:tcBorders>
              <w:top w:val="nil"/>
              <w:left w:val="nil"/>
              <w:bottom w:val="single" w:sz="4" w:space="0" w:color="auto"/>
              <w:right w:val="single" w:sz="4" w:space="0" w:color="auto"/>
            </w:tcBorders>
            <w:shd w:val="clear" w:color="auto" w:fill="C6EFCE"/>
            <w:noWrap/>
          </w:tcPr>
          <w:p w14:paraId="48FEBB0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34" w:type="dxa"/>
            <w:tcBorders>
              <w:top w:val="nil"/>
              <w:left w:val="nil"/>
              <w:bottom w:val="single" w:sz="4" w:space="0" w:color="auto"/>
              <w:right w:val="single" w:sz="4" w:space="0" w:color="auto"/>
            </w:tcBorders>
            <w:shd w:val="clear" w:color="auto" w:fill="C6EFCE"/>
            <w:noWrap/>
          </w:tcPr>
          <w:p w14:paraId="6F59A4C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3478" w:type="dxa"/>
            <w:tcBorders>
              <w:top w:val="nil"/>
              <w:left w:val="nil"/>
              <w:bottom w:val="single" w:sz="4" w:space="0" w:color="auto"/>
              <w:right w:val="single" w:sz="4" w:space="0" w:color="auto"/>
            </w:tcBorders>
            <w:shd w:val="clear" w:color="auto" w:fill="C6EFCE"/>
            <w:noWrap/>
          </w:tcPr>
          <w:p w14:paraId="5D125634" w14:textId="65A4BF00" w:rsidR="00CE3BAD" w:rsidRPr="00782BF9" w:rsidRDefault="006B5475">
            <w:pPr>
              <w:pStyle w:val="P68B1DB1-Normal24"/>
              <w:spacing w:before="120" w:after="120" w:line="240" w:lineRule="auto"/>
              <w:jc w:val="both"/>
              <w:rPr>
                <w:rFonts w:eastAsia="Times New Roman"/>
                <w:noProof/>
                <w:shd w:val="clear" w:color="auto" w:fill="FFFF00"/>
                <w:lang w:val="bg-BG"/>
              </w:rPr>
            </w:pPr>
            <w:r w:rsidRPr="00782BF9">
              <w:rPr>
                <w:noProof/>
                <w:lang w:val="bg-BG"/>
              </w:rPr>
              <w:t>Споразуменията за отпускане на безвъзмездни средства се подписват и влизат в сила за всички проекти, избрани в рамките на поканата за представяне на предложения, посочена в етап 289.</w:t>
            </w:r>
          </w:p>
        </w:tc>
      </w:tr>
      <w:tr w:rsidR="00CE3BAD" w:rsidRPr="00782BF9" w14:paraId="2BB6E5E7"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4CF482C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291</w:t>
            </w:r>
          </w:p>
        </w:tc>
        <w:tc>
          <w:tcPr>
            <w:tcW w:w="1712" w:type="dxa"/>
            <w:tcBorders>
              <w:top w:val="nil"/>
              <w:left w:val="nil"/>
              <w:bottom w:val="single" w:sz="4" w:space="0" w:color="auto"/>
              <w:right w:val="single" w:sz="4" w:space="0" w:color="auto"/>
            </w:tcBorders>
            <w:shd w:val="clear" w:color="auto" w:fill="C6EFCE"/>
            <w:noWrap/>
          </w:tcPr>
          <w:p w14:paraId="5B4A5D1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4EE32AA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C10.I1d</w:t>
            </w:r>
            <w:r w:rsidRPr="00782BF9">
              <w:rPr>
                <w:b/>
                <w:noProof/>
                <w:lang w:val="bg-BG"/>
              </w:rPr>
              <w:t xml:space="preserve"> </w:t>
            </w:r>
            <w:r w:rsidRPr="00782BF9">
              <w:rPr>
                <w:noProof/>
                <w:lang w:val="bg-BG"/>
              </w:rPr>
              <w:t>разширена мярка: Разпространение на интелигентни измервателни уреди (безвъзмездни средства)</w:t>
            </w:r>
          </w:p>
          <w:p w14:paraId="7BE831F0" w14:textId="77777777" w:rsidR="00CE3BAD" w:rsidRPr="00782BF9" w:rsidRDefault="00CE3BAD">
            <w:pPr>
              <w:spacing w:before="120" w:after="120" w:line="240" w:lineRule="auto"/>
              <w:jc w:val="center"/>
              <w:rPr>
                <w:rFonts w:eastAsia="Calibri" w:cstheme="minorHAnsi"/>
                <w:noProof/>
                <w:sz w:val="18"/>
                <w:lang w:val="bg-BG"/>
              </w:rPr>
            </w:pPr>
          </w:p>
        </w:tc>
        <w:tc>
          <w:tcPr>
            <w:tcW w:w="1276" w:type="dxa"/>
            <w:tcBorders>
              <w:top w:val="nil"/>
              <w:left w:val="nil"/>
              <w:bottom w:val="single" w:sz="4" w:space="0" w:color="auto"/>
              <w:right w:val="single" w:sz="4" w:space="0" w:color="auto"/>
            </w:tcBorders>
            <w:shd w:val="clear" w:color="auto" w:fill="C6EFCE"/>
            <w:noWrap/>
          </w:tcPr>
          <w:p w14:paraId="15D0CC4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Целеви</w:t>
            </w:r>
          </w:p>
        </w:tc>
        <w:tc>
          <w:tcPr>
            <w:tcW w:w="1914" w:type="dxa"/>
            <w:tcBorders>
              <w:top w:val="nil"/>
              <w:left w:val="nil"/>
              <w:bottom w:val="single" w:sz="4" w:space="0" w:color="auto"/>
              <w:right w:val="single" w:sz="4" w:space="0" w:color="auto"/>
            </w:tcBorders>
            <w:shd w:val="clear" w:color="auto" w:fill="C6EFCE"/>
            <w:noWrap/>
          </w:tcPr>
          <w:p w14:paraId="0638D46D"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Новоинсталирани интелигентни измервателни уреди </w:t>
            </w:r>
          </w:p>
        </w:tc>
        <w:tc>
          <w:tcPr>
            <w:tcW w:w="1529" w:type="dxa"/>
            <w:tcBorders>
              <w:top w:val="nil"/>
              <w:left w:val="nil"/>
              <w:bottom w:val="single" w:sz="4" w:space="0" w:color="auto"/>
              <w:right w:val="single" w:sz="4" w:space="0" w:color="auto"/>
            </w:tcBorders>
            <w:shd w:val="clear" w:color="auto" w:fill="C6EFCE"/>
            <w:noWrap/>
          </w:tcPr>
          <w:p w14:paraId="4D3A01E9" w14:textId="77777777" w:rsidR="00CE3BAD" w:rsidRPr="00782BF9" w:rsidRDefault="00CE3BAD">
            <w:pPr>
              <w:spacing w:before="120" w:after="120" w:line="240" w:lineRule="auto"/>
              <w:jc w:val="center"/>
              <w:rPr>
                <w:rFonts w:eastAsia="Times New Roman"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456816D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1050" w:type="dxa"/>
            <w:tcBorders>
              <w:top w:val="nil"/>
              <w:left w:val="nil"/>
              <w:bottom w:val="single" w:sz="4" w:space="0" w:color="auto"/>
              <w:right w:val="single" w:sz="4" w:space="0" w:color="auto"/>
            </w:tcBorders>
            <w:shd w:val="clear" w:color="auto" w:fill="C6EFCE"/>
            <w:noWrap/>
          </w:tcPr>
          <w:p w14:paraId="4541361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031" w:type="dxa"/>
            <w:tcBorders>
              <w:top w:val="nil"/>
              <w:left w:val="nil"/>
              <w:bottom w:val="single" w:sz="4" w:space="0" w:color="auto"/>
              <w:right w:val="single" w:sz="4" w:space="0" w:color="auto"/>
            </w:tcBorders>
            <w:shd w:val="clear" w:color="auto" w:fill="C6EFCE"/>
            <w:noWrap/>
          </w:tcPr>
          <w:p w14:paraId="71C4A6C2" w14:textId="65867630"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147</w:t>
            </w:r>
            <w:r w:rsidRPr="00782BF9">
              <w:rPr>
                <w:noProof/>
                <w:color w:val="006100"/>
                <w:lang w:val="bg-BG"/>
              </w:rPr>
              <w:t xml:space="preserve"> </w:t>
            </w:r>
            <w:r w:rsidRPr="00782BF9">
              <w:rPr>
                <w:rFonts w:cstheme="minorHAnsi"/>
                <w:noProof/>
                <w:lang w:val="bg-BG"/>
              </w:rPr>
              <w:t xml:space="preserve">480 </w:t>
            </w:r>
          </w:p>
        </w:tc>
        <w:tc>
          <w:tcPr>
            <w:tcW w:w="818" w:type="dxa"/>
            <w:tcBorders>
              <w:top w:val="nil"/>
              <w:left w:val="nil"/>
              <w:bottom w:val="single" w:sz="4" w:space="0" w:color="auto"/>
              <w:right w:val="single" w:sz="4" w:space="0" w:color="auto"/>
            </w:tcBorders>
            <w:shd w:val="clear" w:color="auto" w:fill="C6EFCE"/>
            <w:noWrap/>
          </w:tcPr>
          <w:p w14:paraId="203E463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34" w:type="dxa"/>
            <w:tcBorders>
              <w:top w:val="nil"/>
              <w:left w:val="nil"/>
              <w:bottom w:val="single" w:sz="4" w:space="0" w:color="auto"/>
              <w:right w:val="single" w:sz="4" w:space="0" w:color="auto"/>
            </w:tcBorders>
            <w:shd w:val="clear" w:color="auto" w:fill="C6EFCE"/>
            <w:noWrap/>
          </w:tcPr>
          <w:p w14:paraId="101912B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3478" w:type="dxa"/>
            <w:tcBorders>
              <w:top w:val="nil"/>
              <w:left w:val="nil"/>
              <w:bottom w:val="single" w:sz="4" w:space="0" w:color="auto"/>
              <w:right w:val="single" w:sz="4" w:space="0" w:color="auto"/>
            </w:tcBorders>
            <w:shd w:val="clear" w:color="auto" w:fill="C6EFCE"/>
            <w:noWrap/>
          </w:tcPr>
          <w:p w14:paraId="2CEEA7D4"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Нова инсталация на еднофазни или трифазни електромери с директна връзка и комуникационен агрегат, в допълнение към тези, финансирани от заемите и като част от инвестицията C6.I5.</w:t>
            </w:r>
          </w:p>
          <w:p w14:paraId="5AA94B34" w14:textId="77777777" w:rsidR="00CE3BAD" w:rsidRPr="00782BF9" w:rsidRDefault="00CE3BAD">
            <w:pPr>
              <w:spacing w:before="120" w:after="120" w:line="240" w:lineRule="auto"/>
              <w:jc w:val="both"/>
              <w:rPr>
                <w:rFonts w:eastAsia="Times New Roman" w:cstheme="minorHAnsi"/>
                <w:noProof/>
                <w:sz w:val="18"/>
                <w:lang w:val="bg-BG"/>
              </w:rPr>
            </w:pPr>
          </w:p>
        </w:tc>
      </w:tr>
      <w:tr w:rsidR="00CE3BAD" w:rsidRPr="00782BF9" w14:paraId="0CB8B8D8" w14:textId="77777777">
        <w:trPr>
          <w:trHeight w:val="309"/>
          <w:jc w:val="center"/>
        </w:trPr>
        <w:tc>
          <w:tcPr>
            <w:tcW w:w="948" w:type="dxa"/>
            <w:tcBorders>
              <w:top w:val="nil"/>
              <w:left w:val="single" w:sz="4" w:space="0" w:color="auto"/>
              <w:bottom w:val="single" w:sz="4" w:space="0" w:color="auto"/>
              <w:right w:val="single" w:sz="4" w:space="0" w:color="auto"/>
            </w:tcBorders>
            <w:shd w:val="clear" w:color="auto" w:fill="C6EFCE"/>
            <w:noWrap/>
          </w:tcPr>
          <w:p w14:paraId="229EAAD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292</w:t>
            </w:r>
          </w:p>
        </w:tc>
        <w:tc>
          <w:tcPr>
            <w:tcW w:w="1712" w:type="dxa"/>
            <w:tcBorders>
              <w:top w:val="nil"/>
              <w:left w:val="nil"/>
              <w:bottom w:val="single" w:sz="4" w:space="0" w:color="auto"/>
              <w:right w:val="single" w:sz="4" w:space="0" w:color="auto"/>
            </w:tcBorders>
            <w:shd w:val="clear" w:color="auto" w:fill="C6EFCE"/>
            <w:noWrap/>
          </w:tcPr>
          <w:p w14:paraId="3C0D688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696FDC2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C10.I1d. Разширена мярка: Разпространение на интелигентни измервателни уреди (безвъзмездни средства)</w:t>
            </w:r>
          </w:p>
        </w:tc>
        <w:tc>
          <w:tcPr>
            <w:tcW w:w="1276" w:type="dxa"/>
            <w:tcBorders>
              <w:top w:val="nil"/>
              <w:left w:val="nil"/>
              <w:bottom w:val="single" w:sz="4" w:space="0" w:color="auto"/>
              <w:right w:val="single" w:sz="4" w:space="0" w:color="auto"/>
            </w:tcBorders>
            <w:shd w:val="clear" w:color="auto" w:fill="C6EFCE"/>
            <w:noWrap/>
          </w:tcPr>
          <w:p w14:paraId="035CDD1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Целеви</w:t>
            </w:r>
          </w:p>
        </w:tc>
        <w:tc>
          <w:tcPr>
            <w:tcW w:w="1914" w:type="dxa"/>
            <w:tcBorders>
              <w:top w:val="nil"/>
              <w:left w:val="nil"/>
              <w:bottom w:val="single" w:sz="4" w:space="0" w:color="auto"/>
              <w:right w:val="single" w:sz="4" w:space="0" w:color="auto"/>
            </w:tcBorders>
            <w:shd w:val="clear" w:color="auto" w:fill="C6EFCE"/>
            <w:noWrap/>
          </w:tcPr>
          <w:p w14:paraId="1C99B16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Новоинсталирани интелигентни измервателни уреди</w:t>
            </w:r>
          </w:p>
          <w:p w14:paraId="4F37F9FC" w14:textId="77777777" w:rsidR="00CE3BAD" w:rsidRPr="00782BF9" w:rsidRDefault="00CE3BAD">
            <w:pPr>
              <w:spacing w:before="120" w:after="120" w:line="240" w:lineRule="auto"/>
              <w:jc w:val="center"/>
              <w:rPr>
                <w:rFonts w:eastAsia="Times New Roman" w:cstheme="minorHAnsi"/>
                <w:noProof/>
                <w:sz w:val="18"/>
                <w:lang w:val="bg-BG"/>
              </w:rPr>
            </w:pPr>
          </w:p>
        </w:tc>
        <w:tc>
          <w:tcPr>
            <w:tcW w:w="1529" w:type="dxa"/>
            <w:tcBorders>
              <w:top w:val="nil"/>
              <w:left w:val="nil"/>
              <w:bottom w:val="single" w:sz="4" w:space="0" w:color="auto"/>
              <w:right w:val="single" w:sz="4" w:space="0" w:color="auto"/>
            </w:tcBorders>
            <w:shd w:val="clear" w:color="auto" w:fill="C6EFCE"/>
            <w:noWrap/>
          </w:tcPr>
          <w:p w14:paraId="317E2784" w14:textId="77777777" w:rsidR="00CE3BAD" w:rsidRPr="00782BF9" w:rsidRDefault="00CE3BAD">
            <w:pPr>
              <w:spacing w:before="120" w:after="120" w:line="240" w:lineRule="auto"/>
              <w:jc w:val="center"/>
              <w:rPr>
                <w:rFonts w:eastAsia="Times New Roman" w:cstheme="minorHAnsi"/>
                <w:noProof/>
                <w:sz w:val="18"/>
                <w:lang w:val="bg-BG"/>
              </w:rPr>
            </w:pPr>
          </w:p>
        </w:tc>
        <w:tc>
          <w:tcPr>
            <w:tcW w:w="1125" w:type="dxa"/>
            <w:tcBorders>
              <w:top w:val="nil"/>
              <w:left w:val="nil"/>
              <w:bottom w:val="single" w:sz="4" w:space="0" w:color="auto"/>
              <w:right w:val="single" w:sz="4" w:space="0" w:color="auto"/>
            </w:tcBorders>
            <w:shd w:val="clear" w:color="auto" w:fill="C6EFCE"/>
            <w:noWrap/>
          </w:tcPr>
          <w:p w14:paraId="4FBECD2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1050" w:type="dxa"/>
            <w:tcBorders>
              <w:top w:val="nil"/>
              <w:left w:val="nil"/>
              <w:bottom w:val="single" w:sz="4" w:space="0" w:color="auto"/>
              <w:right w:val="single" w:sz="4" w:space="0" w:color="auto"/>
            </w:tcBorders>
            <w:shd w:val="clear" w:color="auto" w:fill="C6EFCE"/>
            <w:noWrap/>
          </w:tcPr>
          <w:p w14:paraId="65D1B8C5" w14:textId="72F6C057"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147</w:t>
            </w:r>
            <w:r w:rsidRPr="00782BF9">
              <w:rPr>
                <w:noProof/>
                <w:color w:val="006100"/>
                <w:lang w:val="bg-BG"/>
              </w:rPr>
              <w:t xml:space="preserve"> </w:t>
            </w:r>
            <w:r w:rsidRPr="00782BF9">
              <w:rPr>
                <w:rFonts w:cstheme="minorHAnsi"/>
                <w:noProof/>
                <w:lang w:val="bg-BG"/>
              </w:rPr>
              <w:t>480</w:t>
            </w:r>
          </w:p>
        </w:tc>
        <w:tc>
          <w:tcPr>
            <w:tcW w:w="1031" w:type="dxa"/>
            <w:tcBorders>
              <w:top w:val="nil"/>
              <w:left w:val="nil"/>
              <w:bottom w:val="single" w:sz="4" w:space="0" w:color="auto"/>
              <w:right w:val="single" w:sz="4" w:space="0" w:color="auto"/>
            </w:tcBorders>
            <w:shd w:val="clear" w:color="auto" w:fill="C6EFCE"/>
            <w:noWrap/>
          </w:tcPr>
          <w:p w14:paraId="39AA48B7" w14:textId="7C5D8B04"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387</w:t>
            </w:r>
            <w:r w:rsidRPr="00782BF9">
              <w:rPr>
                <w:noProof/>
                <w:color w:val="006100"/>
                <w:lang w:val="bg-BG"/>
              </w:rPr>
              <w:t xml:space="preserve"> </w:t>
            </w:r>
            <w:r w:rsidRPr="00782BF9">
              <w:rPr>
                <w:rFonts w:cstheme="minorHAnsi"/>
                <w:noProof/>
                <w:lang w:val="bg-BG"/>
              </w:rPr>
              <w:t>791</w:t>
            </w:r>
          </w:p>
        </w:tc>
        <w:tc>
          <w:tcPr>
            <w:tcW w:w="818" w:type="dxa"/>
            <w:tcBorders>
              <w:top w:val="nil"/>
              <w:left w:val="nil"/>
              <w:bottom w:val="single" w:sz="4" w:space="0" w:color="auto"/>
              <w:right w:val="single" w:sz="4" w:space="0" w:color="auto"/>
            </w:tcBorders>
            <w:shd w:val="clear" w:color="auto" w:fill="C6EFCE"/>
            <w:noWrap/>
          </w:tcPr>
          <w:p w14:paraId="54B4649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34" w:type="dxa"/>
            <w:tcBorders>
              <w:top w:val="nil"/>
              <w:left w:val="nil"/>
              <w:bottom w:val="single" w:sz="4" w:space="0" w:color="auto"/>
              <w:right w:val="single" w:sz="4" w:space="0" w:color="auto"/>
            </w:tcBorders>
            <w:shd w:val="clear" w:color="auto" w:fill="C6EFCE"/>
            <w:noWrap/>
          </w:tcPr>
          <w:p w14:paraId="2783624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3478" w:type="dxa"/>
            <w:tcBorders>
              <w:top w:val="nil"/>
              <w:left w:val="nil"/>
              <w:bottom w:val="single" w:sz="4" w:space="0" w:color="auto"/>
              <w:right w:val="single" w:sz="4" w:space="0" w:color="auto"/>
            </w:tcBorders>
            <w:shd w:val="clear" w:color="auto" w:fill="C6EFCE"/>
            <w:noWrap/>
          </w:tcPr>
          <w:p w14:paraId="765DEF78" w14:textId="2BAB2326" w:rsidR="00CE3BAD" w:rsidRPr="00782BF9" w:rsidRDefault="006B5475">
            <w:pPr>
              <w:pStyle w:val="P68B1DB1-Normal10"/>
              <w:spacing w:before="120" w:after="120" w:line="240" w:lineRule="auto"/>
              <w:jc w:val="both"/>
              <w:rPr>
                <w:rFonts w:eastAsia="Times New Roman" w:cstheme="minorHAnsi"/>
                <w:noProof/>
                <w:lang w:val="bg-BG"/>
              </w:rPr>
            </w:pPr>
            <w:r w:rsidRPr="00782BF9">
              <w:rPr>
                <w:rFonts w:cstheme="minorHAnsi"/>
                <w:noProof/>
                <w:lang w:val="bg-BG"/>
              </w:rPr>
              <w:t>Нова инсталация на общо 387</w:t>
            </w:r>
            <w:r w:rsidRPr="00782BF9">
              <w:rPr>
                <w:noProof/>
                <w:color w:val="006100"/>
                <w:lang w:val="bg-BG"/>
              </w:rPr>
              <w:t xml:space="preserve"> </w:t>
            </w:r>
            <w:r w:rsidRPr="00782BF9">
              <w:rPr>
                <w:rFonts w:cstheme="minorHAnsi"/>
                <w:noProof/>
                <w:lang w:val="bg-BG"/>
              </w:rPr>
              <w:t>791 еднофазни или трифазни електромера с директна връзка и комуникационен агрегат, в допълнение към тези, финансирани от заемите и като част от инвестицията C6.I5.</w:t>
            </w:r>
          </w:p>
        </w:tc>
      </w:tr>
    </w:tbl>
    <w:p w14:paraId="2597FFD3"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533E14D2" w14:textId="77777777" w:rsidR="00CE3BAD" w:rsidRPr="00782BF9" w:rsidRDefault="00CE3BAD">
      <w:pPr>
        <w:spacing w:before="120" w:after="120" w:line="240" w:lineRule="auto"/>
        <w:jc w:val="both"/>
        <w:rPr>
          <w:rFonts w:ascii="Times New Roman" w:eastAsia="Times New Roman" w:hAnsi="Times New Roman" w:cs="Times New Roman"/>
          <w:b/>
          <w:noProof/>
          <w:sz w:val="24"/>
          <w:u w:val="single"/>
          <w:lang w:val="bg-BG"/>
        </w:rPr>
        <w:sectPr w:rsidR="00CE3BAD" w:rsidRPr="00782BF9">
          <w:headerReference w:type="even" r:id="rId153"/>
          <w:headerReference w:type="default" r:id="rId154"/>
          <w:footerReference w:type="even" r:id="rId155"/>
          <w:footerReference w:type="default" r:id="rId156"/>
          <w:headerReference w:type="first" r:id="rId157"/>
          <w:footerReference w:type="first" r:id="rId158"/>
          <w:pgSz w:w="16839" w:h="11907" w:orient="landscape"/>
          <w:pgMar w:top="1417" w:right="1134" w:bottom="1417" w:left="1134" w:header="709" w:footer="709" w:gutter="0"/>
          <w:cols w:space="720"/>
          <w:docGrid w:linePitch="360"/>
        </w:sectPr>
      </w:pPr>
    </w:p>
    <w:p w14:paraId="2E6B5889" w14:textId="77777777" w:rsidR="00CE3BAD" w:rsidRPr="00782BF9" w:rsidRDefault="006B5475">
      <w:pPr>
        <w:spacing w:before="120" w:after="120" w:line="240" w:lineRule="auto"/>
        <w:jc w:val="both"/>
        <w:rPr>
          <w:rFonts w:ascii="Times New Roman" w:eastAsia="Times New Roman" w:hAnsi="Times New Roman" w:cs="Times New Roman"/>
          <w:b/>
          <w:i/>
          <w:noProof/>
          <w:color w:val="4F81BD"/>
          <w:sz w:val="24"/>
          <w:u w:val="single"/>
          <w:lang w:val="bg-BG"/>
        </w:rPr>
      </w:pPr>
      <w:r w:rsidRPr="00782BF9">
        <w:rPr>
          <w:rFonts w:ascii="Times New Roman" w:hAnsi="Times New Roman"/>
          <w:b/>
          <w:noProof/>
          <w:sz w:val="24"/>
          <w:u w:val="single"/>
          <w:lang w:val="bg-BG"/>
        </w:rPr>
        <w:t xml:space="preserve">Й.3. </w:t>
      </w:r>
      <w:r w:rsidRPr="00782BF9">
        <w:rPr>
          <w:noProof/>
          <w:lang w:val="bg-BG"/>
        </w:rPr>
        <w:tab/>
      </w:r>
      <w:r w:rsidRPr="00782BF9">
        <w:rPr>
          <w:rFonts w:ascii="Times New Roman" w:hAnsi="Times New Roman"/>
          <w:b/>
          <w:noProof/>
          <w:sz w:val="24"/>
          <w:u w:val="single"/>
          <w:lang w:val="bg-BG"/>
        </w:rPr>
        <w:t>Описание на реформите и инвестициите за заема</w:t>
      </w:r>
    </w:p>
    <w:p w14:paraId="67305303"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C10.R7: Разширяване на енергийните общности</w:t>
      </w:r>
    </w:p>
    <w:p w14:paraId="43ED92B9" w14:textId="77777777" w:rsidR="00CE3BAD" w:rsidRPr="00782BF9" w:rsidRDefault="006B5475">
      <w:pPr>
        <w:pStyle w:val="P68B1DB1-Normal4"/>
        <w:spacing w:before="120" w:after="160" w:line="240" w:lineRule="auto"/>
        <w:jc w:val="both"/>
        <w:rPr>
          <w:rFonts w:eastAsia="Times New Roman" w:cs="Times New Roman"/>
          <w:noProof/>
          <w:lang w:val="bg-BG"/>
        </w:rPr>
      </w:pPr>
      <w:r w:rsidRPr="00782BF9">
        <w:rPr>
          <w:noProof/>
          <w:lang w:val="bg-BG"/>
        </w:rPr>
        <w:t>Тази мярка има за цел да разшири прилагането на „енергийните общности“, като включи активно жилищния и предприемаческия сектор в използването на енергия от възобновяеми източници, както и повишаване на осведомеността и обучение, насочени към развитието на енергия в общността. Реформата обхваща както гражданските енергийни общности (определени в Директивата за пазара на електроенергия), така и общностите за възобновяема енергия (определени в Директивата за енергията от възобновяеми източници).</w:t>
      </w:r>
    </w:p>
    <w:p w14:paraId="0C22ADFC" w14:textId="77777777" w:rsidR="00CE3BAD" w:rsidRPr="00782BF9" w:rsidRDefault="006B5475">
      <w:pPr>
        <w:pStyle w:val="P68B1DB1-Normal4"/>
        <w:spacing w:before="120" w:after="160" w:line="240" w:lineRule="auto"/>
        <w:jc w:val="both"/>
        <w:rPr>
          <w:rFonts w:eastAsia="Times New Roman" w:cs="Times New Roman"/>
          <w:noProof/>
          <w:lang w:val="bg-BG"/>
        </w:rPr>
      </w:pPr>
      <w:r w:rsidRPr="00782BF9">
        <w:rPr>
          <w:noProof/>
          <w:lang w:val="bg-BG"/>
        </w:rPr>
        <w:t>Реформата се състои в преразглеждане на настоящата законодателна рамка, като се предвиждат по-подробни и гъвкави правила, като същевременно се въвеждат стимули за развитието на енергийните общности и се насърчава участието им в дейности като колективно производство и потребление в рамките на енергийната общност. Реформата надхвърля транспонирането на достиженията на правото на ЕС. Реформата се постига чрез следните действия:</w:t>
      </w:r>
    </w:p>
    <w:p w14:paraId="297949CE" w14:textId="77777777" w:rsidR="00CE3BAD" w:rsidRPr="00782BF9" w:rsidRDefault="006B5475">
      <w:pPr>
        <w:pStyle w:val="P68B1DB1-Normal4"/>
        <w:numPr>
          <w:ilvl w:val="0"/>
          <w:numId w:val="48"/>
        </w:numPr>
        <w:spacing w:before="120" w:after="120" w:line="240" w:lineRule="auto"/>
        <w:contextualSpacing/>
        <w:jc w:val="both"/>
        <w:rPr>
          <w:rFonts w:eastAsia="Times New Roman" w:cs="Times New Roman"/>
          <w:noProof/>
          <w:lang w:val="bg-BG"/>
        </w:rPr>
      </w:pPr>
      <w:r w:rsidRPr="00782BF9">
        <w:rPr>
          <w:noProof/>
          <w:lang w:val="bg-BG"/>
        </w:rPr>
        <w:t>Приемане на законодателна рамка:</w:t>
      </w:r>
    </w:p>
    <w:p w14:paraId="2D113296" w14:textId="77777777" w:rsidR="00CE3BAD" w:rsidRPr="00782BF9" w:rsidRDefault="006B5475">
      <w:pPr>
        <w:pStyle w:val="P68B1DB1-Normal4"/>
        <w:numPr>
          <w:ilvl w:val="1"/>
          <w:numId w:val="48"/>
        </w:numPr>
        <w:spacing w:before="120" w:after="120" w:line="240" w:lineRule="auto"/>
        <w:contextualSpacing/>
        <w:jc w:val="both"/>
        <w:rPr>
          <w:rFonts w:eastAsia="Times New Roman" w:cs="Times New Roman"/>
          <w:noProof/>
          <w:lang w:val="bg-BG"/>
        </w:rPr>
      </w:pPr>
      <w:r w:rsidRPr="00782BF9">
        <w:rPr>
          <w:noProof/>
          <w:lang w:val="bg-BG"/>
        </w:rPr>
        <w:t>стремеж към опростяване на процеса на регистрация и функционирането на енергийните общности като правни субекти</w:t>
      </w:r>
    </w:p>
    <w:p w14:paraId="07CE7AAA" w14:textId="77777777" w:rsidR="00CE3BAD" w:rsidRPr="00782BF9" w:rsidRDefault="006B5475">
      <w:pPr>
        <w:pStyle w:val="P68B1DB1-Normal4"/>
        <w:numPr>
          <w:ilvl w:val="1"/>
          <w:numId w:val="48"/>
        </w:numPr>
        <w:spacing w:before="120" w:after="120" w:line="240" w:lineRule="auto"/>
        <w:contextualSpacing/>
        <w:jc w:val="both"/>
        <w:rPr>
          <w:rFonts w:eastAsia="Times New Roman" w:cs="Times New Roman"/>
          <w:noProof/>
          <w:lang w:val="bg-BG"/>
        </w:rPr>
      </w:pPr>
      <w:r w:rsidRPr="00782BF9">
        <w:rPr>
          <w:noProof/>
          <w:lang w:val="bg-BG"/>
        </w:rPr>
        <w:t>относно споделянето на енергия, преноса, достъпа до данни за потребителите, електроенергията, измерването и отчитането в публичната мрежа</w:t>
      </w:r>
    </w:p>
    <w:p w14:paraId="17447AE4" w14:textId="77777777" w:rsidR="00CE3BAD" w:rsidRPr="00782BF9" w:rsidRDefault="006B5475">
      <w:pPr>
        <w:pStyle w:val="P68B1DB1-Normal4"/>
        <w:numPr>
          <w:ilvl w:val="1"/>
          <w:numId w:val="48"/>
        </w:numPr>
        <w:spacing w:before="120" w:after="120" w:line="240" w:lineRule="auto"/>
        <w:contextualSpacing/>
        <w:jc w:val="both"/>
        <w:rPr>
          <w:rFonts w:eastAsia="Times New Roman" w:cs="Times New Roman"/>
          <w:noProof/>
          <w:lang w:val="bg-BG"/>
        </w:rPr>
      </w:pPr>
      <w:r w:rsidRPr="00782BF9">
        <w:rPr>
          <w:noProof/>
          <w:lang w:val="bg-BG"/>
        </w:rPr>
        <w:t>за участието на енергийните общности в сектора на отоплението и охлаждането.</w:t>
      </w:r>
    </w:p>
    <w:p w14:paraId="392B39F8" w14:textId="77777777" w:rsidR="00CE3BAD" w:rsidRPr="00782BF9" w:rsidRDefault="006B5475">
      <w:pPr>
        <w:pStyle w:val="P68B1DB1-Normal4"/>
        <w:numPr>
          <w:ilvl w:val="0"/>
          <w:numId w:val="48"/>
        </w:numPr>
        <w:spacing w:before="120" w:after="120" w:line="240" w:lineRule="auto"/>
        <w:contextualSpacing/>
        <w:jc w:val="both"/>
        <w:rPr>
          <w:rFonts w:eastAsia="Times New Roman" w:cs="Times New Roman"/>
          <w:noProof/>
          <w:lang w:val="bg-BG"/>
        </w:rPr>
      </w:pPr>
      <w:r w:rsidRPr="00782BF9">
        <w:rPr>
          <w:noProof/>
          <w:lang w:val="bg-BG"/>
        </w:rPr>
        <w:t>Приемане на схема за финансиране след прегледа на законодателната рамка;</w:t>
      </w:r>
    </w:p>
    <w:p w14:paraId="4A5BC153" w14:textId="77777777" w:rsidR="00CE3BAD" w:rsidRPr="00782BF9" w:rsidRDefault="006B5475">
      <w:pPr>
        <w:pStyle w:val="P68B1DB1-Normal4"/>
        <w:numPr>
          <w:ilvl w:val="0"/>
          <w:numId w:val="48"/>
        </w:numPr>
        <w:spacing w:before="120" w:after="120" w:line="240" w:lineRule="auto"/>
        <w:contextualSpacing/>
        <w:jc w:val="both"/>
        <w:rPr>
          <w:rFonts w:eastAsia="Times New Roman" w:cs="Times New Roman"/>
          <w:noProof/>
          <w:lang w:val="bg-BG"/>
        </w:rPr>
      </w:pPr>
      <w:r w:rsidRPr="00782BF9">
        <w:rPr>
          <w:noProof/>
          <w:lang w:val="bg-BG"/>
        </w:rPr>
        <w:t>Повишаване на осведомеността и образование, насочени към развитието на енергийните общности;</w:t>
      </w:r>
    </w:p>
    <w:p w14:paraId="3D146C03" w14:textId="77777777" w:rsidR="00CE3BAD" w:rsidRPr="00782BF9" w:rsidRDefault="006B5475">
      <w:pPr>
        <w:pStyle w:val="P68B1DB1-Normal4"/>
        <w:numPr>
          <w:ilvl w:val="0"/>
          <w:numId w:val="48"/>
        </w:numPr>
        <w:spacing w:before="120" w:after="120" w:line="240" w:lineRule="auto"/>
        <w:contextualSpacing/>
        <w:jc w:val="both"/>
        <w:rPr>
          <w:rFonts w:eastAsia="Calibri" w:cs="Times New Roman"/>
          <w:noProof/>
          <w:lang w:val="bg-BG"/>
        </w:rPr>
      </w:pPr>
      <w:r w:rsidRPr="00782BF9">
        <w:rPr>
          <w:noProof/>
          <w:lang w:val="bg-BG"/>
        </w:rPr>
        <w:t>Създаване на обслужване на едно гише за улесняване на достъпа до финансиране и информация, включително насоки и фиктивни документи за законното създаване на енергийни общности.</w:t>
      </w:r>
    </w:p>
    <w:p w14:paraId="53808748"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Изменените правила прилагат принципа на отворено участие, не ограничават неоправдано колективното потребление и производство на собствена електроенергия, нито въвеждат каквито и да било ограничения въз основа на размера или географията.</w:t>
      </w:r>
    </w:p>
    <w:p w14:paraId="04D2A6FB"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30 юни 2024 г.</w:t>
      </w:r>
    </w:p>
    <w:p w14:paraId="205CAC26" w14:textId="77777777" w:rsidR="00CE3BAD" w:rsidRPr="00782BF9" w:rsidRDefault="00CE3BAD">
      <w:pPr>
        <w:spacing w:before="120" w:after="120" w:line="240" w:lineRule="auto"/>
        <w:jc w:val="both"/>
        <w:rPr>
          <w:rFonts w:ascii="Times New Roman" w:eastAsia="Times New Roman" w:hAnsi="Times New Roman" w:cs="Times New Roman"/>
          <w:noProof/>
          <w:sz w:val="24"/>
          <w:u w:val="single"/>
          <w:lang w:val="bg-BG"/>
        </w:rPr>
      </w:pPr>
    </w:p>
    <w:p w14:paraId="1E44F3CA"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C10.R8: Правни стимули за използване на съхранението на енергия</w:t>
      </w:r>
    </w:p>
    <w:p w14:paraId="564958E2"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Тази мярка има за цел създаването на всеобхватна регулаторна рамка за съхранението на енергия след публикуването на анализ на съществуващите регулаторни пречки пред внедряването на решения за съхранение на енергия. Мярката опростява процеса и изискванията за присъединяване към мрежата и експлоатация на активите за акумулиране на енергия. Реформата определя списъка на пазарните услуги и техните условия, които могат да бъдат предоставени от операторите за съхранение на енергия, и включва приемането на национален план за съхранение на енергия и гъвкавост при неизкопаеми горива.</w:t>
      </w:r>
    </w:p>
    <w:p w14:paraId="56E3C166"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Приетата регулаторна рамка обхваща най-малко:</w:t>
      </w:r>
    </w:p>
    <w:p w14:paraId="7A7F4416" w14:textId="77777777" w:rsidR="00CE3BAD" w:rsidRPr="00782BF9" w:rsidRDefault="006B5475">
      <w:pPr>
        <w:pStyle w:val="P68B1DB1-Normal4"/>
        <w:numPr>
          <w:ilvl w:val="0"/>
          <w:numId w:val="49"/>
        </w:numPr>
        <w:spacing w:before="120" w:after="120" w:line="240" w:lineRule="auto"/>
        <w:contextualSpacing/>
        <w:jc w:val="both"/>
        <w:rPr>
          <w:rFonts w:eastAsia="Calibri" w:cs="Times New Roman"/>
          <w:noProof/>
          <w:lang w:val="bg-BG"/>
        </w:rPr>
      </w:pPr>
      <w:r w:rsidRPr="00782BF9">
        <w:rPr>
          <w:noProof/>
          <w:lang w:val="bg-BG"/>
        </w:rPr>
        <w:t>достъпа до мрежата за съоръженията за съхранение, включително процедурите за издаване на разрешения и планиране;</w:t>
      </w:r>
    </w:p>
    <w:p w14:paraId="7F63FE9E" w14:textId="77777777" w:rsidR="00CE3BAD" w:rsidRPr="00782BF9" w:rsidRDefault="006B5475">
      <w:pPr>
        <w:pStyle w:val="P68B1DB1-Normal4"/>
        <w:numPr>
          <w:ilvl w:val="0"/>
          <w:numId w:val="49"/>
        </w:numPr>
        <w:spacing w:before="120" w:after="120" w:line="240" w:lineRule="auto"/>
        <w:contextualSpacing/>
        <w:jc w:val="both"/>
        <w:rPr>
          <w:rFonts w:eastAsia="Times New Roman" w:cs="Times New Roman"/>
          <w:noProof/>
          <w:lang w:val="bg-BG"/>
        </w:rPr>
      </w:pPr>
      <w:r w:rsidRPr="00782BF9">
        <w:rPr>
          <w:noProof/>
          <w:lang w:val="bg-BG"/>
        </w:rPr>
        <w:t>методика и условия за достъп и присъединяване към преносните и разпределителните мрежи на съоръжения за производство на електроенергия;</w:t>
      </w:r>
    </w:p>
    <w:p w14:paraId="3A2BF2B4" w14:textId="77777777" w:rsidR="00CE3BAD" w:rsidRPr="00782BF9" w:rsidRDefault="006B5475">
      <w:pPr>
        <w:pStyle w:val="P68B1DB1-Normal4"/>
        <w:numPr>
          <w:ilvl w:val="0"/>
          <w:numId w:val="49"/>
        </w:numPr>
        <w:spacing w:before="120" w:after="120" w:line="240" w:lineRule="auto"/>
        <w:contextualSpacing/>
        <w:jc w:val="both"/>
        <w:rPr>
          <w:rFonts w:eastAsia="Times New Roman" w:cs="Times New Roman"/>
          <w:noProof/>
          <w:lang w:val="bg-BG"/>
        </w:rPr>
      </w:pPr>
      <w:r w:rsidRPr="00782BF9">
        <w:rPr>
          <w:noProof/>
          <w:lang w:val="bg-BG"/>
        </w:rPr>
        <w:t>участието на съоръжения за съхраняване на енергия в предоставянето на спомагателни услуги;</w:t>
      </w:r>
    </w:p>
    <w:p w14:paraId="430AAE3E" w14:textId="77777777" w:rsidR="00CE3BAD" w:rsidRPr="00782BF9" w:rsidRDefault="006B5475">
      <w:pPr>
        <w:pStyle w:val="P68B1DB1-Normal4"/>
        <w:numPr>
          <w:ilvl w:val="0"/>
          <w:numId w:val="49"/>
        </w:numPr>
        <w:spacing w:before="120" w:after="120" w:line="240" w:lineRule="auto"/>
        <w:contextualSpacing/>
        <w:jc w:val="both"/>
        <w:rPr>
          <w:rFonts w:eastAsia="Times New Roman" w:cs="Times New Roman"/>
          <w:noProof/>
          <w:lang w:val="bg-BG"/>
        </w:rPr>
      </w:pPr>
      <w:r w:rsidRPr="00782BF9">
        <w:rPr>
          <w:noProof/>
          <w:lang w:val="bg-BG"/>
        </w:rPr>
        <w:t>Правата и задълженията на операторите на активи за съхранение на енергия, включително активните потребители, и изключването на двойното таксуване;</w:t>
      </w:r>
    </w:p>
    <w:p w14:paraId="0BCB6BF9" w14:textId="77777777" w:rsidR="00CE3BAD" w:rsidRPr="00782BF9" w:rsidRDefault="006B5475">
      <w:pPr>
        <w:pStyle w:val="P68B1DB1-Normal4"/>
        <w:numPr>
          <w:ilvl w:val="0"/>
          <w:numId w:val="49"/>
        </w:numPr>
        <w:spacing w:before="120" w:after="120" w:line="240" w:lineRule="auto"/>
        <w:contextualSpacing/>
        <w:jc w:val="both"/>
        <w:rPr>
          <w:rFonts w:eastAsia="Times New Roman" w:cs="Times New Roman"/>
          <w:noProof/>
          <w:lang w:val="bg-BG"/>
        </w:rPr>
      </w:pPr>
      <w:r w:rsidRPr="00782BF9">
        <w:rPr>
          <w:noProof/>
          <w:lang w:val="bg-BG"/>
        </w:rPr>
        <w:t>Предоставянето на договори за експлоатация на активи за акумулиране на енергия.</w:t>
      </w:r>
    </w:p>
    <w:p w14:paraId="15F9F511"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31 декември 2024 г.</w:t>
      </w:r>
    </w:p>
    <w:p w14:paraId="313B5D33" w14:textId="77777777" w:rsidR="00CE3BAD" w:rsidRPr="00782BF9" w:rsidRDefault="00CE3BAD">
      <w:pPr>
        <w:spacing w:before="120" w:after="120" w:line="240" w:lineRule="auto"/>
        <w:jc w:val="both"/>
        <w:rPr>
          <w:rFonts w:ascii="Times New Roman" w:eastAsia="Times New Roman" w:hAnsi="Times New Roman" w:cs="Times New Roman"/>
          <w:noProof/>
          <w:sz w:val="24"/>
          <w:u w:val="single"/>
          <w:lang w:val="bg-BG"/>
        </w:rPr>
      </w:pPr>
    </w:p>
    <w:p w14:paraId="4D734711"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C10.R9: Осигуряване на правна рамка за водорода от възобновяеми източници</w:t>
      </w:r>
    </w:p>
    <w:p w14:paraId="5A7A3356"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Целта на тази реформа е да се коригира националната правна рамка, за да се насърчи развитието на екосистема за водород от възобновяеми източници в Унгария в съответствие със стратегията на ЕС за водорода, съсредоточена по-специално върху вътрешното производство на водород от възобновяеми източници, като основните резултати са промишлеността и секторите на тежкотоварния транспорт.  </w:t>
      </w:r>
    </w:p>
    <w:p w14:paraId="1D10541E"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Реформата има за цел да стимулира навлизането на водород от възобновяеми източници в промишления сектор и трябва да бъде приведена в съответствие с целите на Закона за енергията от възобновяеми източници в промишлеността. Мерките създават благоприятни условия за навлизането на водород в транспортния сектор, по-специално за увеличаване на разгръщането на станции за презареждане с водород и използването на водород от възобновяеми източници. Условията за производство на водород от възобновяеми източници се привеждат в съответствие с Делегиран акт (ЕС) 2023/1184 относно методика за възобновяемите горива от небиологичен произход и Делегиран акт (ЕС) 2023/1185 относно минимален праг за намаляване на емисиите на парникови газове от рециклирани въглеродни горива.</w:t>
      </w:r>
    </w:p>
    <w:p w14:paraId="1677CFA1"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Като част от реформата заедно със заинтересованите страни се установяват значителни законодателни пропуски и административни пречки пред екосистемата на водорода от възобновяеми източници и те се отстраняват чрез приемането на законодателен пакет относно водорода от възобновяеми източници и съпътстващ незаконодателен пакет.  </w:t>
      </w:r>
    </w:p>
    <w:p w14:paraId="0D6506F8"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30 септември 2024 г.</w:t>
      </w:r>
    </w:p>
    <w:p w14:paraId="77C90366" w14:textId="77777777" w:rsidR="00CE3BAD" w:rsidRPr="00782BF9" w:rsidRDefault="00CE3BAD">
      <w:pPr>
        <w:spacing w:before="120" w:after="0" w:line="240" w:lineRule="auto"/>
        <w:jc w:val="both"/>
        <w:rPr>
          <w:rFonts w:ascii="Times New Roman" w:eastAsia="Times New Roman" w:hAnsi="Times New Roman" w:cs="Times New Roman"/>
          <w:noProof/>
          <w:sz w:val="19"/>
          <w:lang w:val="bg-BG"/>
        </w:rPr>
      </w:pPr>
    </w:p>
    <w:p w14:paraId="75945FCE" w14:textId="77777777" w:rsidR="00CE3BAD" w:rsidRPr="00782BF9" w:rsidRDefault="006B5475">
      <w:pPr>
        <w:pStyle w:val="P68B1DB1-Normal2"/>
        <w:spacing w:before="120" w:after="120" w:line="240" w:lineRule="auto"/>
        <w:jc w:val="both"/>
        <w:rPr>
          <w:rFonts w:eastAsia="Times New Roman" w:cs="Times New Roman"/>
          <w:noProof/>
          <w:u w:val="single"/>
          <w:lang w:val="bg-BG"/>
        </w:rPr>
      </w:pPr>
      <w:r w:rsidRPr="00782BF9">
        <w:rPr>
          <w:noProof/>
          <w:lang w:val="bg-BG"/>
        </w:rPr>
        <w:t>C10.R10: Разработване на стратегия и план за действие за биогаза и биометана</w:t>
      </w:r>
    </w:p>
    <w:p w14:paraId="582C5680"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Реформата има за цел разработването на стратегия и план за действие за насърчаване на навлизането на устойчиво производство на биогаз и биометан. Стратегията е в съответствие с плана за действие на REPowerEU за биометан и с Директивата за енергията от възобновяеми източници II (RED II). Той обхваща следните елементи: </w:t>
      </w:r>
    </w:p>
    <w:p w14:paraId="37FF3F4C" w14:textId="77777777" w:rsidR="00CE3BAD" w:rsidRPr="00782BF9" w:rsidRDefault="006B5475">
      <w:pPr>
        <w:pStyle w:val="P68B1DB1-Normal4"/>
        <w:numPr>
          <w:ilvl w:val="0"/>
          <w:numId w:val="72"/>
        </w:numPr>
        <w:spacing w:before="120" w:after="0" w:line="240" w:lineRule="auto"/>
        <w:contextualSpacing/>
        <w:jc w:val="both"/>
        <w:rPr>
          <w:rFonts w:eastAsia="Calibri" w:cs="Times New Roman"/>
          <w:strike/>
          <w:noProof/>
          <w:lang w:val="bg-BG"/>
        </w:rPr>
      </w:pPr>
      <w:r w:rsidRPr="00782BF9">
        <w:rPr>
          <w:noProof/>
          <w:lang w:val="bg-BG"/>
        </w:rPr>
        <w:t>потенциала за устойчиви изходни суровини за анаеробно разграждане и газификация за производство на биогаз и биометан, включително модернизиране на съществуващите инсталации за комбинирано производство на биогаз с инсталации за модернизиране на биометана (доставка) с потенциална употреба;</w:t>
      </w:r>
    </w:p>
    <w:p w14:paraId="562C156F" w14:textId="77777777" w:rsidR="00CE3BAD" w:rsidRPr="00782BF9" w:rsidRDefault="006B5475">
      <w:pPr>
        <w:pStyle w:val="P68B1DB1-Normal4"/>
        <w:numPr>
          <w:ilvl w:val="0"/>
          <w:numId w:val="72"/>
        </w:numPr>
        <w:spacing w:before="120" w:after="0" w:line="240" w:lineRule="auto"/>
        <w:contextualSpacing/>
        <w:jc w:val="both"/>
        <w:rPr>
          <w:rFonts w:eastAsia="Calibri" w:cs="Times New Roman"/>
          <w:noProof/>
          <w:lang w:val="bg-BG"/>
        </w:rPr>
      </w:pPr>
      <w:r w:rsidRPr="00782BF9">
        <w:rPr>
          <w:noProof/>
          <w:lang w:val="bg-BG"/>
        </w:rPr>
        <w:t>оценка на възможните количества и употреби на ферментационния продукт и биогенния CO2 от потенциала за устойчив биогаз и биометан;</w:t>
      </w:r>
    </w:p>
    <w:p w14:paraId="743F2075" w14:textId="77777777" w:rsidR="00CE3BAD" w:rsidRPr="00782BF9" w:rsidRDefault="006B5475">
      <w:pPr>
        <w:pStyle w:val="P68B1DB1-Normal4"/>
        <w:numPr>
          <w:ilvl w:val="0"/>
          <w:numId w:val="72"/>
        </w:numPr>
        <w:spacing w:before="120" w:after="0" w:line="240" w:lineRule="auto"/>
        <w:contextualSpacing/>
        <w:jc w:val="both"/>
        <w:rPr>
          <w:rFonts w:eastAsia="Calibri" w:cs="Times New Roman"/>
          <w:noProof/>
          <w:lang w:val="bg-BG"/>
        </w:rPr>
      </w:pPr>
      <w:r w:rsidRPr="00782BF9">
        <w:rPr>
          <w:noProof/>
          <w:lang w:val="bg-BG"/>
        </w:rPr>
        <w:t>идентифициране и премахване на пречките, които понастоящем ограничават впръскването</w:t>
      </w:r>
      <w:r w:rsidRPr="00782BF9">
        <w:rPr>
          <w:noProof/>
          <w:color w:val="FF0000"/>
          <w:lang w:val="bg-BG"/>
        </w:rPr>
        <w:t xml:space="preserve"> </w:t>
      </w:r>
      <w:r w:rsidRPr="00782BF9">
        <w:rPr>
          <w:noProof/>
          <w:lang w:val="bg-BG"/>
        </w:rPr>
        <w:t>на устойчив биометан в газопреносната мрежа, използването на ферментационния продукт като местен източник на хранителни вещества и биогенен CO2;</w:t>
      </w:r>
    </w:p>
    <w:p w14:paraId="34CD203E" w14:textId="77777777" w:rsidR="00CE3BAD" w:rsidRPr="00782BF9" w:rsidRDefault="006B5475">
      <w:pPr>
        <w:pStyle w:val="P68B1DB1-Normal4"/>
        <w:numPr>
          <w:ilvl w:val="0"/>
          <w:numId w:val="72"/>
        </w:numPr>
        <w:spacing w:before="120" w:after="0" w:line="240" w:lineRule="auto"/>
        <w:contextualSpacing/>
        <w:jc w:val="both"/>
        <w:rPr>
          <w:rFonts w:eastAsia="Calibri" w:cs="Times New Roman"/>
          <w:noProof/>
          <w:lang w:val="bg-BG"/>
        </w:rPr>
      </w:pPr>
      <w:r w:rsidRPr="00782BF9">
        <w:rPr>
          <w:noProof/>
          <w:lang w:val="bg-BG"/>
        </w:rPr>
        <w:t>подобряване на бизнес модела за устойчиво производство на биометан чрез остойностяване на ферментационния продукт и биогенния CO2 с цел производство на биометан на най-конкурентната цена и възползване от емисиите на парникови газове в секторите извън СТЕ (селско стопанство);</w:t>
      </w:r>
    </w:p>
    <w:p w14:paraId="3C5AA831" w14:textId="77777777" w:rsidR="00CE3BAD" w:rsidRPr="00782BF9" w:rsidRDefault="006B5475">
      <w:pPr>
        <w:pStyle w:val="P68B1DB1-Normal4"/>
        <w:numPr>
          <w:ilvl w:val="0"/>
          <w:numId w:val="72"/>
        </w:numPr>
        <w:spacing w:before="120" w:after="0" w:line="240" w:lineRule="auto"/>
        <w:contextualSpacing/>
        <w:jc w:val="both"/>
        <w:rPr>
          <w:rFonts w:eastAsia="Calibri" w:cs="Times New Roman"/>
          <w:noProof/>
          <w:lang w:val="bg-BG"/>
        </w:rPr>
      </w:pPr>
      <w:r w:rsidRPr="00782BF9">
        <w:rPr>
          <w:noProof/>
          <w:lang w:val="bg-BG"/>
        </w:rPr>
        <w:t>набелязване на законодателните и финансовите мерки (за подкрепа) (напр. лицензиране), необходими за насърчаване на навлизането на устойчиво производство на биогаз и биометан, заедно с ферментационния продукт и биогенния CO2;</w:t>
      </w:r>
    </w:p>
    <w:p w14:paraId="7CF32615" w14:textId="77777777" w:rsidR="00CE3BAD" w:rsidRPr="00782BF9" w:rsidRDefault="006B5475">
      <w:pPr>
        <w:pStyle w:val="P68B1DB1-Normal4"/>
        <w:numPr>
          <w:ilvl w:val="0"/>
          <w:numId w:val="72"/>
        </w:numPr>
        <w:spacing w:before="120" w:after="0" w:line="240" w:lineRule="auto"/>
        <w:contextualSpacing/>
        <w:jc w:val="both"/>
        <w:rPr>
          <w:rFonts w:eastAsia="Calibri" w:cs="Times New Roman"/>
          <w:noProof/>
          <w:lang w:val="bg-BG"/>
        </w:rPr>
      </w:pPr>
      <w:r w:rsidRPr="00782BF9">
        <w:rPr>
          <w:noProof/>
          <w:lang w:val="bg-BG"/>
        </w:rPr>
        <w:t>изготвяне на план за действие за необходимите законодателни и незаконодателни мерки.</w:t>
      </w:r>
    </w:p>
    <w:p w14:paraId="1708DC02"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 Изпълнението на мярката трябва да приключи до 31 март 2024 г.</w:t>
      </w:r>
    </w:p>
    <w:p w14:paraId="49ECED40"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215696C1"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 xml:space="preserve">C10.R11: Подобряване на регулаторната рамка за геотермална енергия </w:t>
      </w:r>
    </w:p>
    <w:p w14:paraId="11E2302D"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Целта на тази реформа е да се подобри регулаторната рамка за проучването и използването на геотермална енергия и да се оптимизират геотермалните дейности по проучване и експлоатация в Унгария. Реформата има за цел да насърчи геотермалното проучване в областта на промишленото, градското и централното отопление с оглед на по-ниския геоложки риск, свързан с тях. </w:t>
      </w:r>
    </w:p>
    <w:p w14:paraId="2D5EDB75"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Реформата се състои от два етапа. В рамките на етап 1 Унгария публикува всеобхватен стратегически документ, в който се очертават предвидените стъпки на политиката за подобряване на регулаторната рамка за проучването и използването на геотермална енергия. Настоящият документ се основава на оценка на режима за лицензиране на геотермални проучвания, въведен през 2023 г. В рамките на етап 2 Унгария ще наблюдава изпълнението на политическите стъпки, очертани в стратегическия документ, публикуван на етап 1. Това включва, но не се ограничава до приемането на законодателство за оптимизиране на проучванията и експлоатацията на геотермална енергия. </w:t>
      </w:r>
    </w:p>
    <w:p w14:paraId="2B15D852"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31 декември 2024 г.</w:t>
      </w:r>
    </w:p>
    <w:p w14:paraId="001879D7" w14:textId="77777777" w:rsidR="00CE3BAD" w:rsidRPr="00782BF9" w:rsidRDefault="00CE3BAD">
      <w:pPr>
        <w:spacing w:before="120" w:after="120" w:line="240" w:lineRule="auto"/>
        <w:jc w:val="both"/>
        <w:rPr>
          <w:rFonts w:ascii="Times New Roman" w:eastAsia="Times New Roman" w:hAnsi="Times New Roman" w:cs="Times New Roman"/>
          <w:noProof/>
          <w:sz w:val="24"/>
          <w:u w:val="single"/>
          <w:lang w:val="bg-BG"/>
        </w:rPr>
      </w:pPr>
    </w:p>
    <w:p w14:paraId="4606DB7C" w14:textId="77777777" w:rsidR="00CE3BAD" w:rsidRPr="00782BF9" w:rsidRDefault="006B5475">
      <w:pPr>
        <w:pStyle w:val="P68B1DB1-Normal2"/>
        <w:spacing w:before="120" w:after="0" w:line="240" w:lineRule="auto"/>
        <w:jc w:val="both"/>
        <w:rPr>
          <w:rFonts w:eastAsia="Times New Roman" w:cs="Times New Roman"/>
          <w:noProof/>
          <w:lang w:val="bg-BG"/>
        </w:rPr>
      </w:pPr>
      <w:r w:rsidRPr="00782BF9">
        <w:rPr>
          <w:noProof/>
          <w:lang w:val="bg-BG"/>
        </w:rPr>
        <w:t>C10.R12: Подкрепа за заявленията на потенциалните бенефициери за финансирани от ЕС схеми за подпомагане на енергийната ефективност на жилищните сгради</w:t>
      </w:r>
    </w:p>
    <w:p w14:paraId="101F0E99" w14:textId="77777777" w:rsidR="00CE3BAD" w:rsidRPr="00782BF9" w:rsidRDefault="006B5475">
      <w:pPr>
        <w:pStyle w:val="P68B1DB1-Normal4"/>
        <w:spacing w:before="120" w:after="0" w:line="240" w:lineRule="auto"/>
        <w:jc w:val="both"/>
        <w:rPr>
          <w:rFonts w:eastAsia="Times New Roman" w:cs="Times New Roman"/>
          <w:noProof/>
          <w:lang w:val="bg-BG"/>
        </w:rPr>
      </w:pPr>
      <w:r w:rsidRPr="00782BF9">
        <w:rPr>
          <w:noProof/>
          <w:lang w:val="bg-BG"/>
        </w:rPr>
        <w:t>Целта на тази реформа е да се гарантира, че потенциалните бенефициери на схеми за подпомагане на енергийната ефективност, финансирани от всички фондове на ЕС, и по-специално уязвимите домакинства и домакинствата, живеещи в енергийна бедност, могат да се възползват от техническа помощ за изготвянето на своите заявления. По този начин тя има за цел да осигури еднакви условия на конкуренция между всички домакинства, които желаят да кандидатстват за такива схеми.</w:t>
      </w:r>
    </w:p>
    <w:p w14:paraId="127FCFF0" w14:textId="77777777" w:rsidR="00CE3BAD" w:rsidRPr="00782BF9" w:rsidRDefault="006B5475">
      <w:pPr>
        <w:pStyle w:val="P68B1DB1-Normal4"/>
        <w:spacing w:before="120" w:after="0" w:line="240" w:lineRule="auto"/>
        <w:jc w:val="both"/>
        <w:rPr>
          <w:rFonts w:eastAsia="Times New Roman" w:cs="Times New Roman"/>
          <w:noProof/>
          <w:lang w:val="bg-BG"/>
        </w:rPr>
      </w:pPr>
      <w:r w:rsidRPr="00782BF9">
        <w:rPr>
          <w:noProof/>
          <w:lang w:val="bg-BG"/>
        </w:rPr>
        <w:t>В резултат на тази реформа домакинствата, които желаят да кандидатстват за финансова подкрепа по финансирани от ЕС схеми за подпомагане на енергийната ефективност на жилищните сгради, имат достъп до помощ от един от следните участници:</w:t>
      </w:r>
    </w:p>
    <w:p w14:paraId="4C58E12F" w14:textId="77777777" w:rsidR="00CE3BAD" w:rsidRPr="00782BF9" w:rsidRDefault="006B5475">
      <w:pPr>
        <w:pStyle w:val="P68B1DB1-Normal4"/>
        <w:numPr>
          <w:ilvl w:val="0"/>
          <w:numId w:val="62"/>
        </w:numPr>
        <w:spacing w:before="120" w:after="0" w:line="240" w:lineRule="auto"/>
        <w:jc w:val="both"/>
        <w:rPr>
          <w:rFonts w:eastAsia="Times New Roman" w:cs="Times New Roman"/>
          <w:noProof/>
          <w:lang w:val="bg-BG"/>
        </w:rPr>
      </w:pPr>
      <w:r w:rsidRPr="00782BF9">
        <w:rPr>
          <w:noProof/>
          <w:lang w:val="bg-BG"/>
        </w:rPr>
        <w:t>организация по схемата за задължения за енергийна ефективност (СЗЕЕ) или предприятие по ESCO;</w:t>
      </w:r>
    </w:p>
    <w:p w14:paraId="08C3AE5B" w14:textId="77777777" w:rsidR="00CE3BAD" w:rsidRPr="00782BF9" w:rsidRDefault="006B5475">
      <w:pPr>
        <w:pStyle w:val="P68B1DB1-Normal4"/>
        <w:numPr>
          <w:ilvl w:val="0"/>
          <w:numId w:val="62"/>
        </w:numPr>
        <w:spacing w:before="120" w:after="0" w:line="240" w:lineRule="auto"/>
        <w:jc w:val="both"/>
        <w:rPr>
          <w:rFonts w:eastAsia="Times New Roman" w:cs="Times New Roman"/>
          <w:noProof/>
          <w:lang w:val="bg-BG"/>
        </w:rPr>
      </w:pPr>
      <w:r w:rsidRPr="00782BF9">
        <w:rPr>
          <w:noProof/>
          <w:lang w:val="bg-BG"/>
        </w:rPr>
        <w:t>обслужване на едно гише, създадено от неправителствена организация или друг субект, който предоставя подготвителни услуги за инсталирането на системи за основно саниране и/или отопление с енергия от възобновяеми източници. Тези организации трябва да имат съответен професионален опит в областта на санирането с цел енергийна ефективност и/или енергийната бедност;</w:t>
      </w:r>
    </w:p>
    <w:p w14:paraId="56048A36" w14:textId="77777777" w:rsidR="00CE3BAD" w:rsidRPr="00782BF9" w:rsidRDefault="006B5475">
      <w:pPr>
        <w:pStyle w:val="P68B1DB1-Normal4"/>
        <w:numPr>
          <w:ilvl w:val="0"/>
          <w:numId w:val="62"/>
        </w:numPr>
        <w:spacing w:before="120" w:after="0" w:line="240" w:lineRule="auto"/>
        <w:jc w:val="both"/>
        <w:rPr>
          <w:rFonts w:eastAsia="Times New Roman" w:cs="Times New Roman"/>
          <w:noProof/>
          <w:lang w:val="bg-BG"/>
        </w:rPr>
      </w:pPr>
      <w:r w:rsidRPr="00782BF9">
        <w:rPr>
          <w:noProof/>
          <w:lang w:val="bg-BG"/>
        </w:rPr>
        <w:t>енергийни експерти, регистрирани в Унгарската камара на инженерите или Унгарската камара на архитектите, които имат право да издават сертификати за енергийни характеристики (СЕХ) за сгради.</w:t>
      </w:r>
    </w:p>
    <w:p w14:paraId="07371974" w14:textId="77777777" w:rsidR="00CE3BAD" w:rsidRPr="00782BF9" w:rsidRDefault="006B5475">
      <w:pPr>
        <w:pStyle w:val="P68B1DB1-Normal4"/>
        <w:spacing w:before="120" w:after="0" w:line="240" w:lineRule="auto"/>
        <w:jc w:val="both"/>
        <w:rPr>
          <w:rFonts w:eastAsia="Times New Roman" w:cs="Times New Roman"/>
          <w:noProof/>
          <w:lang w:val="bg-BG"/>
        </w:rPr>
      </w:pPr>
      <w:r w:rsidRPr="00782BF9">
        <w:rPr>
          <w:noProof/>
          <w:lang w:val="bg-BG"/>
        </w:rPr>
        <w:t>Подготовката на заявленията на домакинствата се отнася както до финансовите, така и до техническите аспекти. Тя включва, без да се ограничава до тях, следните елементи:</w:t>
      </w:r>
    </w:p>
    <w:p w14:paraId="67D836D4" w14:textId="77777777" w:rsidR="00CE3BAD" w:rsidRPr="00782BF9" w:rsidRDefault="006B5475">
      <w:pPr>
        <w:pStyle w:val="P68B1DB1-Normal4"/>
        <w:numPr>
          <w:ilvl w:val="0"/>
          <w:numId w:val="62"/>
        </w:numPr>
        <w:spacing w:before="120" w:after="0" w:line="240" w:lineRule="auto"/>
        <w:jc w:val="both"/>
        <w:rPr>
          <w:rFonts w:eastAsia="Times New Roman" w:cs="Times New Roman"/>
          <w:noProof/>
          <w:lang w:val="bg-BG"/>
        </w:rPr>
      </w:pPr>
      <w:r w:rsidRPr="00782BF9">
        <w:rPr>
          <w:noProof/>
          <w:lang w:val="bg-BG"/>
        </w:rPr>
        <w:t>удостоверяване, че потенциалните бенефициери отговарят на условията за получаване на подпомагане;</w:t>
      </w:r>
    </w:p>
    <w:p w14:paraId="6CBC4BFD" w14:textId="77777777" w:rsidR="00CE3BAD" w:rsidRPr="00782BF9" w:rsidRDefault="006B5475">
      <w:pPr>
        <w:pStyle w:val="P68B1DB1-Normal4"/>
        <w:numPr>
          <w:ilvl w:val="0"/>
          <w:numId w:val="62"/>
        </w:numPr>
        <w:spacing w:before="120" w:after="0" w:line="240" w:lineRule="auto"/>
        <w:jc w:val="both"/>
        <w:rPr>
          <w:rFonts w:eastAsia="Times New Roman" w:cs="Times New Roman"/>
          <w:noProof/>
          <w:lang w:val="bg-BG"/>
        </w:rPr>
      </w:pPr>
      <w:r w:rsidRPr="00782BF9">
        <w:rPr>
          <w:noProof/>
          <w:lang w:val="bg-BG"/>
        </w:rPr>
        <w:t>подпомагане на потенциалните бенефициери при предоставянето на доказателства за спазване на съответните разпоредби на националното законодателство и законодателството на ЕС;</w:t>
      </w:r>
    </w:p>
    <w:p w14:paraId="0EBC151C" w14:textId="77777777" w:rsidR="00CE3BAD" w:rsidRPr="00782BF9" w:rsidRDefault="006B5475">
      <w:pPr>
        <w:pStyle w:val="P68B1DB1-Normal4"/>
        <w:numPr>
          <w:ilvl w:val="0"/>
          <w:numId w:val="62"/>
        </w:numPr>
        <w:spacing w:before="120" w:after="0" w:line="240" w:lineRule="auto"/>
        <w:jc w:val="both"/>
        <w:rPr>
          <w:rFonts w:eastAsia="Times New Roman" w:cs="Times New Roman"/>
          <w:noProof/>
          <w:lang w:val="bg-BG"/>
        </w:rPr>
      </w:pPr>
      <w:r w:rsidRPr="00782BF9">
        <w:rPr>
          <w:noProof/>
          <w:lang w:val="bg-BG"/>
        </w:rPr>
        <w:t>мониторинг на успешното изпълнение на инвестиционния проект чрез СЕХ.</w:t>
      </w:r>
    </w:p>
    <w:p w14:paraId="608291BC"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30 юни 2024 г.</w:t>
      </w:r>
    </w:p>
    <w:p w14:paraId="0C1DCCD7" w14:textId="77777777" w:rsidR="00CE3BAD" w:rsidRPr="00782BF9" w:rsidRDefault="00CE3BAD">
      <w:pPr>
        <w:spacing w:before="120" w:after="120" w:line="240" w:lineRule="auto"/>
        <w:jc w:val="both"/>
        <w:rPr>
          <w:rFonts w:ascii="Times New Roman" w:eastAsia="Times New Roman" w:hAnsi="Times New Roman" w:cs="Times New Roman"/>
          <w:noProof/>
          <w:sz w:val="24"/>
          <w:u w:val="single"/>
          <w:lang w:val="bg-BG"/>
        </w:rPr>
      </w:pPr>
    </w:p>
    <w:p w14:paraId="6E480B07"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C10.R13: Национална стратегия за развитие на „зелени“ умения</w:t>
      </w:r>
    </w:p>
    <w:p w14:paraId="5CDBEADA"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Реформата има за цел да подготви стратегия и конкретни действия за развитие на „зелени“ умения за настоящата и бъдещата работна сила, както и да повиши обществената осведоменост за екологичния преход.</w:t>
      </w:r>
    </w:p>
    <w:p w14:paraId="7BCD88D4" w14:textId="77777777" w:rsidR="00CE3BAD" w:rsidRPr="00782BF9" w:rsidRDefault="006B5475">
      <w:pPr>
        <w:pStyle w:val="P68B1DB1-Normal4"/>
        <w:spacing w:before="120" w:after="120" w:line="240" w:lineRule="auto"/>
        <w:jc w:val="both"/>
        <w:rPr>
          <w:rFonts w:eastAsia="MS Mincho" w:cs="Times New Roman"/>
          <w:noProof/>
          <w:lang w:val="bg-BG"/>
        </w:rPr>
      </w:pPr>
      <w:r w:rsidRPr="00782BF9">
        <w:rPr>
          <w:noProof/>
          <w:lang w:val="bg-BG"/>
        </w:rPr>
        <w:t xml:space="preserve">Като част от реформата ще влязат в сила правителствено решение относно националната стратегия за уменията за екологичния преход като част от националния план в областта на енергетиката и климата на Унгария и план за действие за периода 2025—2027 г. за изпълнението на стратегията. Стратегията предоставя стратегическа рамка за политиката за развитие на „зелени“ умения, като определя цели, мерки и показатели за наблюдение на напредъка в изпълнението на стратегията. </w:t>
      </w:r>
    </w:p>
    <w:p w14:paraId="170732D7"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По проекта за национална стратегия и план за действие се провежда обществена консултация с участието на всички ключови заинтересовани страни и социални партньори. Публикува се и доклад за напредъка по изпълнението на националната стратегия и на свързания с нея план за действие. В доклада се оценява напредъкът към постигане на целите на политиката и показателите, определени в стратегията. </w:t>
      </w:r>
    </w:p>
    <w:p w14:paraId="0A362578" w14:textId="77777777" w:rsidR="00CE3BAD" w:rsidRPr="00782BF9" w:rsidRDefault="006B5475">
      <w:pPr>
        <w:pStyle w:val="P68B1DB1-Normal4"/>
        <w:spacing w:before="120" w:after="0" w:line="257" w:lineRule="auto"/>
        <w:jc w:val="both"/>
        <w:rPr>
          <w:rFonts w:eastAsia="MS Mincho" w:cs="Times New Roman"/>
          <w:noProof/>
          <w:lang w:val="bg-BG"/>
        </w:rPr>
      </w:pPr>
      <w:r w:rsidRPr="00782BF9">
        <w:rPr>
          <w:noProof/>
          <w:lang w:val="bg-BG"/>
        </w:rPr>
        <w:t>Изпълнението на мярката трябва да приключи до 30 юни 2026 г.</w:t>
      </w:r>
    </w:p>
    <w:p w14:paraId="5A482B62"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1DB530AF" w14:textId="7B4B4171" w:rsidR="00CE3BAD" w:rsidRPr="00782BF9" w:rsidRDefault="005975D2">
      <w:pPr>
        <w:pStyle w:val="P68B1DB1-Normal2"/>
        <w:spacing w:before="120" w:after="120" w:line="240" w:lineRule="auto"/>
        <w:jc w:val="both"/>
        <w:rPr>
          <w:rFonts w:eastAsia="Times New Roman"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1: Развитие на електроенергийната мрежа и цифровизация (заеми)</w:t>
      </w:r>
    </w:p>
    <w:p w14:paraId="4B197A7F" w14:textId="77777777" w:rsidR="00CE3BAD" w:rsidRPr="00782BF9" w:rsidRDefault="006B5475">
      <w:pPr>
        <w:pStyle w:val="P68B1DB1-Normal4"/>
        <w:spacing w:after="0" w:line="257" w:lineRule="auto"/>
        <w:jc w:val="both"/>
        <w:rPr>
          <w:rFonts w:eastAsia="MS Mincho" w:cs="Times New Roman"/>
          <w:noProof/>
          <w:lang w:val="bg-BG"/>
        </w:rPr>
      </w:pPr>
      <w:r w:rsidRPr="00782BF9">
        <w:rPr>
          <w:noProof/>
          <w:lang w:val="bg-BG"/>
        </w:rPr>
        <w:t xml:space="preserve">Целта на инвестицията е да се подкрепи внедряването на енергия от възобновяеми източници чрез увеличаване на способността на електроенергийната мрежа да интегрира допълнително енергия от възобновяеми източници, да подобри електроенергийните връзки на потребителите и производителите, както и качеството на услугите, предлагани от системните оператори. </w:t>
      </w:r>
    </w:p>
    <w:p w14:paraId="2B7D3A92" w14:textId="77777777" w:rsidR="00CE3BAD" w:rsidRPr="00782BF9" w:rsidRDefault="006B5475">
      <w:pPr>
        <w:pStyle w:val="P68B1DB1-Normal4"/>
        <w:spacing w:after="0" w:line="257" w:lineRule="auto"/>
        <w:jc w:val="both"/>
        <w:rPr>
          <w:rFonts w:eastAsia="Times New Roman" w:cs="Times New Roman"/>
          <w:noProof/>
          <w:lang w:val="bg-BG"/>
        </w:rPr>
      </w:pPr>
      <w:r w:rsidRPr="00782BF9">
        <w:rPr>
          <w:noProof/>
          <w:lang w:val="bg-BG"/>
        </w:rPr>
        <w:t xml:space="preserve">Инвестицията подпомага четири вида интервенции, които са частично финансирани с безвъзмездна финансова подкрепа, както е описано по-горе, по инвестиционна мярка C10.I1 (безвъзмездни средства) в раздел Й.1. и отчасти със заеми. Описанието по-долу се отнася за частите от инвестициите, които се финансират със заеми: </w:t>
      </w:r>
    </w:p>
    <w:p w14:paraId="7E3CC41C" w14:textId="77777777" w:rsidR="00CE3BAD" w:rsidRPr="00782BF9" w:rsidRDefault="006B5475">
      <w:pPr>
        <w:pStyle w:val="P68B1DB1-Normal4"/>
        <w:numPr>
          <w:ilvl w:val="0"/>
          <w:numId w:val="47"/>
        </w:numPr>
        <w:spacing w:before="120" w:after="120" w:line="240" w:lineRule="auto"/>
        <w:contextualSpacing/>
        <w:jc w:val="both"/>
        <w:rPr>
          <w:rFonts w:eastAsia="Times New Roman" w:cs="Times New Roman"/>
          <w:noProof/>
          <w:lang w:val="bg-BG"/>
        </w:rPr>
      </w:pPr>
      <w:r w:rsidRPr="00782BF9">
        <w:rPr>
          <w:noProof/>
          <w:lang w:val="bg-BG"/>
        </w:rPr>
        <w:t>Развитието на цифровите технологии на равнището на системния оператор;</w:t>
      </w:r>
    </w:p>
    <w:p w14:paraId="7C3C548A" w14:textId="77777777" w:rsidR="00CE3BAD" w:rsidRPr="00782BF9" w:rsidRDefault="006B5475">
      <w:pPr>
        <w:pStyle w:val="P68B1DB1-Normal4"/>
        <w:numPr>
          <w:ilvl w:val="0"/>
          <w:numId w:val="47"/>
        </w:numPr>
        <w:spacing w:before="120" w:after="120" w:line="240" w:lineRule="auto"/>
        <w:contextualSpacing/>
        <w:jc w:val="both"/>
        <w:rPr>
          <w:rFonts w:eastAsia="Times New Roman" w:cs="Times New Roman"/>
          <w:noProof/>
          <w:lang w:val="bg-BG"/>
        </w:rPr>
      </w:pPr>
      <w:r w:rsidRPr="00782BF9">
        <w:rPr>
          <w:noProof/>
          <w:lang w:val="bg-BG"/>
        </w:rPr>
        <w:t>Подобряване на точността на прогнозата за времето;</w:t>
      </w:r>
    </w:p>
    <w:p w14:paraId="31842167" w14:textId="77777777" w:rsidR="00CE3BAD" w:rsidRPr="00782BF9" w:rsidRDefault="006B5475">
      <w:pPr>
        <w:pStyle w:val="P68B1DB1-Normal4"/>
        <w:numPr>
          <w:ilvl w:val="0"/>
          <w:numId w:val="47"/>
        </w:numPr>
        <w:spacing w:before="120" w:after="120" w:line="240" w:lineRule="auto"/>
        <w:contextualSpacing/>
        <w:jc w:val="both"/>
        <w:rPr>
          <w:rFonts w:eastAsia="Times New Roman" w:cs="Times New Roman"/>
          <w:noProof/>
          <w:lang w:val="bg-BG"/>
        </w:rPr>
      </w:pPr>
      <w:r w:rsidRPr="00782BF9">
        <w:rPr>
          <w:noProof/>
          <w:lang w:val="bg-BG"/>
        </w:rPr>
        <w:t>Развитие на класически и интелигентни мрежи за операторите на преносни системи и операторите на разпределителни системи;</w:t>
      </w:r>
    </w:p>
    <w:p w14:paraId="35023C38" w14:textId="77777777" w:rsidR="00CE3BAD" w:rsidRPr="00782BF9" w:rsidRDefault="006B5475">
      <w:pPr>
        <w:pStyle w:val="P68B1DB1-Normal4"/>
        <w:numPr>
          <w:ilvl w:val="0"/>
          <w:numId w:val="47"/>
        </w:numPr>
        <w:spacing w:before="120" w:after="120" w:line="240" w:lineRule="auto"/>
        <w:contextualSpacing/>
        <w:jc w:val="both"/>
        <w:rPr>
          <w:rFonts w:eastAsia="Times New Roman" w:cs="Times New Roman"/>
          <w:noProof/>
          <w:lang w:val="bg-BG"/>
        </w:rPr>
      </w:pPr>
      <w:r w:rsidRPr="00782BF9">
        <w:rPr>
          <w:noProof/>
          <w:lang w:val="bg-BG"/>
        </w:rPr>
        <w:t>Разпространение на интелигентни измервателни уреди.</w:t>
      </w:r>
    </w:p>
    <w:p w14:paraId="31CCF4FB" w14:textId="77777777" w:rsidR="00CE3BAD" w:rsidRPr="00782BF9" w:rsidRDefault="006B5475">
      <w:pPr>
        <w:pStyle w:val="P68B1DB1-Normal4"/>
        <w:spacing w:before="120" w:after="160" w:line="257" w:lineRule="auto"/>
        <w:jc w:val="both"/>
        <w:rPr>
          <w:rFonts w:eastAsia="Times New Roman" w:cs="Times New Roman"/>
          <w:noProof/>
          <w:lang w:val="bg-BG"/>
        </w:rPr>
      </w:pPr>
      <w:r w:rsidRPr="00782BF9">
        <w:rPr>
          <w:noProof/>
          <w:lang w:val="bg-BG"/>
        </w:rPr>
        <w:t xml:space="preserve">Поканата за представяне на предложения, поканите за приоритетни проекти и споразуменията за отпускане на безвъзмездни средства, свързани с подмерките по тази инвестиция, могат да бъдат отделни или обобщени за частите, финансирани от безвъзмездна финансова подкрепа и от заемите. </w:t>
      </w:r>
    </w:p>
    <w:p w14:paraId="6CB65F3E" w14:textId="77777777" w:rsidR="00CE3BAD" w:rsidRPr="00782BF9" w:rsidRDefault="00CE3BAD">
      <w:pPr>
        <w:spacing w:before="120" w:after="120" w:line="240" w:lineRule="auto"/>
        <w:jc w:val="both"/>
        <w:rPr>
          <w:rFonts w:ascii="Times New Roman" w:hAnsi="Times New Roman"/>
          <w:b/>
          <w:noProof/>
          <w:sz w:val="24"/>
          <w:lang w:val="bg-BG"/>
        </w:rPr>
      </w:pPr>
    </w:p>
    <w:p w14:paraId="1EDF0359" w14:textId="3020930E"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C10.I1a. Развитие на цифровите технологии на равнището на системния оператор (заеми)</w:t>
      </w:r>
    </w:p>
    <w:p w14:paraId="6C902FB7" w14:textId="77777777" w:rsidR="00CE3BAD" w:rsidRPr="00782BF9" w:rsidRDefault="006B5475">
      <w:pPr>
        <w:pStyle w:val="P68B1DB1-Normal4"/>
        <w:spacing w:before="120" w:after="0" w:line="257" w:lineRule="auto"/>
        <w:jc w:val="both"/>
        <w:rPr>
          <w:rFonts w:eastAsia="Times New Roman" w:cs="Times New Roman"/>
          <w:noProof/>
          <w:lang w:val="bg-BG"/>
        </w:rPr>
      </w:pPr>
      <w:r w:rsidRPr="00782BF9">
        <w:rPr>
          <w:noProof/>
          <w:lang w:val="bg-BG"/>
        </w:rPr>
        <w:t xml:space="preserve">Подмярката „Развитие на цифровите технологии в системния оператор“ има за цел да подкрепи използването на цифрови технологии в мрежовата инфраструктура и експлоатацията на електроенергийната мрежа, за да се отговори ефективно на предизвикателствата, произтичащи от зависимостта от различни енергийни източници, включително широкомащабното интегриране на възобновяеми енергийни източници в мрежата. Подмярката също така има за цел да подкрепи стабилността на мрежата и да подобри управлението на данните и киберсигурността. Подмярката, финансирана както по заемите, така и по линия на безвъзмездната подкрепа, трябва да допринася за постигането на тези цели. </w:t>
      </w:r>
    </w:p>
    <w:p w14:paraId="72837D22" w14:textId="77777777" w:rsidR="00CE3BAD" w:rsidRPr="00782BF9" w:rsidRDefault="006B5475">
      <w:pPr>
        <w:pStyle w:val="P68B1DB1-Normal4"/>
        <w:spacing w:before="120" w:after="0" w:line="257" w:lineRule="auto"/>
        <w:jc w:val="both"/>
        <w:rPr>
          <w:rFonts w:eastAsia="Times New Roman" w:cs="Times New Roman"/>
          <w:noProof/>
          <w:lang w:val="bg-BG"/>
        </w:rPr>
      </w:pPr>
      <w:r w:rsidRPr="00782BF9">
        <w:rPr>
          <w:noProof/>
          <w:lang w:val="bg-BG"/>
        </w:rPr>
        <w:t>Като част от подмярката финансирането, което се предоставя чрез покана за представяне на предложения, обхваща разработването и пускането в действие на развитието на инфраструктурата, като например системи за цифрово обслужване на клиенти, основна енергийна ИТ инфраструктура, информационни системи, поддържащи енергийни услуги, и/или системи за управление от страна на потребителите.  Общо шест цифрови разработки, свързани с мрежовата инфраструктура и/или експлоатацията на електроенергийната мрежа при системния оператор, се финансират от заемите, които са в допълнение към тези, финансирани по частта за безвъзмездна финансова подкрепа.</w:t>
      </w:r>
    </w:p>
    <w:p w14:paraId="396472B8" w14:textId="77777777" w:rsidR="00CE3BAD" w:rsidRPr="00782BF9" w:rsidRDefault="006B5475">
      <w:pPr>
        <w:pStyle w:val="P68B1DB1-Normal4"/>
        <w:spacing w:before="120" w:after="0" w:line="257" w:lineRule="auto"/>
        <w:jc w:val="both"/>
        <w:rPr>
          <w:rFonts w:eastAsia="Times New Roman" w:cs="Times New Roman"/>
          <w:noProof/>
          <w:lang w:val="bg-BG"/>
        </w:rPr>
      </w:pPr>
      <w:r w:rsidRPr="00782BF9">
        <w:rPr>
          <w:noProof/>
          <w:lang w:val="bg-BG"/>
        </w:rPr>
        <w:t>Изпълнението на подмярката трябва да приключи до 30 юни 2026 г.</w:t>
      </w:r>
    </w:p>
    <w:p w14:paraId="0A9924AC" w14:textId="77777777" w:rsidR="00CE3BAD" w:rsidRPr="00782BF9" w:rsidRDefault="00CE3BAD">
      <w:pPr>
        <w:spacing w:before="120" w:after="120" w:line="240" w:lineRule="auto"/>
        <w:jc w:val="both"/>
        <w:rPr>
          <w:rFonts w:ascii="Times New Roman" w:hAnsi="Times New Roman"/>
          <w:b/>
          <w:noProof/>
          <w:sz w:val="24"/>
          <w:lang w:val="bg-BG"/>
        </w:rPr>
      </w:pPr>
    </w:p>
    <w:p w14:paraId="5D91CFF0" w14:textId="2E303620"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C10.I1b. Подобряване на точността на прогнозата за времето (заеми)</w:t>
      </w:r>
    </w:p>
    <w:p w14:paraId="3DE314E3" w14:textId="77777777" w:rsidR="00CE3BAD" w:rsidRPr="00782BF9" w:rsidRDefault="006B5475">
      <w:pPr>
        <w:pStyle w:val="P68B1DB1-Normal4"/>
        <w:spacing w:before="120" w:after="0" w:line="257" w:lineRule="auto"/>
        <w:jc w:val="both"/>
        <w:rPr>
          <w:rFonts w:eastAsia="Times New Roman" w:cs="Times New Roman"/>
          <w:noProof/>
          <w:lang w:val="bg-BG"/>
        </w:rPr>
      </w:pPr>
      <w:r w:rsidRPr="00782BF9">
        <w:rPr>
          <w:noProof/>
          <w:lang w:val="bg-BG"/>
        </w:rPr>
        <w:t xml:space="preserve">Подмярката „Подобряване на точността на прогнозата за метеорологичните условия“ има за цел да подобри точността на оценката на производството на енергия от електроцентрали с възобновяема енергия, зависещи от метеорологичните условия, чрез инсталиране на 13 метеорологични станции в допълнение към финансираните по кредитната част. Данните и прогнозите, генерирани в резултат на инвестицията, се оповестяват публично както за участниците на енергийния пазар, така и за широката общественост. </w:t>
      </w:r>
    </w:p>
    <w:p w14:paraId="4BA5151E" w14:textId="77777777" w:rsidR="00CE3BAD" w:rsidRPr="00782BF9" w:rsidRDefault="006B5475">
      <w:pPr>
        <w:pStyle w:val="P68B1DB1-Normal4"/>
        <w:spacing w:before="120" w:after="0" w:line="257" w:lineRule="auto"/>
        <w:jc w:val="both"/>
        <w:rPr>
          <w:rFonts w:eastAsia="Times New Roman" w:cs="Times New Roman"/>
          <w:noProof/>
          <w:lang w:val="bg-BG"/>
        </w:rPr>
      </w:pPr>
      <w:r w:rsidRPr="00782BF9">
        <w:rPr>
          <w:noProof/>
          <w:lang w:val="bg-BG"/>
        </w:rPr>
        <w:t>Изпълнението на подмярката трябва да приключи до 30 юни 2026 г.</w:t>
      </w:r>
    </w:p>
    <w:p w14:paraId="1727F2C6" w14:textId="77777777" w:rsidR="00CE3BAD" w:rsidRPr="00782BF9" w:rsidRDefault="00CE3BAD">
      <w:pPr>
        <w:spacing w:before="120" w:after="120" w:line="240" w:lineRule="auto"/>
        <w:jc w:val="both"/>
        <w:rPr>
          <w:rFonts w:ascii="Times New Roman" w:eastAsia="Times New Roman" w:hAnsi="Times New Roman" w:cs="Times New Roman"/>
          <w:b/>
          <w:noProof/>
          <w:sz w:val="24"/>
          <w:lang w:val="bg-BG"/>
        </w:rPr>
      </w:pPr>
    </w:p>
    <w:p w14:paraId="7299455B" w14:textId="77777777" w:rsidR="00CE3BAD" w:rsidRPr="00782BF9" w:rsidRDefault="006B5475">
      <w:pPr>
        <w:pStyle w:val="P68B1DB1-Normal4"/>
        <w:spacing w:before="120" w:after="120" w:line="240" w:lineRule="auto"/>
        <w:jc w:val="both"/>
        <w:rPr>
          <w:rFonts w:eastAsia="Times New Roman" w:cs="Times New Roman"/>
          <w:b/>
          <w:noProof/>
          <w:lang w:val="bg-BG"/>
        </w:rPr>
      </w:pPr>
      <w:r w:rsidRPr="00782BF9">
        <w:rPr>
          <w:b/>
          <w:noProof/>
          <w:lang w:val="bg-BG"/>
        </w:rPr>
        <w:t>C10.I1c. Разширена мярка:</w:t>
      </w:r>
      <w:r w:rsidRPr="00782BF9">
        <w:rPr>
          <w:noProof/>
          <w:lang w:val="bg-BG"/>
        </w:rPr>
        <w:t xml:space="preserve"> </w:t>
      </w:r>
      <w:r w:rsidRPr="00782BF9">
        <w:rPr>
          <w:b/>
          <w:noProof/>
          <w:lang w:val="bg-BG"/>
        </w:rPr>
        <w:t>Класическо и интелигентно развитие на мрежи за операторите на преносни системи и операторите на разпределителни системи (заеми)</w:t>
      </w:r>
    </w:p>
    <w:p w14:paraId="7D06B36F" w14:textId="77777777" w:rsidR="00CE3BAD" w:rsidRPr="00782BF9" w:rsidRDefault="006B5475">
      <w:pPr>
        <w:pStyle w:val="P68B1DB1-Normal4"/>
        <w:spacing w:before="120" w:after="160" w:line="257" w:lineRule="auto"/>
        <w:jc w:val="both"/>
        <w:rPr>
          <w:rFonts w:eastAsia="Times New Roman" w:cs="Times New Roman"/>
          <w:noProof/>
          <w:lang w:val="bg-BG"/>
        </w:rPr>
      </w:pPr>
      <w:r w:rsidRPr="00782BF9">
        <w:rPr>
          <w:noProof/>
          <w:lang w:val="bg-BG"/>
        </w:rPr>
        <w:t xml:space="preserve">Целта на тази мярка е да се увеличат инвестициите C6.I1 „Развитие на класически и интелигентни мрежи за операторите на преносни системи и операторите на разпределителни системи“. Увеличената част от мярката води до възможност за интегриране към мрежата на допълнителен капацитет на електроцентралата, използваща възобновяеми енергийни източници от 426 MW, в допълнение към капацитета, финансиран от безвъзмездната подкрепа по C10.I1c (безвъзмездни средства) в раздел J.1. и като част от инвестицията C6.I1.  </w:t>
      </w:r>
    </w:p>
    <w:p w14:paraId="051EA170"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подмярката трябва да приключи до 30 юни 2026 г.</w:t>
      </w:r>
    </w:p>
    <w:p w14:paraId="0323FFC3"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1717868D" w14:textId="77777777" w:rsidR="00CE3BAD" w:rsidRPr="00782BF9" w:rsidRDefault="006B5475">
      <w:pPr>
        <w:pStyle w:val="P68B1DB1-Normal2"/>
        <w:spacing w:before="120" w:after="120" w:line="240" w:lineRule="auto"/>
        <w:jc w:val="both"/>
        <w:rPr>
          <w:rFonts w:eastAsia="Times New Roman" w:cs="Times New Roman"/>
          <w:noProof/>
          <w:lang w:val="bg-BG"/>
        </w:rPr>
      </w:pPr>
      <w:r w:rsidRPr="00782BF9">
        <w:rPr>
          <w:noProof/>
          <w:lang w:val="bg-BG"/>
        </w:rPr>
        <w:t>C10.I1d. Разширена мярка: Разпространение на интелигентни измервателни уреди (заеми)</w:t>
      </w:r>
    </w:p>
    <w:p w14:paraId="7C91973A" w14:textId="07C66EFD" w:rsidR="00CE3BAD" w:rsidRPr="00782BF9" w:rsidRDefault="006B5475">
      <w:pPr>
        <w:pStyle w:val="P68B1DB1-Normal4"/>
        <w:spacing w:before="120" w:after="0" w:line="257" w:lineRule="auto"/>
        <w:jc w:val="both"/>
        <w:rPr>
          <w:rFonts w:eastAsia="Times New Roman" w:cs="Times New Roman"/>
          <w:noProof/>
          <w:lang w:val="bg-BG"/>
        </w:rPr>
      </w:pPr>
      <w:r w:rsidRPr="00782BF9">
        <w:rPr>
          <w:noProof/>
          <w:lang w:val="bg-BG"/>
        </w:rPr>
        <w:t>Целта на тази мярка е да се увеличат инвестициите C6.I5 „Разпространяване на интелигентни измервателни уреди“. Увеличената част от мярката подпомага закупуването и инсталирането на 138 098 интелигентни измервателни уреди до 30 юни 2026 г. в допълнение към финансираните от безвъзмездната подкрепа по C10.I1d (безвъзмездни средства) в раздел Й.1.  и като част от инвестицията C6.I5.</w:t>
      </w:r>
    </w:p>
    <w:p w14:paraId="78639244" w14:textId="77777777" w:rsidR="00CE3BAD" w:rsidRPr="00782BF9" w:rsidRDefault="006B5475">
      <w:pPr>
        <w:pStyle w:val="P68B1DB1-Normal4"/>
        <w:spacing w:before="120" w:after="0" w:line="257" w:lineRule="auto"/>
        <w:jc w:val="both"/>
        <w:rPr>
          <w:rFonts w:eastAsia="Times New Roman" w:cs="Times New Roman"/>
          <w:noProof/>
          <w:lang w:val="bg-BG"/>
        </w:rPr>
      </w:pPr>
      <w:r w:rsidRPr="00782BF9">
        <w:rPr>
          <w:noProof/>
          <w:lang w:val="bg-BG"/>
        </w:rPr>
        <w:t>Изпълнението на подмярката трябва да приключи до 30 юни 2026 г.</w:t>
      </w:r>
    </w:p>
    <w:p w14:paraId="1EEF20D5"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56CB5508" w14:textId="14A4F0B5" w:rsidR="00CE3BAD" w:rsidRPr="00782BF9" w:rsidRDefault="005975D2">
      <w:pPr>
        <w:pStyle w:val="P68B1DB1-Normal2"/>
        <w:spacing w:before="120" w:after="120" w:line="240" w:lineRule="auto"/>
        <w:jc w:val="both"/>
        <w:rPr>
          <w:rFonts w:eastAsia="Times New Roman"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2: Екологизиране на промишлените, научните и технологичните и логистичните паркове за енергийни цели</w:t>
      </w:r>
    </w:p>
    <w:p w14:paraId="518A02F3"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Целта на тази мярка е да се декарбонизират дейностите на промишлените, научните, технологичните и логистичните паркове. Екологизирането се постига чрез внедряване на системи за енергия от възобновяеми източници, създаване на капацитет за съхранение на енергия от възобновяеми източници и системи за управление на енергията, развитие на мрежата от микромрежи и подобряване на енергийната ефективност на сградите и декарбонизация на промишлените процеси. Съпътстващите мерки за адаптиране към изменението на климата на сгради и обекти, като например използването на дъждовна и сива вода, са допустими по тази мярка.</w:t>
      </w:r>
    </w:p>
    <w:p w14:paraId="36A00576"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За да се гарантира, че мярката е в съответствие с принципа за ненанасяне на значителни вреди съгласно Механизма за възстановяване и устойчивост, определен в техническите насоки за НЗВ (2021/C58/01), критериите за допустимост в предстоящите покани за представяне на предложения изключват дейностите по схемата на ЕС за търговия с емисии (СТЕ), с които се постигат прогнозни емисии на парникови газове, които не са по-ниски от съответните референтни показатели. Когато с дейността се постигат прогнозни емисии на парникови газове, които не са значително по-ниски, но все още по-ниски от съответните параметри, следва да се предостави обяснение на причините, поради които това не е възможно. Референтните показатели, установени за безплатното разпределяне на квоти за дейности, попадат в обхвата на схемата за търговия с емисии, както е посочено в регламент за изпълнение (ЕС) 2021/447 на Комисията.  </w:t>
      </w:r>
    </w:p>
    <w:p w14:paraId="33FE49E6"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Геотермалните дейности не включват проучване или добив на нефт или газ. Не се закупува или използва оборудване за такива цели. Гарантира се, че изпускането на метан е сведено до минимум и остава значително под прага от 20 000 тона еквивалент на CO2 годишно. Дейностите в областта на биоенергията се основават само на устойчив биометан и производни в съответствие с ДЕВИ II.</w:t>
      </w:r>
    </w:p>
    <w:p w14:paraId="3D65C1B7"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 xml:space="preserve">Следните дейности не се подпомагат по мярката: внедряване на хибридни и газови термопомпи, газови котли. </w:t>
      </w:r>
    </w:p>
    <w:p w14:paraId="03C55610"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 xml:space="preserve">Изпълнението на мярката трябва да приключи до 30 юни 2026 г. </w:t>
      </w:r>
    </w:p>
    <w:p w14:paraId="4483495A" w14:textId="77777777" w:rsidR="00CE3BAD" w:rsidRPr="00782BF9" w:rsidRDefault="00CE3BAD">
      <w:pPr>
        <w:spacing w:before="120" w:after="120" w:line="240" w:lineRule="auto"/>
        <w:jc w:val="both"/>
        <w:rPr>
          <w:rFonts w:ascii="Times New Roman" w:eastAsia="Times New Roman" w:hAnsi="Times New Roman" w:cs="Times New Roman"/>
          <w:noProof/>
          <w:sz w:val="24"/>
          <w:u w:val="single"/>
          <w:lang w:val="bg-BG"/>
        </w:rPr>
      </w:pPr>
    </w:p>
    <w:p w14:paraId="7BA1DB9B" w14:textId="0482CAD2" w:rsidR="00CE3BAD" w:rsidRPr="00782BF9" w:rsidRDefault="005975D2">
      <w:pPr>
        <w:pStyle w:val="P68B1DB1-Normal2"/>
        <w:spacing w:before="120" w:after="120" w:line="240" w:lineRule="auto"/>
        <w:jc w:val="both"/>
        <w:rPr>
          <w:rFonts w:eastAsia="Calibri"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3: Изграждане на производствен капацитет на зелената икономика</w:t>
      </w:r>
    </w:p>
    <w:p w14:paraId="0B72C851"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Целта на тази мярка е да се подкрепи производството на стоки нагоре по веригата и подобряването на услугите, допринасящи за прехода към икономика с нулеви нетни емисии. Мярката увеличава и инициира производството на стоки и предоставянето на услуги от предприятията, пряко свързани с енергийния преход към икономика с нулеви нетни емисии. Тези интервенции се осъществяват чрез разработването на нови високоефективни и декарбонизирани или нисковъглеродни производствени съоръжения, научноизследователски, развойни и иновационни дейности, дейности за преквалификация и повишаване на квалификацията и/или разширяване, преобразуване и модернизиране на съществуващи съоръжения.</w:t>
      </w:r>
    </w:p>
    <w:p w14:paraId="4D7B7A68"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 xml:space="preserve">Дейностите, допустими за подпомагане по тази мярка, включват дейности, които увеличават или инициират производството на стоки и доставката на услуги за енергийния преход, като например системи за енергия от възобновяеми източници, решения за отопление, улавяне и съхранение на въглероден диоксид, пренос и разпределение на електроенергия, екологосъобразна мобилност, производство и използване на водород от възобновяеми източници, мерки за енергийна ефективност, мерки от страна на търсенето, както и умения и ИТ приложения. Избраните конкретни интервенции трябва да могат да се използват предимно само за дейности надолу по веригата, които имат съществен принос за смекчаване на изменението на климата съгласно член 10 от Регламент (ЕС) 2020/852. </w:t>
      </w:r>
    </w:p>
    <w:p w14:paraId="1513BD5A"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Поканата за представяне на предложения за изграждане на производствен капацитет за екологосъобразна икономика съдържа критерии за подбор, за да се гарантира спазването на техническите насоки за „ненанасяне на значителни вреди“ (2021/C58/01). За да се гарантира, че мярката е в съответствие с техническите насоки за „ненанасяне на значителни вреди“ (2021/C58/01), критериите за допустимост, съдържащи се в заданието за предстоящи покани за представяне на предложения, изключват следния списък с дейности: I) дейности в рамките на схемата на ЕС за търговия с емисии (СТЕ), с които се постигат прогнозни емисии на парникови газове, които не са по-ниски от съответните референтни показатели</w:t>
      </w:r>
      <w:r w:rsidRPr="00782BF9">
        <w:rPr>
          <w:noProof/>
          <w:lang w:val="bg-BG"/>
        </w:rPr>
        <w:footnoteReference w:id="10"/>
      </w:r>
      <w:r w:rsidRPr="00782BF9">
        <w:rPr>
          <w:noProof/>
          <w:lang w:val="bg-BG"/>
        </w:rPr>
        <w:t>; II) дейности, свързани с изкопаеми горива, включително използване надолу по веригата, извън системите за търговия с емисии (СТЕ)</w:t>
      </w:r>
      <w:r w:rsidRPr="00782BF9">
        <w:rPr>
          <w:noProof/>
          <w:lang w:val="bg-BG"/>
        </w:rPr>
        <w:footnoteReference w:id="11"/>
      </w:r>
      <w:r w:rsidRPr="00782BF9">
        <w:rPr>
          <w:noProof/>
          <w:lang w:val="bg-BG"/>
        </w:rPr>
        <w:t>. Освен това критериите за подбор изискват да могат да бъдат избирани само дейности, които отговарят на съответното законодателство на ЕС и национално законодателство в областта на околната среда.</w:t>
      </w:r>
    </w:p>
    <w:p w14:paraId="3153E9CE"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 xml:space="preserve">Изпълнението на мярката трябва да приключи до 30 юни 2026 г. </w:t>
      </w:r>
    </w:p>
    <w:p w14:paraId="7B3D61F1"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7CE36025" w14:textId="344BA94C" w:rsidR="00CE3BAD" w:rsidRPr="00782BF9" w:rsidRDefault="005975D2">
      <w:pPr>
        <w:pStyle w:val="P68B1DB1-Normal2"/>
        <w:spacing w:before="120" w:after="120" w:line="240" w:lineRule="auto"/>
        <w:jc w:val="both"/>
        <w:rPr>
          <w:rFonts w:eastAsia="Times New Roman"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4: Прилагане на екологосъобразни технологии за декарбонизация на промишлеността</w:t>
      </w:r>
    </w:p>
    <w:p w14:paraId="39EC668D"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Целта на тази мярка е да се предостави подкрепа за декарбонизацията на отраслите с висок въглероден интензитет. Чрез покана за представяне на предложения инвестициите подкрепят проекти, допринасящи за декарбонизацията на промишлените процеси, с незадължителна подкрепа и за благоприятстваща инфраструктура, свързана с подпомаганите съоръжения (по-специално цифрови системи за подпомагане и линии за производство на водород от възобновяеми източници). Допустимите дейности по тази мярка включват улавяне и съхранение на въглерод, производство на водород от възобновяеми източници и използване за декарбонизация на промишлеността, използване на остатъчна топлина, мерки за устойчива биоенергия, електрификация, замяна с цел повишаване на енергийната ефективност на инсталациите и свързаното с това внедряване на ИТ приложения.</w:t>
      </w:r>
    </w:p>
    <w:p w14:paraId="3D26F37C"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За да се гарантира, че мярката е в съответствие с принципа за ненанасяне на значителни вреди съгласно Механизма за възстановяване и устойчивост, определен в техническите насоки за НЗВ (2021/C58/01), критериите за допустимост в предстоящите покани за представяне на предложения изключват дейностите по схемата на ЕС за търговия с емисии (СТЕ), с които се постигат прогнозни емисии на парникови газове, които не са по-ниски от съответните референтни показатели. Когато с дейността се постигат прогнозни емисии на парникови газове, които не са значително по-ниски, но все още по-ниски от съответните параметри, следва да се предостави обяснение на причините, поради които това не е възможно. Референтните показатели, установени за безплатното разпределяне на квоти за дейности, попадат в обхвата на схемата за търговия с емисии, както е посочено в регламент за изпълнение (ЕС) 2021/447 на Комисията.</w:t>
      </w:r>
    </w:p>
    <w:p w14:paraId="1A57A1BC"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Дейностите в областта на биоенергията се основават само на устойчив биометан и производни в съответствие с ДЕВИ II. Дълбоките геотермални дейности не се подпомагат като част от тази мярка.</w:t>
      </w:r>
    </w:p>
    <w:p w14:paraId="2EE459ED"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Изпълнението на мярката трябва да приключи до 30 юни 2026 г. </w:t>
      </w:r>
    </w:p>
    <w:p w14:paraId="095AAE85"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76E5DA7D" w14:textId="4FF0EC53" w:rsidR="00CE3BAD" w:rsidRPr="00782BF9" w:rsidRDefault="005975D2">
      <w:pPr>
        <w:pStyle w:val="P68B1DB1-Normal2"/>
        <w:spacing w:before="120" w:after="120" w:line="240" w:lineRule="auto"/>
        <w:jc w:val="both"/>
        <w:rPr>
          <w:rFonts w:eastAsia="Times New Roman"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 xml:space="preserve">5: Цифровизация на енергийните дружества </w:t>
      </w:r>
    </w:p>
    <w:p w14:paraId="6AFBD3C3" w14:textId="77777777" w:rsidR="00CE3BAD" w:rsidRPr="00782BF9" w:rsidRDefault="006B5475">
      <w:pPr>
        <w:pStyle w:val="P68B1DB1-Normal4"/>
        <w:spacing w:after="120" w:line="240" w:lineRule="auto"/>
        <w:jc w:val="both"/>
        <w:rPr>
          <w:rFonts w:eastAsia="MS Mincho" w:cs="Times New Roman"/>
          <w:noProof/>
          <w:lang w:val="bg-BG"/>
        </w:rPr>
      </w:pPr>
      <w:r w:rsidRPr="00782BF9">
        <w:rPr>
          <w:noProof/>
          <w:lang w:val="bg-BG"/>
        </w:rPr>
        <w:t>Инвестицията има за цел да допринесе за по-висока оперативна ефективност на електроенергийната система и да подобри сигурността на доставките на електроенергия чрез прилагане на цифрови решения в енергийните дружества. Допустимите дейности по тази мярка включват цифрови подобрения, които подпомагат сигурността на енергийните услуги, ИТ активите, подобренията в киберсигурността, оперативните, управленските и бизнес процесите, включително управлението на електроцентралите и подобренията на технологиите за контрол на производителите на електроенергия и цифровизацията на обслужването на клиентите.</w:t>
      </w:r>
    </w:p>
    <w:p w14:paraId="59F7BE79"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Изготвя се план под формата на диаграма и/или текстово описание, за да се представи как инвестициите за цифровизация в областта на енергетиката, финансирани по тази мярка и в рамките на политиката на сближаване, се надграждат взаимно. За да се гарантира, че мярката е в съответствие с принципа за ненанасяне на значителни вреди съгласно Механизма за възстановяване и устойчивост, определен в техническите насоки за НЗВ (2021/C58/01), критериите за допустимост в предстоящите покани за представяне на предложения изключват дейностите по схемата на ЕС за търговия с емисии (СТЕ), с които се постигат прогнозни емисии на парникови газове, които не са по-ниски от съответните референтни показатели. Когато с дейността се постигат прогнозни емисии на парникови газове, които не са значително по-ниски, но все още по-ниски от съответните параметри, следва да се предостави обяснение на причините, поради които това не е възможно. Референтните показатели, установени за безплатното разпределяне на квоти за дейности, попадат в обхвата на схемата за търговия с емисии, както е посочено в регламент за изпълнение (ЕС) 2021/447 на Комисията.</w:t>
      </w:r>
    </w:p>
    <w:p w14:paraId="105311AF" w14:textId="77777777" w:rsidR="00CE3BAD" w:rsidRPr="00782BF9" w:rsidRDefault="006B5475">
      <w:pPr>
        <w:pStyle w:val="P68B1DB1-Normal4"/>
        <w:spacing w:before="120" w:after="0" w:line="257" w:lineRule="auto"/>
        <w:jc w:val="both"/>
        <w:rPr>
          <w:rFonts w:eastAsia="MS Mincho" w:cs="Times New Roman"/>
          <w:noProof/>
          <w:lang w:val="bg-BG"/>
        </w:rPr>
      </w:pPr>
      <w:r w:rsidRPr="00782BF9">
        <w:rPr>
          <w:noProof/>
          <w:lang w:val="bg-BG"/>
        </w:rPr>
        <w:t>Изпълнението на мярката трябва да приключи до 30 юни 2026 г.</w:t>
      </w:r>
    </w:p>
    <w:p w14:paraId="5DDA255D" w14:textId="77777777" w:rsidR="00CE3BAD" w:rsidRPr="00782BF9" w:rsidRDefault="00CE3BAD">
      <w:pPr>
        <w:tabs>
          <w:tab w:val="left" w:pos="2175"/>
        </w:tabs>
        <w:spacing w:before="120" w:after="120" w:line="240" w:lineRule="auto"/>
        <w:jc w:val="both"/>
        <w:rPr>
          <w:rFonts w:ascii="Times New Roman" w:eastAsia="Times New Roman" w:hAnsi="Times New Roman" w:cs="Times New Roman"/>
          <w:noProof/>
          <w:sz w:val="24"/>
          <w:highlight w:val="green"/>
          <w:u w:val="single"/>
          <w:lang w:val="bg-BG"/>
        </w:rPr>
      </w:pPr>
    </w:p>
    <w:p w14:paraId="14D842DF" w14:textId="0A2D0E73" w:rsidR="00CE3BAD" w:rsidRPr="00782BF9" w:rsidRDefault="005975D2">
      <w:pPr>
        <w:pStyle w:val="P68B1DB1-Normal2"/>
        <w:keepNext/>
        <w:spacing w:before="120" w:after="120" w:line="240" w:lineRule="auto"/>
        <w:jc w:val="both"/>
        <w:rPr>
          <w:rFonts w:eastAsia="Times New Roman"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6: Инвестиции във водород</w:t>
      </w:r>
    </w:p>
    <w:p w14:paraId="478A0F92"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Целта на тази мярка е да се подкрепят проекти по веригата за създаване на стойност на водорода от възобновяеми източници в две подчасти: производство на водород от възобновяеми източници и използване на водород за мобилност.</w:t>
      </w:r>
    </w:p>
    <w:p w14:paraId="1684347A"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Първата подчаст на инвестицията подкрепя производството на капацитет на електролизьорите чрез повикване. Съответното производство на допълнителна енергия от възобновяеми източници от вятърна и/или слънчева енергия също е допустимо по тази мярка. Операторите предоставят обосновка, показваща, че електроенергията, консумирана за производството на водород, е произведена от енергийни източници без изкопаеми горива.</w:t>
      </w:r>
    </w:p>
    <w:p w14:paraId="68DDD707"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Втората подчаст на инвестицията подкрепя закупуването на автобуси с гъба на водородни горива (категория M3) и тежкотоварни превозни средства с водородна целина (категории N2/N3) и лекотоварни превозни средства, задвижвани с водород (категория N1), както и разгръщането на станции за презареждане с водород чрез покана за представяне на предложения. Станциите за презареждане с водород се разполагат на места с доказуемо, достатъчно снабдяване с водород от възобновяеми източници и водород без изкопаеми горива.</w:t>
      </w:r>
    </w:p>
    <w:p w14:paraId="218F15EA"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За да се гарантира, че мярката е в съответствие с принципа за ненанасяне на значителни вреди съгласно Механизма за възстановяване и устойчивост, определен в техническите насоки за НЗВ (2021/C58/01), критериите за допустимост в предстоящите покани за представяне на предложения изключват дейностите по схемата на ЕС за търговия с емисии (СТЕ), с които се постигат прогнозни емисии на парникови газове, които не са по-ниски от съответните референтни показатели. Когато с дейността се постигат прогнозни емисии на парникови газове, които не са значително по-ниски, но все още по-ниски от съответните параметри, следва да се предостави обяснение на причините, поради които това не е възможно. Референтните показатели, установени за безплатното разпределяне на квоти за дейности, попадат в обхвата на схемата за търговия с емисии, както е посочено в регламент за изпълнение (ЕС) 2021/447 на Комисията.</w:t>
      </w:r>
    </w:p>
    <w:p w14:paraId="09487AD7"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30 юни 2026 г.</w:t>
      </w:r>
    </w:p>
    <w:p w14:paraId="3C9D52DD"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7A80AA12" w14:textId="5ACE8031" w:rsidR="00CE3BAD" w:rsidRPr="00782BF9" w:rsidRDefault="005975D2">
      <w:pPr>
        <w:pStyle w:val="P68B1DB1-Normal2"/>
        <w:spacing w:before="120" w:after="120" w:line="240" w:lineRule="auto"/>
        <w:jc w:val="both"/>
        <w:rPr>
          <w:rFonts w:eastAsia="Times New Roman"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7: Укрепване на човешките ресурси в зелената икономика</w:t>
      </w:r>
    </w:p>
    <w:p w14:paraId="350960D0"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Целта на инвестицията е да се подкрепи обучението, повишаването на квалификацията и преквалификацията на работната сила с цел придобиване на „зелени“ умения, както и да се повиши обществената осведоменост по въпросите на енергетиката, смекчаването на последиците от изменението на климата и адаптирането към него и околната среда.</w:t>
      </w:r>
    </w:p>
    <w:p w14:paraId="43D3D12C" w14:textId="77777777" w:rsidR="00CE3BAD" w:rsidRPr="00782BF9" w:rsidRDefault="006B5475">
      <w:pPr>
        <w:pStyle w:val="P68B1DB1-Normal4"/>
        <w:spacing w:before="120" w:after="120" w:line="240" w:lineRule="auto"/>
        <w:jc w:val="both"/>
        <w:rPr>
          <w:rFonts w:eastAsia="MS Mincho" w:cs="Times New Roman"/>
          <w:noProof/>
          <w:lang w:val="bg-BG"/>
        </w:rPr>
      </w:pPr>
      <w:r w:rsidRPr="00782BF9">
        <w:rPr>
          <w:noProof/>
          <w:lang w:val="bg-BG"/>
        </w:rPr>
        <w:t xml:space="preserve">Като част от инвестицията се разработва ново учебно съдържание за „зелени“ умения, включително съдържание, което да се използва за практическо обучение на учащите се, за най-малко 40 различни курса, които се интегрират във формалното (акредитирано) професионално образование и обучение и програмите за висше образование. </w:t>
      </w:r>
    </w:p>
    <w:p w14:paraId="300C5502" w14:textId="22B8CBD9"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Извършва се анализ на предлагането и търсенето на пазара на труда, за да се даде приоритет на областите на „зелени“ умения, за които се разработват нови курсове и учебни материали, както и програми за обучение по микроквалификации. Анализът се извършва и публикува преди разработването на нови курсове и учебни материали, както и програми за обучение в областта на микроквалификациите.</w:t>
      </w:r>
    </w:p>
    <w:p w14:paraId="64260744"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 xml:space="preserve">Освен това в рамките на тази инвестиция най-малко 50 000 специалисти, които са завършили най-много гимназиален етап на средното образование и които са участвали в курсове за обучение за възрастни за „зелени“ умения, трябва да придобият микроквалификации в областите на зелените умения. Безработните, неактивната работна сила и работниците от микро- и малки предприятия се ползват с приоритет като участници в обучението. </w:t>
      </w:r>
    </w:p>
    <w:p w14:paraId="21F197DE" w14:textId="77777777" w:rsidR="00CE3BAD" w:rsidRPr="00782BF9" w:rsidRDefault="006B5475">
      <w:pPr>
        <w:pStyle w:val="P68B1DB1-Normal4"/>
        <w:spacing w:before="120" w:after="120" w:line="240" w:lineRule="auto"/>
        <w:jc w:val="both"/>
        <w:rPr>
          <w:rFonts w:eastAsia="MS Mincho" w:cs="Times New Roman"/>
          <w:noProof/>
          <w:lang w:val="bg-BG"/>
        </w:rPr>
      </w:pPr>
      <w:r w:rsidRPr="00782BF9">
        <w:rPr>
          <w:noProof/>
          <w:lang w:val="bg-BG"/>
        </w:rPr>
        <w:t xml:space="preserve">Присъдените микроквалификации са в пълно съответствие с Препоръката на Съвета относно европейски подход към микроквалификациите с цел учене през целия живот и пригодност за заетост (2022/C 243/02). Разработването на микроквалификации се основава на проекта по Инструмента за техническа подкрепа, чиято цел е да се създаде единна система за микроквалификации в Унгария, както и на анализ на предлагането и търсенето на пазара на труда. </w:t>
      </w:r>
    </w:p>
    <w:p w14:paraId="4C5BE329"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Изпълнението на мярката трябва да приключи до 30 юни 2026 г.</w:t>
      </w:r>
    </w:p>
    <w:p w14:paraId="7C26689E"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68887599" w14:textId="18D865A6" w:rsidR="00CE3BAD" w:rsidRPr="00782BF9" w:rsidRDefault="005975D2">
      <w:pPr>
        <w:pStyle w:val="P68B1DB1-Normal2"/>
        <w:spacing w:before="120" w:after="120" w:line="240" w:lineRule="auto"/>
        <w:jc w:val="both"/>
        <w:rPr>
          <w:rFonts w:eastAsia="Times New Roman"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8: Инвестиции в енергийна ефективност в обществени сгради</w:t>
      </w:r>
    </w:p>
    <w:p w14:paraId="561466B1"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Тази инвестиция има за цел подобряване на енергийните характеристики на обществените сгради чрез модернизиране на съществуващия сграден фонд. В рамките на тази инвестиция са допустими само проекти, които постигат поне 30 % намаление на потреблението на първична енергия на сграда в сравнение с изходното положение преди подобренията на енергийните характеристики.</w:t>
      </w:r>
    </w:p>
    <w:p w14:paraId="67B474A8"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Инвестицията води до цялостно намаляване на потреблението на първична енергия чрез подобряване на енергийната ефективност в обществените сгради с разгъната застроена площ от 1 442 000 квадратни метра, със специален акцент върху региона на Будапеща. Това се постига чрез предприемане на инвестиции в енергийното управление на сградите, например чрез подобряване на изолацията на сградите, топлинните характеристики на сградите, намаляване на топлинните загуби, модернизиране на отоплението, прилагане на цифрови системи за енергийно управление с цел намаляване на търсенето на енергия и/или енергийно ефективно модернизиране на съществуващите системи за вътрешно осветление; чрез увеличаване на използването на енергия от възобновяеми източници за обществените сгради и дейности в подкрепа на адаптирането на обществените сгради към изменението на климата. Подпомагането за отоплителни системи на базата на газ не трябва да надхвърля максималния размер от 20 % от общия пакет за тази мярка.</w:t>
      </w:r>
    </w:p>
    <w:p w14:paraId="10EC4180"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Изпълнението на мярката трябва да приключи до 30 юни 2026 г.</w:t>
      </w:r>
    </w:p>
    <w:p w14:paraId="529997A0" w14:textId="77777777" w:rsidR="00CE3BAD" w:rsidRPr="00782BF9" w:rsidRDefault="00CE3BAD">
      <w:pPr>
        <w:spacing w:before="120" w:after="120" w:line="240" w:lineRule="auto"/>
        <w:jc w:val="both"/>
        <w:rPr>
          <w:rFonts w:ascii="Times New Roman" w:eastAsia="Times New Roman" w:hAnsi="Times New Roman" w:cs="Times New Roman"/>
          <w:b/>
          <w:noProof/>
          <w:sz w:val="24"/>
          <w:lang w:val="bg-BG"/>
        </w:rPr>
      </w:pPr>
    </w:p>
    <w:p w14:paraId="695AC3F1" w14:textId="092BCD19" w:rsidR="00CE3BAD" w:rsidRPr="00782BF9" w:rsidRDefault="005975D2">
      <w:pPr>
        <w:pStyle w:val="P68B1DB1-Normal2"/>
        <w:spacing w:before="120" w:after="120" w:line="240" w:lineRule="auto"/>
        <w:jc w:val="both"/>
        <w:rPr>
          <w:rFonts w:eastAsia="Times New Roman"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9: Електрификация на железопътни участъци</w:t>
      </w:r>
    </w:p>
    <w:p w14:paraId="5A1BE731"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Целта на инвестицията е да се завърши електрификацията на железопътен участък, като по този начин се намали зависимостта от изкопаеми горива в местната транспортна система. По-конкретно инвестицията ще доведе до завършване на електрификацията на железопътния участък между Сегед и границата на Унгария със Сърбия в посока Рьоске и до изграждане на нова електрифицирана линия делта между железопътни линии 136 и 140. Инвестицията също така подобрява капацитета на електроенергийната мрежа на железниците чрез изграждане или реконструкция на седем подстанции (Tatabánya, Kimle, Szabadegyháza, Füzesabony, Nyékládháza, rmező, Kisvárda), включително пълното обновяване на трансформаторите и комутационните устройства.</w:t>
      </w:r>
    </w:p>
    <w:p w14:paraId="7B811931"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Тъй като за проекта Szeged-Rendező — Röszke — Граница на държавния участък спазването на принципа за ненанасяне на значителни вреди съгласно Механизма за възстановяване и устойчивост, както е посочено в техническите насоки за НЗВ (2021/C58/01) за целта на кръговата икономика, не може да бъде предварително установено, Унгария трябва да докаже при приключването на този проект, че операторите, извършващи строителството, са гарантирали, че най-малко 70 % (тегловни) от неопасните отпадъци от строителство и разрушаване от строителството (с изключение на естествено срещащите се материали, определени в категория 17 05 04 от Европейския списък на отпадъците, установен с Решение № 2000/532/ЕО на Комисията), генерирани на строителния обект, са подготвени за повторна употреба, рециклиране и друго оползотворяване на материали, включително дейности по насипване, при които се използват отпадъци, за да заместят други материали, в съответствие с йерархията на ЕС, и съгласно Протокола за разрушаване. За този конкретен проект се доказва също така, че операторите са ограничили генерирането на отпадъци по време на строителството в съответствие с Протокола на ЕС за управление на отпадъците от строителство и разрушаване и като вземат предвид най-добрите налични техники и улесняват повторната употреба и висококачественото рециклиране чрез селективно отстраняване на материали, като се използват наличните системи за сортиране на строителните отпадъци.</w:t>
      </w:r>
    </w:p>
    <w:p w14:paraId="22B05733"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Изпълнението на мярката трябва да приключи до 30 юни 2026 г.</w:t>
      </w:r>
    </w:p>
    <w:p w14:paraId="620E16AB"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5188817A" w14:textId="362CE6A1" w:rsidR="00CE3BAD" w:rsidRPr="00782BF9" w:rsidRDefault="0067185D">
      <w:pPr>
        <w:pStyle w:val="P68B1DB1-Normal2"/>
        <w:spacing w:before="120" w:after="120" w:line="240" w:lineRule="auto"/>
        <w:jc w:val="both"/>
        <w:rPr>
          <w:rFonts w:eastAsia="Times New Roman"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 xml:space="preserve">10: Насърчаване на навлизането на електрически превозни средства, задвижвани с акумулаторни батерии (BEV) от страна на предприятията </w:t>
      </w:r>
    </w:p>
    <w:p w14:paraId="7CDBF99C"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Тази мярка има за цел да увеличи използването от страна на дружествата на електрически превозни средства, задвижвани с акумулаторни батерии, чрез предоставяне на финансова подкрепа под формата на безвъзмездни средства. Това води до закупуване и въвеждане в експлоатация на най-малко 12 500 нови задвижвани с акумулаторни батерии електрически превозни средства от дружествата, които са получили подпомагане с безвъзмездни средства.</w:t>
      </w:r>
    </w:p>
    <w:p w14:paraId="1E03E324"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Инвестицията е насочена към дружества, различни от доставчиците на автомобилни паркове. По-специално целевите дружества са операторите за съвместно ползване на автомобили и дружествата за превоз на пътници. Допустимите превозни средства, които се закупуват от получателите, включват електрически автомобили с акумулаторни батерии, леки търговски превозни средства и микробуси.</w:t>
      </w:r>
    </w:p>
    <w:p w14:paraId="162D8D29"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30 юни 2026 г.</w:t>
      </w:r>
    </w:p>
    <w:p w14:paraId="6C8D1065" w14:textId="77777777" w:rsidR="00CE3BAD" w:rsidRPr="00782BF9" w:rsidRDefault="00CE3BAD">
      <w:pPr>
        <w:spacing w:before="120" w:after="120" w:line="240" w:lineRule="auto"/>
        <w:jc w:val="both"/>
        <w:rPr>
          <w:rFonts w:ascii="Times New Roman" w:eastAsia="Times New Roman" w:hAnsi="Times New Roman" w:cs="Times New Roman"/>
          <w:noProof/>
          <w:sz w:val="24"/>
          <w:u w:val="single"/>
          <w:lang w:val="bg-BG"/>
        </w:rPr>
      </w:pPr>
    </w:p>
    <w:p w14:paraId="7ABADCDD" w14:textId="7CE9F476" w:rsidR="00CE3BAD" w:rsidRPr="00782BF9" w:rsidRDefault="0067185D">
      <w:pPr>
        <w:pStyle w:val="P68B1DB1-Normal2"/>
        <w:spacing w:before="120" w:after="120" w:line="240" w:lineRule="auto"/>
        <w:jc w:val="both"/>
        <w:rPr>
          <w:rFonts w:eastAsia="Calibri" w:cs="Times New Roman"/>
          <w:noProof/>
          <w:lang w:val="bg-BG"/>
        </w:rPr>
      </w:pPr>
      <w:bookmarkStart w:id="6" w:name="_Hlk150108687"/>
      <w:r w:rsidRPr="00782BF9">
        <w:rPr>
          <w:noProof/>
          <w:lang w:val="bg-BG"/>
        </w:rPr>
        <w:t>C</w:t>
      </w:r>
      <w:r w:rsidR="006B5475" w:rsidRPr="00782BF9">
        <w:rPr>
          <w:noProof/>
          <w:lang w:val="bg-BG"/>
        </w:rPr>
        <w:t>10.</w:t>
      </w:r>
      <w:r w:rsidRPr="00782BF9">
        <w:rPr>
          <w:noProof/>
          <w:lang w:val="bg-BG"/>
        </w:rPr>
        <w:t>I</w:t>
      </w:r>
      <w:r w:rsidR="006B5475" w:rsidRPr="00782BF9">
        <w:rPr>
          <w:noProof/>
          <w:lang w:val="bg-BG"/>
        </w:rPr>
        <w:t xml:space="preserve">11: Подкрепа за проучване на геотермална енергия </w:t>
      </w:r>
    </w:p>
    <w:bookmarkEnd w:id="6"/>
    <w:p w14:paraId="6DB7F2F5" w14:textId="0C7C30C6"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Тази инвестиция има за цел да предостави финансова подкрепа на предприятията, осъществяващи дейност в областта на геотермалното проучване, за да им помогне да завършат тези дейности. Мярката се състои от покана за представяне на кандидатури, отворена за субекти с разрешение за геотермално проучване, които трябва да започнат проучвателни дейности през 2024 г. Това води до отпускането на най-малко 20 безвъзмездни средства и приключването на най-малко 13 проучвателни дейности.</w:t>
      </w:r>
    </w:p>
    <w:p w14:paraId="44F097C4"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За да се гарантира, че мярката е в съответствие с принципа за ненанасяне на значителни вреди съгласно Механизма за възстановяване и устойчивост, определен в техническите насоки за НЗВ (2021/C58/01), критериите за допустимост в предстоящите покани за представяне на предложения изключват дейностите по схемата на ЕС за търговия с емисии (СТЕ), с които се постигат прогнозни емисии на парникови газове, които не са по-ниски от съответните референтни показатели. Когато с дейността се постигат прогнозни емисии на парникови газове, които не са значително по-ниски, но все още по-ниски от съответните параметри, следва да се предостави обяснение на причините, поради които това не е възможно. Референтните показатели, установени за безплатното разпределяне на квоти за дейности, попадат в обхвата на схемата за търговия с емисии, както е посочено в регламент за изпълнение (ЕС) 2021/447 на Комисията.</w:t>
      </w:r>
    </w:p>
    <w:p w14:paraId="5CFB104B"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Геотермалните дейности не включват проучване или добив на нефт или газ, нито оборудването, използвано за такива цели. Гарантира се, че изпускането на метан е сведено до минимум и остава значително под прага от 20 000 тона еквивалент на CO2 годишно.</w:t>
      </w:r>
    </w:p>
    <w:p w14:paraId="26AD0223" w14:textId="4451DD4A"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30 юни 2026 г.</w:t>
      </w:r>
    </w:p>
    <w:p w14:paraId="5637B9FA"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32E68DAE" w14:textId="0756347A" w:rsidR="00CE3BAD" w:rsidRPr="00782BF9" w:rsidRDefault="0067185D">
      <w:pPr>
        <w:pStyle w:val="P68B1DB1-Normal2"/>
        <w:spacing w:before="120" w:after="120" w:line="240" w:lineRule="auto"/>
        <w:jc w:val="both"/>
        <w:rPr>
          <w:rFonts w:eastAsia="Calibri"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12: Създаване на финансов инструмент за подобряване на енергийната ефективност на дружествата</w:t>
      </w:r>
    </w:p>
    <w:p w14:paraId="51D6083A"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Тази мярка се състои от публични инвестиции в механизъм, за да се стимулират частните инвестиции и да се подобри достъпът на дружествата до финансиране в сектора на енергийната ефективност на Унгария. Механизмът функционира чрез предоставяне на заеми чрез посредници на частния сектор, както и на субекти от публичния сектор, извършващи подобни дейности. Въз основа на инвестициите по МВУ Механизмът има за цел първоначално да предостави финансиране в размер на най-малко 405 703 312 EUR.</w:t>
      </w:r>
    </w:p>
    <w:p w14:paraId="1B0685DE" w14:textId="4D1498FB"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Механизмът се управлява от Унгарската банка за развитие (</w:t>
      </w:r>
      <w:r w:rsidRPr="00782BF9">
        <w:rPr>
          <w:i/>
          <w:noProof/>
          <w:lang w:val="bg-BG"/>
        </w:rPr>
        <w:t>Magyar Fejlesztési Bank Zrt.</w:t>
      </w:r>
      <w:r w:rsidRPr="00782BF9">
        <w:rPr>
          <w:noProof/>
          <w:lang w:val="bg-BG"/>
        </w:rPr>
        <w:t xml:space="preserve"> — MFB) като партньор по изпълнението. Механизмът включва следната продуктова линия:</w:t>
      </w:r>
    </w:p>
    <w:p w14:paraId="644A6598" w14:textId="482E24E5" w:rsidR="00CE3BAD" w:rsidRPr="00782BF9" w:rsidRDefault="006B5475">
      <w:pPr>
        <w:pStyle w:val="P68B1DB1-Normal4"/>
        <w:numPr>
          <w:ilvl w:val="0"/>
          <w:numId w:val="53"/>
        </w:numPr>
        <w:spacing w:before="120" w:after="160" w:line="240" w:lineRule="auto"/>
        <w:contextualSpacing/>
        <w:jc w:val="both"/>
        <w:rPr>
          <w:rFonts w:eastAsia="Calibri" w:cs="Times New Roman"/>
          <w:noProof/>
          <w:lang w:val="bg-BG"/>
        </w:rPr>
      </w:pPr>
      <w:r w:rsidRPr="00782BF9">
        <w:rPr>
          <w:noProof/>
          <w:lang w:val="bg-BG"/>
        </w:rPr>
        <w:t xml:space="preserve">Подкрепа под формата на заеми за подобряване на енергийните характеристики на корпоративния сектор. Най-малко 60 % от подпомагането се запазва за микро-, малки и средни предприятия. Ако няма достатъчно търсене от страна на микро-, малки и средни предприятия за постигане на целта от 60 % до 30 септември 2025 г., оставащият дял от средствата се преразпределя за големи предприятия. От крайните бенефициери, получаващи подпомагане по тази мярка, се изисква да постигнат най-малко 30 % икономии на първична енергия, сертифицирани чрез енергийни обследвания. Само дейности, пряко свързани с енергийно ефективното саниране на сгради и декарбонизацията и подобряването на енергийната ефективност на промишлените процеси, са допустими за подпомагане по тази мярка. Инсталирането и свързването на мощности за производство на енергия от възобновяеми източници се счита за дейност с такава пряка връзка, ако се включва в дейност за икономии на енергия. </w:t>
      </w:r>
    </w:p>
    <w:p w14:paraId="584F5B4D" w14:textId="77777777" w:rsidR="00CE3BAD" w:rsidRPr="00782BF9" w:rsidRDefault="00CE3BAD">
      <w:pPr>
        <w:spacing w:before="120" w:after="120" w:line="240" w:lineRule="auto"/>
        <w:jc w:val="both"/>
        <w:rPr>
          <w:rFonts w:ascii="Times New Roman" w:hAnsi="Times New Roman"/>
          <w:noProof/>
          <w:sz w:val="24"/>
          <w:lang w:val="bg-BG"/>
        </w:rPr>
      </w:pPr>
    </w:p>
    <w:p w14:paraId="15287128" w14:textId="3C59B3B1"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За да осъществят инвестицията в механизма, Унгария и MFB подписват споразумение за изпълнение, което включва следното съдържание:</w:t>
      </w:r>
    </w:p>
    <w:p w14:paraId="60A8CED7" w14:textId="6CBD21F7" w:rsidR="00CE3BAD" w:rsidRPr="00782BF9" w:rsidRDefault="006B5475">
      <w:pPr>
        <w:pStyle w:val="ListParagraph"/>
        <w:numPr>
          <w:ilvl w:val="3"/>
          <w:numId w:val="13"/>
        </w:numPr>
        <w:spacing w:after="160" w:line="259" w:lineRule="auto"/>
        <w:ind w:left="426"/>
        <w:jc w:val="both"/>
        <w:rPr>
          <w:rFonts w:eastAsia="Calibri" w:cs="Times New Roman"/>
          <w:noProof/>
          <w:lang w:val="bg-BG"/>
        </w:rPr>
      </w:pPr>
      <w:r w:rsidRPr="00782BF9">
        <w:rPr>
          <w:noProof/>
          <w:lang w:val="bg-BG"/>
        </w:rPr>
        <w:t>Описание на процеса на вземане на решения на механизма:</w:t>
      </w:r>
      <w:r w:rsidRPr="00782BF9">
        <w:rPr>
          <w:rFonts w:ascii="Calibri" w:hAnsi="Calibri"/>
          <w:noProof/>
          <w:lang w:val="bg-BG"/>
        </w:rPr>
        <w:t xml:space="preserve"> </w:t>
      </w:r>
      <w:r w:rsidRPr="00782BF9">
        <w:rPr>
          <w:noProof/>
          <w:lang w:val="bg-BG"/>
        </w:rPr>
        <w:t>Първоначалното инвестиционно решение на механизма се взема от инвестиционен комитет или друг съответен равностоен управителен орган и се одобрява с мнозинство от гласовете на членове, които са независими от унгарското правителство. Окончателното инвестиционно решение на механизма се ограничава до одобрението (без изменения) или упражняването на право на вето върху инвестиционно решение, предложено от инвестиционния комитет или съответния еквивалентен управителен орган. МФП и финансовите посредници, които ще бъдат избрани да съдействат за прилагането на тази мярка, вземат инвестиционни решения по прозрачен, независим и съобразен с пазара начин.</w:t>
      </w:r>
    </w:p>
    <w:p w14:paraId="2ECCF9AB" w14:textId="77777777" w:rsidR="00CE3BAD" w:rsidRPr="00782BF9" w:rsidRDefault="00CE3BAD">
      <w:pPr>
        <w:pStyle w:val="ListParagraph"/>
        <w:spacing w:after="160" w:line="259" w:lineRule="auto"/>
        <w:ind w:left="426"/>
        <w:jc w:val="both"/>
        <w:rPr>
          <w:rFonts w:eastAsia="Calibri" w:cs="Times New Roman"/>
          <w:noProof/>
          <w:lang w:val="bg-BG"/>
        </w:rPr>
      </w:pPr>
    </w:p>
    <w:p w14:paraId="2B566E2B" w14:textId="02268355" w:rsidR="00CE3BAD" w:rsidRPr="00782BF9" w:rsidRDefault="006B5475">
      <w:pPr>
        <w:pStyle w:val="ListParagraph"/>
        <w:numPr>
          <w:ilvl w:val="3"/>
          <w:numId w:val="13"/>
        </w:numPr>
        <w:spacing w:after="160" w:line="360" w:lineRule="auto"/>
        <w:ind w:left="426"/>
        <w:jc w:val="both"/>
        <w:rPr>
          <w:rFonts w:eastAsia="Calibri" w:cs="Times New Roman"/>
          <w:noProof/>
          <w:lang w:val="bg-BG"/>
        </w:rPr>
      </w:pPr>
      <w:r w:rsidRPr="00782BF9">
        <w:rPr>
          <w:noProof/>
          <w:lang w:val="bg-BG"/>
        </w:rPr>
        <w:t>Основни изисквания на свързаната инвестиционна политика,</w:t>
      </w:r>
      <w:r w:rsidRPr="00782BF9">
        <w:rPr>
          <w:b/>
          <w:noProof/>
          <w:lang w:val="bg-BG"/>
        </w:rPr>
        <w:t xml:space="preserve"> </w:t>
      </w:r>
      <w:r w:rsidRPr="00782BF9">
        <w:rPr>
          <w:noProof/>
          <w:lang w:val="bg-BG"/>
        </w:rPr>
        <w:t>които включват:</w:t>
      </w:r>
    </w:p>
    <w:p w14:paraId="478D873A" w14:textId="77777777" w:rsidR="00CE3BAD" w:rsidRPr="00782BF9" w:rsidRDefault="006B5475">
      <w:pPr>
        <w:pStyle w:val="ListParagraph"/>
        <w:numPr>
          <w:ilvl w:val="4"/>
          <w:numId w:val="13"/>
        </w:numPr>
        <w:spacing w:after="160" w:line="360" w:lineRule="auto"/>
        <w:ind w:left="851"/>
        <w:jc w:val="both"/>
        <w:rPr>
          <w:rFonts w:eastAsia="Calibri" w:cs="Times New Roman"/>
          <w:noProof/>
          <w:lang w:val="bg-BG"/>
        </w:rPr>
      </w:pPr>
      <w:r w:rsidRPr="00782BF9">
        <w:rPr>
          <w:noProof/>
          <w:lang w:val="bg-BG"/>
        </w:rPr>
        <w:t>Описанието на финансовия продукт и допустимите крайни бенефициери.</w:t>
      </w:r>
    </w:p>
    <w:p w14:paraId="7C3476DE" w14:textId="77777777" w:rsidR="00CE3BAD" w:rsidRPr="00782BF9" w:rsidRDefault="006B5475">
      <w:pPr>
        <w:pStyle w:val="ListParagraph"/>
        <w:numPr>
          <w:ilvl w:val="4"/>
          <w:numId w:val="13"/>
        </w:numPr>
        <w:spacing w:after="160" w:line="360" w:lineRule="auto"/>
        <w:ind w:left="851"/>
        <w:jc w:val="both"/>
        <w:rPr>
          <w:rFonts w:eastAsia="Calibri" w:cs="Times New Roman"/>
          <w:noProof/>
          <w:lang w:val="bg-BG"/>
        </w:rPr>
      </w:pPr>
      <w:r w:rsidRPr="00782BF9">
        <w:rPr>
          <w:noProof/>
          <w:lang w:val="bg-BG"/>
        </w:rPr>
        <w:t>Изискването всички подпомагани инвестиции да са икономически жизнеспособни.</w:t>
      </w:r>
    </w:p>
    <w:p w14:paraId="02EE4704" w14:textId="38825CF2" w:rsidR="00CE3BAD" w:rsidRPr="00782BF9" w:rsidRDefault="006B5475">
      <w:pPr>
        <w:pStyle w:val="P68B1DB1-ListParagraph26"/>
        <w:numPr>
          <w:ilvl w:val="4"/>
          <w:numId w:val="13"/>
        </w:numPr>
        <w:spacing w:after="160" w:line="259" w:lineRule="auto"/>
        <w:ind w:left="851"/>
        <w:jc w:val="both"/>
        <w:rPr>
          <w:rFonts w:eastAsia="Calibri" w:cs="Times New Roman"/>
          <w:noProof/>
          <w:lang w:val="bg-BG"/>
        </w:rPr>
      </w:pPr>
      <w:r w:rsidRPr="00782BF9">
        <w:rPr>
          <w:noProof/>
          <w:lang w:val="bg-BG"/>
        </w:rPr>
        <w:t>Изискването за спазване на принципа за ненанасяне на значителни вреди, както е посочено в техническите насоки за НЗВ (2021/C58/01). По-специално инвестиционната политика изключва от допустимост следния списък от дейности и активи: I) дейности и активи, свързани с изкопаеми горива, включително използване надолу по веригата</w:t>
      </w:r>
      <w:r w:rsidRPr="00782BF9">
        <w:rPr>
          <w:noProof/>
          <w:lang w:val="bg-BG"/>
        </w:rPr>
        <w:footnoteReference w:id="12"/>
      </w:r>
      <w:r w:rsidRPr="00782BF9">
        <w:rPr>
          <w:noProof/>
          <w:lang w:val="bg-BG"/>
        </w:rPr>
        <w:t>, ii) дейности и активи в рамките на схемата на ЕС за търговия с емисии (СТЕ), с които се постигат прогнозни емисии на парникови газове, които не са по-ниски от съответните показатели</w:t>
      </w:r>
      <w:r w:rsidRPr="00782BF9">
        <w:rPr>
          <w:noProof/>
          <w:lang w:val="bg-BG"/>
        </w:rPr>
        <w:footnoteReference w:id="13"/>
      </w:r>
      <w:r w:rsidRPr="00782BF9">
        <w:rPr>
          <w:noProof/>
          <w:lang w:val="bg-BG"/>
        </w:rPr>
        <w:t>, iii) дейности и активи, свързани с депа за отпадъци, инсинератори</w:t>
      </w:r>
      <w:r w:rsidRPr="00782BF9">
        <w:rPr>
          <w:noProof/>
          <w:lang w:val="bg-BG"/>
        </w:rPr>
        <w:footnoteReference w:id="14"/>
      </w:r>
      <w:r w:rsidRPr="00782BF9">
        <w:rPr>
          <w:noProof/>
          <w:lang w:val="bg-BG"/>
        </w:rPr>
        <w:t xml:space="preserve"> и инсталации за механично-биологично третиране</w:t>
      </w:r>
      <w:r w:rsidRPr="00782BF9">
        <w:rPr>
          <w:noProof/>
          <w:lang w:val="bg-BG"/>
        </w:rPr>
        <w:footnoteReference w:id="15"/>
      </w:r>
      <w:r w:rsidRPr="00782BF9">
        <w:rPr>
          <w:noProof/>
          <w:lang w:val="bg-BG"/>
        </w:rPr>
        <w:t xml:space="preserve">. </w:t>
      </w:r>
    </w:p>
    <w:p w14:paraId="1D208A10" w14:textId="77777777" w:rsidR="00CE3BAD" w:rsidRPr="00782BF9" w:rsidRDefault="006B5475">
      <w:pPr>
        <w:pStyle w:val="P68B1DB1-Normal4"/>
        <w:numPr>
          <w:ilvl w:val="2"/>
          <w:numId w:val="56"/>
        </w:numPr>
        <w:spacing w:before="120" w:after="160" w:line="259" w:lineRule="auto"/>
        <w:jc w:val="both"/>
        <w:rPr>
          <w:rFonts w:eastAsia="Calibri" w:cs="Times New Roman"/>
          <w:noProof/>
          <w:lang w:val="bg-BG"/>
        </w:rPr>
      </w:pPr>
      <w:r w:rsidRPr="00782BF9">
        <w:rPr>
          <w:noProof/>
          <w:lang w:val="bg-BG"/>
        </w:rPr>
        <w:t>Освен това подпомагането за отоплителни системи на базата на газ не трябва да надхвърля максимум 20 % от общия пакет за тази мярка.</w:t>
      </w:r>
    </w:p>
    <w:p w14:paraId="1257DE82" w14:textId="77777777" w:rsidR="00CE3BAD" w:rsidRPr="00782BF9" w:rsidRDefault="006B5475">
      <w:pPr>
        <w:pStyle w:val="P68B1DB1-Normal4"/>
        <w:numPr>
          <w:ilvl w:val="2"/>
          <w:numId w:val="56"/>
        </w:numPr>
        <w:spacing w:before="120" w:after="160" w:line="259" w:lineRule="auto"/>
        <w:jc w:val="both"/>
        <w:rPr>
          <w:rFonts w:eastAsia="Calibri" w:cs="Times New Roman"/>
          <w:noProof/>
          <w:lang w:val="bg-BG"/>
        </w:rPr>
      </w:pPr>
      <w:r w:rsidRPr="00782BF9">
        <w:rPr>
          <w:noProof/>
          <w:lang w:val="bg-BG"/>
        </w:rPr>
        <w:t xml:space="preserve">Дейностите в областта на биоенергията се основават само на устойчив биометан и производни в съответствие с ДЕВИ II.  </w:t>
      </w:r>
    </w:p>
    <w:p w14:paraId="5F9CE122" w14:textId="77777777" w:rsidR="00CE3BAD" w:rsidRPr="00782BF9" w:rsidRDefault="006B5475">
      <w:pPr>
        <w:pStyle w:val="P68B1DB1-Normal4"/>
        <w:numPr>
          <w:ilvl w:val="2"/>
          <w:numId w:val="56"/>
        </w:numPr>
        <w:spacing w:before="120" w:after="160" w:line="259" w:lineRule="auto"/>
        <w:jc w:val="both"/>
        <w:rPr>
          <w:rFonts w:eastAsia="Calibri" w:cs="Times New Roman"/>
          <w:noProof/>
          <w:lang w:val="bg-BG"/>
        </w:rPr>
      </w:pPr>
      <w:r w:rsidRPr="00782BF9">
        <w:rPr>
          <w:noProof/>
          <w:lang w:val="bg-BG"/>
        </w:rPr>
        <w:t xml:space="preserve">За промишлените сектори, които използват пара и нискотемпературна топлинна енергия до 400 °C, електрификацията на промишлените процеси пред използването на нисковъглеродни газове се дава приоритет. Инвестициите в улавяне на въглерод от неизкопаеми източници (биоулавяне и съхранение на въглерод) са допустими само при условие че отговарят на съответните критерии за НЗВ, по-специално за дейности в областта на биоенергията. Улавянето на въглерод от изкопаеми източници е допустимо само ако CO2 произтича от неизбежни емисии. Проектите, включващи цялата верига за създаване на стойност в областта на УСВ (улавяне, пренос и подземно постоянно съхранение в геоложки обекти) и проектите, завършващи съществуващи вериги за създаване на стойност (напр. ново съхранение, ясно свързано със съществуващи инсталации за улавяне и съхранение на въглерод), се ползват с приоритет пред други предложения за проекти за УСВ. </w:t>
      </w:r>
    </w:p>
    <w:p w14:paraId="1C139722" w14:textId="77777777" w:rsidR="00CE3BAD" w:rsidRPr="00782BF9" w:rsidRDefault="006B5475">
      <w:pPr>
        <w:pStyle w:val="P68B1DB1-Normal4"/>
        <w:numPr>
          <w:ilvl w:val="2"/>
          <w:numId w:val="56"/>
        </w:numPr>
        <w:spacing w:before="120" w:after="160" w:line="259" w:lineRule="auto"/>
        <w:jc w:val="both"/>
        <w:rPr>
          <w:rFonts w:eastAsia="Calibri" w:cs="Times New Roman"/>
          <w:noProof/>
          <w:lang w:val="bg-BG"/>
        </w:rPr>
      </w:pPr>
      <w:r w:rsidRPr="00782BF9">
        <w:rPr>
          <w:noProof/>
          <w:lang w:val="bg-BG"/>
        </w:rPr>
        <w:t>За използването на водород в промишлеността, ако се използва нисковъглероден водород, той трябва да отговаря на праг от 73,4 % за намаление на емисиите на парникови газове със съответните сертификати. Допустими за подпомагане са само водород от възобновяеми източници и нисковъглероден водород. Освен това процесът трябва да бъде 100 % съвместим с водорода, а използването на водород трябва да бъде увеличено до 100 % в близко бъдеще.</w:t>
      </w:r>
    </w:p>
    <w:p w14:paraId="425A07C8" w14:textId="341B72E5" w:rsidR="00CE3BAD" w:rsidRPr="00782BF9" w:rsidRDefault="006B5475">
      <w:pPr>
        <w:pStyle w:val="P68B1DB1-Normal4"/>
        <w:numPr>
          <w:ilvl w:val="2"/>
          <w:numId w:val="56"/>
        </w:numPr>
        <w:spacing w:before="120" w:after="160" w:line="259" w:lineRule="auto"/>
        <w:jc w:val="both"/>
        <w:rPr>
          <w:rFonts w:eastAsia="Calibri" w:cs="Times New Roman"/>
          <w:noProof/>
          <w:lang w:val="bg-BG"/>
        </w:rPr>
      </w:pPr>
      <w:r w:rsidRPr="00782BF9">
        <w:rPr>
          <w:noProof/>
          <w:lang w:val="bg-BG"/>
        </w:rPr>
        <w:t xml:space="preserve">Геотермалните дейности не включват проучване или добив на нефт или газ. Не се закупува или използва оборудване за такива цели. Гарантира се, че изпускането на метан е сведено до минимум и остава значително под прага от 20 000 тона еквивалент на CO2 годишно. </w:t>
      </w:r>
    </w:p>
    <w:p w14:paraId="12E94DB0" w14:textId="3899D4F4" w:rsidR="00CE3BAD" w:rsidRPr="00782BF9" w:rsidRDefault="006B5475">
      <w:pPr>
        <w:pStyle w:val="ListParagraph"/>
        <w:numPr>
          <w:ilvl w:val="4"/>
          <w:numId w:val="13"/>
        </w:numPr>
        <w:spacing w:after="160" w:line="259" w:lineRule="auto"/>
        <w:ind w:left="851"/>
        <w:jc w:val="both"/>
        <w:rPr>
          <w:rFonts w:eastAsia="Calibri" w:cs="Times New Roman"/>
          <w:noProof/>
          <w:lang w:val="bg-BG"/>
        </w:rPr>
      </w:pPr>
      <w:r w:rsidRPr="00782BF9">
        <w:rPr>
          <w:noProof/>
          <w:lang w:val="bg-BG"/>
        </w:rPr>
        <w:t>Изискването крайните бенефициери на механизма да не получават подкрепа от други инструменти на Съюза за покриване на същите разходи.</w:t>
      </w:r>
    </w:p>
    <w:p w14:paraId="008B7381" w14:textId="77777777" w:rsidR="00CE3BAD" w:rsidRPr="00782BF9" w:rsidRDefault="00CE3BAD">
      <w:pPr>
        <w:pStyle w:val="ListParagraph"/>
        <w:spacing w:after="160" w:line="259" w:lineRule="auto"/>
        <w:ind w:left="851"/>
        <w:jc w:val="both"/>
        <w:rPr>
          <w:rFonts w:eastAsia="Calibri" w:cs="Times New Roman"/>
          <w:noProof/>
          <w:lang w:val="bg-BG"/>
        </w:rPr>
      </w:pPr>
    </w:p>
    <w:p w14:paraId="045829E0" w14:textId="195C82C8" w:rsidR="00CE3BAD" w:rsidRPr="00782BF9" w:rsidRDefault="006B5475">
      <w:pPr>
        <w:pStyle w:val="ListParagraph"/>
        <w:numPr>
          <w:ilvl w:val="3"/>
          <w:numId w:val="13"/>
        </w:numPr>
        <w:spacing w:after="160" w:line="259" w:lineRule="auto"/>
        <w:ind w:left="426"/>
        <w:jc w:val="both"/>
        <w:rPr>
          <w:rFonts w:eastAsia="Calibri" w:cs="Times New Roman"/>
          <w:noProof/>
          <w:lang w:val="bg-BG"/>
        </w:rPr>
      </w:pPr>
      <w:r w:rsidRPr="00782BF9">
        <w:rPr>
          <w:noProof/>
          <w:lang w:val="bg-BG"/>
        </w:rPr>
        <w:t>Сумата, обхваната от споразумението за изпълнение, структурата на таксите за партньора по изпълнението и финансовите посредници и изискването за реинвестиране на обратните потоци в съответствие с инвестиционната политика на Механизма, освен ако те се използват за обслужване на погасяването на заеми по Механизма за възстановяване и устойчивост.</w:t>
      </w:r>
    </w:p>
    <w:p w14:paraId="270A2E96" w14:textId="77777777" w:rsidR="00CE3BAD" w:rsidRPr="00782BF9" w:rsidRDefault="00CE3BAD">
      <w:pPr>
        <w:pStyle w:val="ListParagraph"/>
        <w:spacing w:after="160" w:line="259" w:lineRule="auto"/>
        <w:ind w:left="426"/>
        <w:jc w:val="both"/>
        <w:rPr>
          <w:rFonts w:eastAsia="Calibri" w:cs="Times New Roman"/>
          <w:noProof/>
          <w:lang w:val="bg-BG"/>
        </w:rPr>
      </w:pPr>
    </w:p>
    <w:p w14:paraId="51CD71A8" w14:textId="36EEDB19" w:rsidR="00CE3BAD" w:rsidRPr="00782BF9" w:rsidRDefault="006B5475">
      <w:pPr>
        <w:pStyle w:val="ListParagraph"/>
        <w:numPr>
          <w:ilvl w:val="3"/>
          <w:numId w:val="13"/>
        </w:numPr>
        <w:spacing w:after="160" w:line="259" w:lineRule="auto"/>
        <w:ind w:left="426"/>
        <w:jc w:val="both"/>
        <w:rPr>
          <w:rFonts w:eastAsia="Calibri" w:cs="Times New Roman"/>
          <w:noProof/>
          <w:lang w:val="bg-BG"/>
        </w:rPr>
      </w:pPr>
      <w:r w:rsidRPr="00782BF9">
        <w:rPr>
          <w:noProof/>
          <w:lang w:val="bg-BG"/>
        </w:rPr>
        <w:t>Изисквания за мониторинг, одит и контрол, включително:</w:t>
      </w:r>
    </w:p>
    <w:p w14:paraId="518E2C4C" w14:textId="01EA6136" w:rsidR="00CE3BAD" w:rsidRPr="00782BF9" w:rsidRDefault="006B5475">
      <w:pPr>
        <w:pStyle w:val="P68B1DB1-Normal4"/>
        <w:numPr>
          <w:ilvl w:val="1"/>
          <w:numId w:val="51"/>
        </w:numPr>
        <w:spacing w:before="120" w:after="160" w:line="240" w:lineRule="auto"/>
        <w:jc w:val="both"/>
        <w:rPr>
          <w:rFonts w:eastAsia="Calibri" w:cs="Times New Roman"/>
          <w:noProof/>
          <w:lang w:val="bg-BG"/>
        </w:rPr>
      </w:pPr>
      <w:r w:rsidRPr="00782BF9">
        <w:rPr>
          <w:noProof/>
          <w:lang w:val="bg-BG"/>
        </w:rPr>
        <w:t>Описание на системата за мониторинг на партньора по изпълнението за докладване относно мобилизираните инвестиции.</w:t>
      </w:r>
    </w:p>
    <w:p w14:paraId="56463986" w14:textId="6F2D0BDE" w:rsidR="00CE3BAD" w:rsidRPr="00782BF9" w:rsidRDefault="006B5475">
      <w:pPr>
        <w:pStyle w:val="P68B1DB1-Normal4"/>
        <w:numPr>
          <w:ilvl w:val="1"/>
          <w:numId w:val="51"/>
        </w:numPr>
        <w:spacing w:before="120" w:after="160" w:line="259" w:lineRule="auto"/>
        <w:jc w:val="both"/>
        <w:rPr>
          <w:rFonts w:eastAsia="Calibri" w:cs="Times New Roman"/>
          <w:noProof/>
          <w:lang w:val="bg-BG"/>
        </w:rPr>
      </w:pPr>
      <w:r w:rsidRPr="00782BF9">
        <w:rPr>
          <w:noProof/>
          <w:lang w:val="bg-BG"/>
        </w:rPr>
        <w:t xml:space="preserve">Описание на процедурите на партньора по изпълнението, които гарантират предотвратяването, разкриването и коригирането на измами, корупция и конфликти на интереси. </w:t>
      </w:r>
    </w:p>
    <w:p w14:paraId="5F19A251" w14:textId="77777777" w:rsidR="00CE3BAD" w:rsidRPr="00782BF9" w:rsidRDefault="006B5475">
      <w:pPr>
        <w:pStyle w:val="P68B1DB1-Normal4"/>
        <w:numPr>
          <w:ilvl w:val="1"/>
          <w:numId w:val="51"/>
        </w:numPr>
        <w:spacing w:before="120" w:after="160" w:line="259" w:lineRule="auto"/>
        <w:jc w:val="both"/>
        <w:rPr>
          <w:rFonts w:eastAsia="Calibri" w:cs="Times New Roman"/>
          <w:noProof/>
          <w:lang w:val="bg-BG"/>
        </w:rPr>
      </w:pPr>
      <w:r w:rsidRPr="00782BF9">
        <w:rPr>
          <w:noProof/>
          <w:lang w:val="bg-BG"/>
        </w:rPr>
        <w:t>Задължението за проверка на допустимостта на всяка операция в съответствие с изискванията, определени в споразумението за изпълнение, преди да се поеме ангажимент за финансиране на операция.</w:t>
      </w:r>
    </w:p>
    <w:p w14:paraId="7574F90E" w14:textId="77777777" w:rsidR="00CE3BAD" w:rsidRPr="00782BF9" w:rsidRDefault="006B5475">
      <w:pPr>
        <w:pStyle w:val="P68B1DB1-Normal4"/>
        <w:numPr>
          <w:ilvl w:val="1"/>
          <w:numId w:val="51"/>
        </w:numPr>
        <w:spacing w:before="120" w:after="160" w:line="240" w:lineRule="auto"/>
        <w:jc w:val="both"/>
        <w:rPr>
          <w:rFonts w:eastAsia="Calibri" w:cs="Times New Roman"/>
          <w:noProof/>
          <w:lang w:val="bg-BG"/>
        </w:rPr>
      </w:pPr>
      <w:r w:rsidRPr="00782BF9">
        <w:rPr>
          <w:noProof/>
          <w:lang w:val="bg-BG"/>
        </w:rPr>
        <w:t xml:space="preserve">Задължението за извършване на последващи одити, основани на риска, в съответствие с одитен план на МФБ. Тези одити проверяват i) дали системите за контрол са ефективни, включително разкриването на измами, корупция и конфликт на интереси; II) спазване на принципа за ненанасяне на значителни вреди, правилата за държавна помощ, изискванията във връзка с целта в областта на климата; и iii) изискването крайните бенефициери на механизма да не са получили подкрепа от други инструменти на Съюза за покриване на същите разходи, е спазено. Одитите проверяват също така законосъобразността на трансакциите и спазването на условията на приложимите споразумение за изпълнение и споразумения за финансиране. </w:t>
      </w:r>
    </w:p>
    <w:p w14:paraId="2383830D" w14:textId="345F7E17" w:rsidR="00CE3BAD" w:rsidRPr="00782BF9" w:rsidRDefault="006B5475">
      <w:pPr>
        <w:pStyle w:val="ListParagraph"/>
        <w:numPr>
          <w:ilvl w:val="1"/>
          <w:numId w:val="51"/>
        </w:numPr>
        <w:spacing w:before="120" w:after="160" w:line="240" w:lineRule="auto"/>
        <w:ind w:left="426"/>
        <w:jc w:val="both"/>
        <w:rPr>
          <w:rFonts w:eastAsia="Calibri" w:cs="Times New Roman"/>
          <w:noProof/>
          <w:lang w:val="bg-BG"/>
        </w:rPr>
      </w:pPr>
      <w:r w:rsidRPr="00782BF9">
        <w:rPr>
          <w:noProof/>
          <w:lang w:val="bg-BG"/>
        </w:rPr>
        <w:t>Изисквания за инвестиции в областта на климата, извършени от партньора по изпълнението: Най-малко 461 026 491 EUR от инвестициите по МВУ в Механизма допринасят за целите във връзка с изменението на климата в съответствие с приложение VI към Регламента за МВУ.</w:t>
      </w:r>
      <w:r w:rsidRPr="00782BF9">
        <w:rPr>
          <w:rStyle w:val="FootnoteReference"/>
          <w:noProof/>
          <w:lang w:val="bg-BG"/>
        </w:rPr>
        <w:footnoteReference w:id="16"/>
      </w:r>
      <w:r w:rsidRPr="00782BF9">
        <w:rPr>
          <w:noProof/>
          <w:lang w:val="bg-BG"/>
        </w:rPr>
        <w:t xml:space="preserve"> </w:t>
      </w:r>
    </w:p>
    <w:p w14:paraId="119D7EF4" w14:textId="77777777" w:rsidR="00CE3BAD" w:rsidRPr="00782BF9" w:rsidRDefault="00CE3BAD">
      <w:pPr>
        <w:pStyle w:val="ListParagraph"/>
        <w:spacing w:before="120" w:after="160" w:line="240" w:lineRule="auto"/>
        <w:ind w:left="426"/>
        <w:jc w:val="both"/>
        <w:rPr>
          <w:rFonts w:eastAsia="Calibri" w:cs="Times New Roman"/>
          <w:noProof/>
          <w:lang w:val="bg-BG"/>
        </w:rPr>
      </w:pPr>
    </w:p>
    <w:p w14:paraId="07475208" w14:textId="099E1DA6" w:rsidR="00CE3BAD" w:rsidRPr="00782BF9" w:rsidRDefault="006B5475">
      <w:pPr>
        <w:pStyle w:val="ListParagraph"/>
        <w:numPr>
          <w:ilvl w:val="1"/>
          <w:numId w:val="51"/>
        </w:numPr>
        <w:spacing w:before="120" w:after="160" w:line="240" w:lineRule="auto"/>
        <w:ind w:left="426"/>
        <w:jc w:val="both"/>
        <w:rPr>
          <w:rFonts w:eastAsia="Calibri" w:cs="Times New Roman"/>
          <w:noProof/>
          <w:lang w:val="bg-BG"/>
        </w:rPr>
      </w:pPr>
      <w:r w:rsidRPr="00782BF9">
        <w:rPr>
          <w:noProof/>
          <w:lang w:val="bg-BG"/>
        </w:rPr>
        <w:t xml:space="preserve">Изисквания за подбор на финансови посредници: ЗМФ избира финансовите посредници по открит, прозрачен и недискриминационен начин. Контролът за липса на конфликт на интереси по отношение на финансовите посредници се извършва и се извършва предварително за всички участващи финансови участници. </w:t>
      </w:r>
    </w:p>
    <w:p w14:paraId="11E416A4" w14:textId="77777777" w:rsidR="00CE3BAD" w:rsidRPr="00782BF9" w:rsidRDefault="00CE3BAD">
      <w:pPr>
        <w:pStyle w:val="ListParagraph"/>
        <w:spacing w:before="120" w:after="160" w:line="240" w:lineRule="auto"/>
        <w:ind w:left="426"/>
        <w:jc w:val="both"/>
        <w:rPr>
          <w:rFonts w:eastAsia="Calibri" w:cs="Times New Roman"/>
          <w:noProof/>
          <w:lang w:val="bg-BG"/>
        </w:rPr>
      </w:pPr>
    </w:p>
    <w:p w14:paraId="5622BB3F" w14:textId="0590194E" w:rsidR="00CE3BAD" w:rsidRPr="00782BF9" w:rsidRDefault="006B5475">
      <w:pPr>
        <w:pStyle w:val="ListParagraph"/>
        <w:numPr>
          <w:ilvl w:val="1"/>
          <w:numId w:val="51"/>
        </w:numPr>
        <w:spacing w:before="120" w:after="160" w:line="240" w:lineRule="auto"/>
        <w:ind w:left="426"/>
        <w:jc w:val="both"/>
        <w:rPr>
          <w:rFonts w:eastAsia="Calibri" w:cs="Times New Roman"/>
          <w:noProof/>
          <w:lang w:val="bg-BG"/>
        </w:rPr>
      </w:pPr>
      <w:r w:rsidRPr="00782BF9">
        <w:rPr>
          <w:noProof/>
          <w:lang w:val="bg-BG"/>
        </w:rPr>
        <w:t xml:space="preserve">Изискване за подписване на споразумения за финансиране: MFB подписва споразумения за финансиране с финансовите посредници в съответствие с основните изисквания, които се предоставят като приложение към споразумението за изпълнение. Основните изисквания на споразумението за финансиране включват всички изисквания, съгласно които функционира механизмът, включително: </w:t>
      </w:r>
    </w:p>
    <w:p w14:paraId="0D763E86" w14:textId="77777777" w:rsidR="00CE3BAD" w:rsidRPr="00782BF9" w:rsidRDefault="006B5475">
      <w:pPr>
        <w:pStyle w:val="P68B1DB1-Normal4"/>
        <w:numPr>
          <w:ilvl w:val="0"/>
          <w:numId w:val="52"/>
        </w:numPr>
        <w:spacing w:before="120" w:after="160" w:line="240" w:lineRule="auto"/>
        <w:jc w:val="both"/>
        <w:rPr>
          <w:rFonts w:eastAsia="Calibri" w:cs="Times New Roman"/>
          <w:noProof/>
          <w:lang w:val="bg-BG"/>
        </w:rPr>
      </w:pPr>
      <w:r w:rsidRPr="00782BF9">
        <w:rPr>
          <w:noProof/>
          <w:lang w:val="bg-BG"/>
        </w:rPr>
        <w:t xml:space="preserve">Задължението на финансовия посредник да взема решенията си в съответствие </w:t>
      </w:r>
      <w:r w:rsidRPr="00782BF9">
        <w:rPr>
          <w:i/>
          <w:noProof/>
          <w:lang w:val="bg-BG"/>
        </w:rPr>
        <w:t>mutatis mutandis</w:t>
      </w:r>
      <w:r w:rsidRPr="00782BF9">
        <w:rPr>
          <w:noProof/>
          <w:lang w:val="bg-BG"/>
        </w:rPr>
        <w:t xml:space="preserve"> с изискванията за вземане на решения и инвестиционната политика, посочени по-горе, включително във връзка със спазването на принципа за ненанасяне на значителни вреди.</w:t>
      </w:r>
    </w:p>
    <w:p w14:paraId="0C495DF8" w14:textId="77777777" w:rsidR="00CE3BAD" w:rsidRPr="00782BF9" w:rsidRDefault="006B5475">
      <w:pPr>
        <w:pStyle w:val="P68B1DB1-Normal4"/>
        <w:numPr>
          <w:ilvl w:val="0"/>
          <w:numId w:val="52"/>
        </w:numPr>
        <w:spacing w:before="120" w:after="160" w:line="240" w:lineRule="auto"/>
        <w:jc w:val="both"/>
        <w:rPr>
          <w:rFonts w:eastAsia="Calibri" w:cs="Times New Roman"/>
          <w:noProof/>
          <w:lang w:val="bg-BG"/>
        </w:rPr>
      </w:pPr>
      <w:r w:rsidRPr="00782BF9">
        <w:rPr>
          <w:noProof/>
          <w:lang w:val="bg-BG"/>
        </w:rPr>
        <w:t xml:space="preserve">Описанието на рамката за мониторинг, одит и контрол, която финансовият посредник въвежда и която </w:t>
      </w:r>
      <w:r w:rsidRPr="00782BF9">
        <w:rPr>
          <w:i/>
          <w:noProof/>
          <w:lang w:val="bg-BG"/>
        </w:rPr>
        <w:t>mutatis mutandis</w:t>
      </w:r>
      <w:r w:rsidRPr="00782BF9">
        <w:rPr>
          <w:noProof/>
          <w:lang w:val="bg-BG"/>
        </w:rPr>
        <w:t xml:space="preserve"> подлежи на всички изисквания за мониторинг, одит и контрол, посочени по-горе. </w:t>
      </w:r>
    </w:p>
    <w:p w14:paraId="75A6AAEA"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31 август 2026 г.</w:t>
      </w:r>
    </w:p>
    <w:p w14:paraId="15F7B937" w14:textId="77777777" w:rsidR="00CE3BAD" w:rsidRPr="00782BF9" w:rsidRDefault="00CE3BAD">
      <w:pPr>
        <w:spacing w:before="120" w:after="120" w:line="240" w:lineRule="auto"/>
        <w:jc w:val="both"/>
        <w:rPr>
          <w:rFonts w:ascii="Times New Roman" w:eastAsia="Calibri" w:hAnsi="Times New Roman" w:cs="Times New Roman"/>
          <w:noProof/>
          <w:sz w:val="24"/>
          <w:u w:val="single"/>
          <w:lang w:val="bg-BG"/>
        </w:rPr>
      </w:pPr>
    </w:p>
    <w:p w14:paraId="5B891D2A" w14:textId="008F9FFF" w:rsidR="00CE3BAD" w:rsidRPr="00782BF9" w:rsidRDefault="0067185D">
      <w:pPr>
        <w:pStyle w:val="P68B1DB1-Normal2"/>
        <w:spacing w:before="120" w:after="120" w:line="240" w:lineRule="auto"/>
        <w:jc w:val="both"/>
        <w:rPr>
          <w:rFonts w:eastAsia="Calibri"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13: Създаване на финансов инструмент за подобряване на енергийната ефективност на жилищните сгради и справяне с енергийната бедност</w:t>
      </w:r>
    </w:p>
    <w:p w14:paraId="3630B837" w14:textId="794B3C3C"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Мярката се състои от публични инвестиции в механизъм, за да се стимулират частните инвестиции и да се подобри достъпът до финансиране за жилищни сгради в сектора на енергийната ефективност на Унгария. Механизмът функционира чрез предоставяне на комбинирани заеми и безвъзмездни средства чрез посредници на частния сектор, по-специално на домакинствата. Въз основа на инвестициите по МВУ Механизмът има за цел първоначално да предостави финансиране в размер на най-малко 518 559 440 EUR.</w:t>
      </w:r>
    </w:p>
    <w:p w14:paraId="0617D54C" w14:textId="25504E10"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Механизмът се управлява от Унгарската банка за развитие (</w:t>
      </w:r>
      <w:r w:rsidRPr="00782BF9">
        <w:rPr>
          <w:i/>
          <w:noProof/>
          <w:lang w:val="bg-BG"/>
        </w:rPr>
        <w:t>Magyar Fejlesztési Bank Zrt.</w:t>
      </w:r>
      <w:r w:rsidRPr="00782BF9">
        <w:rPr>
          <w:noProof/>
          <w:lang w:val="bg-BG"/>
        </w:rPr>
        <w:t xml:space="preserve"> — MFB) като партньор по изпълнението. Механизмът включва следните продуктови линии:</w:t>
      </w:r>
    </w:p>
    <w:p w14:paraId="5B5E8ABE" w14:textId="15010A52" w:rsidR="00CE3BAD" w:rsidRPr="00782BF9" w:rsidRDefault="006B5475">
      <w:pPr>
        <w:pStyle w:val="P68B1DB1-Normal4"/>
        <w:keepNext/>
        <w:numPr>
          <w:ilvl w:val="0"/>
          <w:numId w:val="54"/>
        </w:numPr>
        <w:spacing w:before="120" w:after="160" w:line="240" w:lineRule="auto"/>
        <w:contextualSpacing/>
        <w:jc w:val="both"/>
        <w:rPr>
          <w:rFonts w:eastAsia="Calibri" w:cs="Times New Roman"/>
          <w:noProof/>
          <w:lang w:val="bg-BG"/>
        </w:rPr>
      </w:pPr>
      <w:r w:rsidRPr="00782BF9">
        <w:rPr>
          <w:noProof/>
          <w:lang w:val="bg-BG"/>
        </w:rPr>
        <w:t xml:space="preserve">Комбинирана подкрепа под формата на заеми и безвъзмездни средства за подобряване на енергийната ефективност на жилищните сгради. Тези инвестиции са насочени и към справяне с енергийната бедност и най-малко 10 % от подкрепата ще бъде запазена за енергийно бедните домакинства. Ако няма достатъчно търсене от енергийно бедните домакинства за постигане на целта от 10 % до 30 септември 2025 г., оставащият дял от средствата се преразпределя към други домакинства. Делът на безвъзмездните средства и заемите за всеки краен бенефициер се определя съгласно два критерия: равнището на доходите на крайните бенефициери и ii) потенциалните икономии на първична енергия, които трябва да бъдат постигнати от крайния бенефициер. А именно, колкото по-ниско е равнището на доходите на крайния бенефициер, а колкото по-високи са потенциалните икономии на енергия, толкова по-висок е делът на подпомагането с безвъзмездни средства от общото подпомагане за всеки краен бенефициер. В случай на домакинства, живеещи в енергийна бедност, делът на подкрепата под формата на заем от общата подкрепа за краен бенефициер не надвишава 10 %. От домакинствата, получаващи подпомагане по тази мярка, се изисква да постигнат най-малко 30 % икономии на първична енергия, сертифицирани със сертификати за енергийни характеристики (СЕХ). </w:t>
      </w:r>
    </w:p>
    <w:p w14:paraId="63F5B105" w14:textId="77777777" w:rsidR="00CE3BAD" w:rsidRPr="00782BF9" w:rsidRDefault="00CE3BAD">
      <w:pPr>
        <w:keepNext/>
        <w:spacing w:before="120" w:after="160" w:line="240" w:lineRule="auto"/>
        <w:ind w:left="720"/>
        <w:contextualSpacing/>
        <w:jc w:val="both"/>
        <w:rPr>
          <w:rFonts w:ascii="Times New Roman" w:eastAsia="Calibri" w:hAnsi="Times New Roman" w:cs="Times New Roman"/>
          <w:noProof/>
          <w:sz w:val="24"/>
          <w:lang w:val="bg-BG"/>
        </w:rPr>
      </w:pPr>
    </w:p>
    <w:p w14:paraId="54FD7576"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За да осъществят инвестицията в механизма, Унгария и MFB подписват споразумение за изпълнение, което включва следното съдържание:</w:t>
      </w:r>
    </w:p>
    <w:p w14:paraId="1A9012ED" w14:textId="77777777" w:rsidR="00CE3BAD" w:rsidRPr="00782BF9" w:rsidRDefault="006B5475">
      <w:pPr>
        <w:pStyle w:val="P68B1DB1-Normal4"/>
        <w:numPr>
          <w:ilvl w:val="0"/>
          <w:numId w:val="76"/>
        </w:numPr>
        <w:spacing w:before="120" w:after="160" w:line="259" w:lineRule="auto"/>
        <w:jc w:val="both"/>
        <w:rPr>
          <w:rFonts w:eastAsia="Times New Roman" w:cs="Times New Roman"/>
          <w:noProof/>
          <w:lang w:val="bg-BG"/>
        </w:rPr>
      </w:pPr>
      <w:r w:rsidRPr="00782BF9">
        <w:rPr>
          <w:noProof/>
          <w:lang w:val="bg-BG"/>
        </w:rPr>
        <w:t>Описание на процеса на вземане на решения на механизма: Първоначалното инвестиционно решение на механизма се взема от инвестиционен комитет или друг съответен равностоен управителен орган и се одобрява с мнозинство от гласовете на членове, които са независими от унгарското правителство. Окончателното инвестиционно решение на механизма се ограничава до одобрението (без изменения) или упражняването на право на вето върху инвестиционно решение, предложено от инвестиционния комитет или съответния еквивалентен управителен орган. МФП и финансовите посредници, които ще бъдат избрани да съдействат за прилагането на тази мярка, вземат инвестиционни решения по прозрачен, независим и съобразен с пазара начин.</w:t>
      </w:r>
    </w:p>
    <w:p w14:paraId="2432C685" w14:textId="2084B735" w:rsidR="00CE3BAD" w:rsidRPr="00782BF9" w:rsidRDefault="006B5475">
      <w:pPr>
        <w:pStyle w:val="ListParagraph"/>
        <w:numPr>
          <w:ilvl w:val="0"/>
          <w:numId w:val="76"/>
        </w:numPr>
        <w:spacing w:after="160" w:line="360" w:lineRule="auto"/>
        <w:jc w:val="both"/>
        <w:rPr>
          <w:rFonts w:eastAsia="Calibri" w:cs="Times New Roman"/>
          <w:noProof/>
          <w:lang w:val="bg-BG"/>
        </w:rPr>
      </w:pPr>
      <w:r w:rsidRPr="00782BF9">
        <w:rPr>
          <w:noProof/>
          <w:lang w:val="bg-BG"/>
        </w:rPr>
        <w:t>Основни изисквания на свързаната инвестиционна политика,</w:t>
      </w:r>
      <w:r w:rsidRPr="00782BF9">
        <w:rPr>
          <w:b/>
          <w:noProof/>
          <w:lang w:val="bg-BG"/>
        </w:rPr>
        <w:t xml:space="preserve"> </w:t>
      </w:r>
      <w:r w:rsidRPr="00782BF9">
        <w:rPr>
          <w:noProof/>
          <w:lang w:val="bg-BG"/>
        </w:rPr>
        <w:t>които включват:</w:t>
      </w:r>
    </w:p>
    <w:p w14:paraId="41C4A57C" w14:textId="21402C86" w:rsidR="00CE3BAD" w:rsidRPr="00782BF9" w:rsidRDefault="006B5475">
      <w:pPr>
        <w:pStyle w:val="ListParagraph"/>
        <w:numPr>
          <w:ilvl w:val="1"/>
          <w:numId w:val="76"/>
        </w:numPr>
        <w:spacing w:after="160" w:line="360" w:lineRule="auto"/>
        <w:jc w:val="both"/>
        <w:rPr>
          <w:rFonts w:eastAsia="Calibri" w:cs="Times New Roman"/>
          <w:noProof/>
          <w:lang w:val="bg-BG"/>
        </w:rPr>
      </w:pPr>
      <w:r w:rsidRPr="00782BF9">
        <w:rPr>
          <w:noProof/>
          <w:lang w:val="bg-BG"/>
        </w:rPr>
        <w:t>Описанието на финансовия продукт и допустимите крайни бенефициери.</w:t>
      </w:r>
    </w:p>
    <w:p w14:paraId="0CB6F28B" w14:textId="3F5B83BF" w:rsidR="00CE3BAD" w:rsidRPr="00782BF9" w:rsidRDefault="006B5475">
      <w:pPr>
        <w:pStyle w:val="ListParagraph"/>
        <w:numPr>
          <w:ilvl w:val="1"/>
          <w:numId w:val="76"/>
        </w:numPr>
        <w:spacing w:after="0" w:line="360" w:lineRule="auto"/>
        <w:jc w:val="both"/>
        <w:rPr>
          <w:rFonts w:eastAsia="Calibri" w:cs="Times New Roman"/>
          <w:noProof/>
          <w:lang w:val="bg-BG"/>
        </w:rPr>
      </w:pPr>
      <w:r w:rsidRPr="00782BF9">
        <w:rPr>
          <w:noProof/>
          <w:lang w:val="bg-BG"/>
        </w:rPr>
        <w:t>Изискването всички подпомагани инвестиции да са икономически жизнеспособни.</w:t>
      </w:r>
    </w:p>
    <w:p w14:paraId="05CD6AC5" w14:textId="21A8357F" w:rsidR="00CE3BAD" w:rsidRPr="00782BF9" w:rsidRDefault="006B5475">
      <w:pPr>
        <w:pStyle w:val="P68B1DB1-ListParagraph26"/>
        <w:numPr>
          <w:ilvl w:val="1"/>
          <w:numId w:val="76"/>
        </w:numPr>
        <w:spacing w:line="259" w:lineRule="auto"/>
        <w:jc w:val="both"/>
        <w:rPr>
          <w:rFonts w:eastAsia="Calibri" w:cs="Times New Roman"/>
          <w:noProof/>
          <w:lang w:val="bg-BG"/>
        </w:rPr>
      </w:pPr>
      <w:r w:rsidRPr="00782BF9">
        <w:rPr>
          <w:noProof/>
          <w:lang w:val="bg-BG"/>
        </w:rPr>
        <w:t>Изискването за спазване на принципа за ненанасяне на значителни вреди, както е посочено в техническите насоки за НЗВ (2021/C58/01). По-специално инвестиционната политика изключва от допустимост следния списък от дейности и активи: I) дейности и активи, свързани с изкопаеми горива, включително използване надолу по веригата</w:t>
      </w:r>
      <w:r w:rsidRPr="00782BF9">
        <w:rPr>
          <w:noProof/>
          <w:lang w:val="bg-BG"/>
        </w:rPr>
        <w:footnoteReference w:id="17"/>
      </w:r>
      <w:r w:rsidRPr="00782BF9">
        <w:rPr>
          <w:noProof/>
          <w:lang w:val="bg-BG"/>
        </w:rPr>
        <w:t>, ii) дейности и активи в рамките на схемата на ЕС за търговия с емисии (СТЕ), с които се постигат прогнозни емисии на парникови газове, които не са по-ниски от съответните показатели</w:t>
      </w:r>
      <w:r w:rsidRPr="00782BF9">
        <w:rPr>
          <w:noProof/>
          <w:lang w:val="bg-BG"/>
        </w:rPr>
        <w:footnoteReference w:id="18"/>
      </w:r>
      <w:r w:rsidRPr="00782BF9">
        <w:rPr>
          <w:noProof/>
          <w:lang w:val="bg-BG"/>
        </w:rPr>
        <w:t>, iii) дейности и активи, свързани с депа за отпадъци, инсинератори</w:t>
      </w:r>
      <w:r w:rsidRPr="00782BF9">
        <w:rPr>
          <w:noProof/>
          <w:lang w:val="bg-BG"/>
        </w:rPr>
        <w:footnoteReference w:id="19"/>
      </w:r>
      <w:r w:rsidRPr="00782BF9">
        <w:rPr>
          <w:noProof/>
          <w:lang w:val="bg-BG"/>
        </w:rPr>
        <w:t xml:space="preserve"> и инсталации за механично-биологично третиране</w:t>
      </w:r>
      <w:r w:rsidRPr="00782BF9">
        <w:rPr>
          <w:noProof/>
          <w:lang w:val="bg-BG"/>
        </w:rPr>
        <w:footnoteReference w:id="20"/>
      </w:r>
      <w:r w:rsidRPr="00782BF9">
        <w:rPr>
          <w:noProof/>
          <w:lang w:val="bg-BG"/>
        </w:rPr>
        <w:t>. Освен това подпомагането за отоплителни системи на базата на газ не трябва да надхвърля максималния размер от 20 % от общия пакет за тази мярка.</w:t>
      </w:r>
    </w:p>
    <w:p w14:paraId="4D190D79" w14:textId="77777777" w:rsidR="00CE3BAD" w:rsidRPr="00782BF9" w:rsidRDefault="00CE3BAD">
      <w:pPr>
        <w:pStyle w:val="ListParagraph"/>
        <w:spacing w:after="0" w:line="240" w:lineRule="auto"/>
        <w:ind w:left="953"/>
        <w:jc w:val="both"/>
        <w:rPr>
          <w:rFonts w:eastAsia="Calibri" w:cs="Times New Roman"/>
          <w:noProof/>
          <w:lang w:val="bg-BG"/>
        </w:rPr>
      </w:pPr>
    </w:p>
    <w:p w14:paraId="3564CA64" w14:textId="77AF8564" w:rsidR="00CE3BAD" w:rsidRPr="00782BF9" w:rsidRDefault="006B5475">
      <w:pPr>
        <w:pStyle w:val="ListParagraph"/>
        <w:numPr>
          <w:ilvl w:val="1"/>
          <w:numId w:val="76"/>
        </w:numPr>
        <w:spacing w:line="259" w:lineRule="auto"/>
        <w:jc w:val="both"/>
        <w:rPr>
          <w:rFonts w:eastAsia="Calibri" w:cs="Times New Roman"/>
          <w:noProof/>
          <w:lang w:val="bg-BG"/>
        </w:rPr>
      </w:pPr>
      <w:r w:rsidRPr="00782BF9">
        <w:rPr>
          <w:noProof/>
          <w:lang w:val="bg-BG"/>
        </w:rPr>
        <w:t>Изискването крайните бенефициери на механизма да не получават подкрепа от други инструменти на Съюза за покриване на същите разходи.</w:t>
      </w:r>
    </w:p>
    <w:p w14:paraId="541143D9" w14:textId="77777777" w:rsidR="00CE3BAD" w:rsidRPr="00782BF9" w:rsidRDefault="00CE3BAD">
      <w:pPr>
        <w:pStyle w:val="ListParagraph"/>
        <w:spacing w:line="259" w:lineRule="auto"/>
        <w:ind w:left="953"/>
        <w:jc w:val="both"/>
        <w:rPr>
          <w:rFonts w:eastAsia="Calibri" w:cs="Times New Roman"/>
          <w:noProof/>
          <w:lang w:val="bg-BG"/>
        </w:rPr>
      </w:pPr>
    </w:p>
    <w:p w14:paraId="636FF5A5" w14:textId="787C728E" w:rsidR="00CE3BAD" w:rsidRPr="00782BF9" w:rsidRDefault="006B5475">
      <w:pPr>
        <w:pStyle w:val="ListParagraph"/>
        <w:numPr>
          <w:ilvl w:val="0"/>
          <w:numId w:val="76"/>
        </w:numPr>
        <w:spacing w:after="160" w:line="259" w:lineRule="auto"/>
        <w:jc w:val="both"/>
        <w:rPr>
          <w:rFonts w:eastAsia="Calibri" w:cs="Times New Roman"/>
          <w:noProof/>
          <w:lang w:val="bg-BG"/>
        </w:rPr>
      </w:pPr>
      <w:r w:rsidRPr="00782BF9">
        <w:rPr>
          <w:noProof/>
          <w:lang w:val="bg-BG"/>
        </w:rPr>
        <w:t>Сумата, обхваната от споразумението за изпълнение, структурата на таксите за партньора по изпълнението и финансовите посредници и изискването за реинвестиране на обратните потоци в съответствие с инвестиционната политика на Механизма, освен ако те се използват за обслужване на погасяването на заеми по Механизма за възстановяване и устойчивост.</w:t>
      </w:r>
    </w:p>
    <w:p w14:paraId="48BFAADE" w14:textId="77777777" w:rsidR="00CE3BAD" w:rsidRPr="00782BF9" w:rsidRDefault="00CE3BAD">
      <w:pPr>
        <w:pStyle w:val="ListParagraph"/>
        <w:spacing w:after="160" w:line="259" w:lineRule="auto"/>
        <w:ind w:left="476"/>
        <w:jc w:val="both"/>
        <w:rPr>
          <w:rFonts w:eastAsia="Calibri" w:cs="Times New Roman"/>
          <w:noProof/>
          <w:lang w:val="bg-BG"/>
        </w:rPr>
      </w:pPr>
    </w:p>
    <w:p w14:paraId="3F579D73" w14:textId="0828C393" w:rsidR="00CE3BAD" w:rsidRPr="00782BF9" w:rsidRDefault="006B5475">
      <w:pPr>
        <w:pStyle w:val="ListParagraph"/>
        <w:numPr>
          <w:ilvl w:val="0"/>
          <w:numId w:val="76"/>
        </w:numPr>
        <w:spacing w:after="160" w:line="259" w:lineRule="auto"/>
        <w:jc w:val="both"/>
        <w:rPr>
          <w:rFonts w:eastAsia="Calibri" w:cs="Times New Roman"/>
          <w:noProof/>
          <w:lang w:val="bg-BG"/>
        </w:rPr>
      </w:pPr>
      <w:r w:rsidRPr="00782BF9">
        <w:rPr>
          <w:noProof/>
          <w:lang w:val="bg-BG"/>
        </w:rPr>
        <w:t>Изисквания за мониторинг, одит и контрол, включително:</w:t>
      </w:r>
    </w:p>
    <w:p w14:paraId="1F400AB0" w14:textId="14A9887A" w:rsidR="00CE3BAD" w:rsidRPr="00782BF9" w:rsidRDefault="006B5475">
      <w:pPr>
        <w:pStyle w:val="P68B1DB1-Normal4"/>
        <w:numPr>
          <w:ilvl w:val="0"/>
          <w:numId w:val="55"/>
        </w:numPr>
        <w:spacing w:before="120" w:after="160" w:line="240" w:lineRule="auto"/>
        <w:jc w:val="both"/>
        <w:rPr>
          <w:rFonts w:eastAsia="Calibri" w:cs="Times New Roman"/>
          <w:noProof/>
          <w:lang w:val="bg-BG"/>
        </w:rPr>
      </w:pPr>
      <w:r w:rsidRPr="00782BF9">
        <w:rPr>
          <w:noProof/>
          <w:lang w:val="bg-BG"/>
        </w:rPr>
        <w:t>Описание на системата за мониторинг на партньора по изпълнението за докладване относно мобилизираните инвестиции.</w:t>
      </w:r>
    </w:p>
    <w:p w14:paraId="76E6C778" w14:textId="689A01A2" w:rsidR="00CE3BAD" w:rsidRPr="00782BF9" w:rsidRDefault="006B5475">
      <w:pPr>
        <w:pStyle w:val="P68B1DB1-Normal4"/>
        <w:numPr>
          <w:ilvl w:val="0"/>
          <w:numId w:val="55"/>
        </w:numPr>
        <w:spacing w:before="120" w:after="160" w:line="259" w:lineRule="auto"/>
        <w:jc w:val="both"/>
        <w:rPr>
          <w:rFonts w:eastAsia="Calibri" w:cs="Times New Roman"/>
          <w:noProof/>
          <w:lang w:val="bg-BG"/>
        </w:rPr>
      </w:pPr>
      <w:r w:rsidRPr="00782BF9">
        <w:rPr>
          <w:noProof/>
          <w:lang w:val="bg-BG"/>
        </w:rPr>
        <w:t xml:space="preserve">Описание на процедурите на партньора по изпълнението, които гарантират предотвратяването, разкриването и коригирането на измами, корупция и конфликти на интереси. </w:t>
      </w:r>
    </w:p>
    <w:p w14:paraId="0E7F3604" w14:textId="77777777" w:rsidR="00CE3BAD" w:rsidRPr="00782BF9" w:rsidRDefault="006B5475">
      <w:pPr>
        <w:pStyle w:val="P68B1DB1-Normal4"/>
        <w:numPr>
          <w:ilvl w:val="0"/>
          <w:numId w:val="55"/>
        </w:numPr>
        <w:spacing w:before="120" w:after="160" w:line="259" w:lineRule="auto"/>
        <w:jc w:val="both"/>
        <w:rPr>
          <w:rFonts w:eastAsia="Calibri" w:cs="Times New Roman"/>
          <w:noProof/>
          <w:lang w:val="bg-BG"/>
        </w:rPr>
      </w:pPr>
      <w:r w:rsidRPr="00782BF9">
        <w:rPr>
          <w:noProof/>
          <w:lang w:val="bg-BG"/>
        </w:rPr>
        <w:t>Задължението за проверка на допустимостта на всяка операция в съответствие с изискванията, определени в споразумението за изпълнение, преди да се поеме ангажимент за финансиране на операция.</w:t>
      </w:r>
    </w:p>
    <w:p w14:paraId="4147EED3" w14:textId="77777777" w:rsidR="00CE3BAD" w:rsidRPr="00782BF9" w:rsidRDefault="006B5475">
      <w:pPr>
        <w:pStyle w:val="P68B1DB1-Normal4"/>
        <w:numPr>
          <w:ilvl w:val="0"/>
          <w:numId w:val="55"/>
        </w:numPr>
        <w:spacing w:before="120" w:after="160" w:line="240" w:lineRule="auto"/>
        <w:jc w:val="both"/>
        <w:rPr>
          <w:rFonts w:eastAsia="Calibri" w:cs="Times New Roman"/>
          <w:noProof/>
          <w:lang w:val="bg-BG"/>
        </w:rPr>
      </w:pPr>
      <w:r w:rsidRPr="00782BF9">
        <w:rPr>
          <w:noProof/>
          <w:lang w:val="bg-BG"/>
        </w:rPr>
        <w:t xml:space="preserve">Задължението за извършване на последващи одити, основани на риска, в съответствие с одитен план на МФБ. Тези одити проверяват i) дали системите за контрол са ефективни, включително разкриването на измами, корупция и конфликт на интереси; II) спазване на принципа за ненанасяне на значителни вреди, правилата за държавна помощ, изискванията във връзка с целта в областта на климата; и iii) изискването крайните бенефициери на механизма да не са получили подкрепа от други инструменти на Съюза за покриване на същите разходи, е спазено. Одитите проверяват също така законосъобразността на трансакциите и спазването на условията на приложимите споразумение за изпълнение и споразумения за финансиране. </w:t>
      </w:r>
    </w:p>
    <w:p w14:paraId="12600157" w14:textId="0D822334" w:rsidR="00CE3BAD" w:rsidRPr="00782BF9" w:rsidRDefault="006B5475">
      <w:pPr>
        <w:pStyle w:val="ListParagraph"/>
        <w:numPr>
          <w:ilvl w:val="0"/>
          <w:numId w:val="55"/>
        </w:numPr>
        <w:spacing w:before="120" w:after="160" w:line="240" w:lineRule="auto"/>
        <w:ind w:left="426" w:hanging="426"/>
        <w:jc w:val="both"/>
        <w:rPr>
          <w:rFonts w:eastAsia="Calibri" w:cs="Times New Roman"/>
          <w:noProof/>
          <w:lang w:val="bg-BG"/>
        </w:rPr>
      </w:pPr>
      <w:r w:rsidRPr="00782BF9">
        <w:rPr>
          <w:noProof/>
          <w:lang w:val="bg-BG"/>
        </w:rPr>
        <w:t>Изисквания за инвестиции в областта на климата, извършени от партньора по изпълнението: Най-малко 589 272 091 EUR от инвестициите по МВУ в Механизма допринасят за целите във връзка с изменението на климата в съответствие с приложение VI към Регламента за МВУ.</w:t>
      </w:r>
      <w:r w:rsidRPr="00782BF9">
        <w:rPr>
          <w:rStyle w:val="FootnoteReference"/>
          <w:noProof/>
          <w:lang w:val="bg-BG"/>
        </w:rPr>
        <w:footnoteReference w:id="21"/>
      </w:r>
      <w:r w:rsidRPr="00782BF9">
        <w:rPr>
          <w:noProof/>
          <w:lang w:val="bg-BG"/>
        </w:rPr>
        <w:t xml:space="preserve"> </w:t>
      </w:r>
    </w:p>
    <w:p w14:paraId="55AEC59B" w14:textId="77777777" w:rsidR="00CE3BAD" w:rsidRPr="00782BF9" w:rsidRDefault="00CE3BAD">
      <w:pPr>
        <w:pStyle w:val="ListParagraph"/>
        <w:spacing w:before="120" w:after="160" w:line="240" w:lineRule="auto"/>
        <w:ind w:left="426"/>
        <w:jc w:val="both"/>
        <w:rPr>
          <w:rFonts w:eastAsia="Calibri" w:cs="Times New Roman"/>
          <w:noProof/>
          <w:lang w:val="bg-BG"/>
        </w:rPr>
      </w:pPr>
    </w:p>
    <w:p w14:paraId="39E6FC25" w14:textId="77777777" w:rsidR="00CE3BAD" w:rsidRPr="00782BF9" w:rsidRDefault="006B5475">
      <w:pPr>
        <w:pStyle w:val="ListParagraph"/>
        <w:numPr>
          <w:ilvl w:val="0"/>
          <w:numId w:val="55"/>
        </w:numPr>
        <w:spacing w:before="120" w:after="160" w:line="240" w:lineRule="auto"/>
        <w:ind w:left="426" w:hanging="426"/>
        <w:jc w:val="both"/>
        <w:rPr>
          <w:rFonts w:eastAsia="Calibri" w:cs="Times New Roman"/>
          <w:noProof/>
          <w:lang w:val="bg-BG"/>
        </w:rPr>
      </w:pPr>
      <w:r w:rsidRPr="00782BF9">
        <w:rPr>
          <w:noProof/>
          <w:lang w:val="bg-BG"/>
        </w:rPr>
        <w:t xml:space="preserve">Изисквания за подбор на финансови посредници: ЗМФ избира финансовите посредници по открит, прозрачен и недискриминационен начин. Контролът за липса на конфликт на интереси по отношение на финансовите посредници се извършва и се извършва предварително за всички участващи финансови участници. </w:t>
      </w:r>
    </w:p>
    <w:p w14:paraId="6D63E225" w14:textId="77777777" w:rsidR="00CE3BAD" w:rsidRPr="00782BF9" w:rsidRDefault="00CE3BAD">
      <w:pPr>
        <w:pStyle w:val="ListParagraph"/>
        <w:rPr>
          <w:noProof/>
          <w:lang w:val="bg-BG"/>
        </w:rPr>
      </w:pPr>
    </w:p>
    <w:p w14:paraId="41C90CDE" w14:textId="00B1A3D6" w:rsidR="00CE3BAD" w:rsidRPr="00782BF9" w:rsidRDefault="006B5475">
      <w:pPr>
        <w:pStyle w:val="ListParagraph"/>
        <w:numPr>
          <w:ilvl w:val="0"/>
          <w:numId w:val="55"/>
        </w:numPr>
        <w:spacing w:before="120" w:after="160" w:line="240" w:lineRule="auto"/>
        <w:ind w:left="426" w:hanging="426"/>
        <w:jc w:val="both"/>
        <w:rPr>
          <w:rFonts w:eastAsia="Calibri" w:cs="Times New Roman"/>
          <w:noProof/>
          <w:lang w:val="bg-BG"/>
        </w:rPr>
      </w:pPr>
      <w:r w:rsidRPr="00782BF9">
        <w:rPr>
          <w:noProof/>
          <w:lang w:val="bg-BG"/>
        </w:rPr>
        <w:t xml:space="preserve">Изискване за подписване на споразумения за финансиране: MFB подписва споразумения за финансиране с финансовите посредници в съответствие с основните изисквания, които се предоставят като приложение към споразумението за изпълнение. Основните изисквания на споразумението за финансиране включват всички изисквания, съгласно които функционира механизмът, включително: </w:t>
      </w:r>
    </w:p>
    <w:p w14:paraId="58FF7C0F" w14:textId="77777777" w:rsidR="00CE3BAD" w:rsidRPr="00782BF9" w:rsidRDefault="006B5475">
      <w:pPr>
        <w:pStyle w:val="P68B1DB1-Normal4"/>
        <w:numPr>
          <w:ilvl w:val="0"/>
          <w:numId w:val="77"/>
        </w:numPr>
        <w:spacing w:before="120" w:after="160" w:line="240" w:lineRule="auto"/>
        <w:jc w:val="both"/>
        <w:rPr>
          <w:rFonts w:eastAsia="Calibri" w:cs="Times New Roman"/>
          <w:noProof/>
          <w:lang w:val="bg-BG"/>
        </w:rPr>
      </w:pPr>
      <w:r w:rsidRPr="00782BF9">
        <w:rPr>
          <w:noProof/>
          <w:lang w:val="bg-BG"/>
        </w:rPr>
        <w:t xml:space="preserve">Задължението на финансовия посредник да взема решенията си в съответствие </w:t>
      </w:r>
      <w:r w:rsidRPr="00782BF9">
        <w:rPr>
          <w:i/>
          <w:noProof/>
          <w:lang w:val="bg-BG"/>
        </w:rPr>
        <w:t>mutatis mutandis</w:t>
      </w:r>
      <w:r w:rsidRPr="00782BF9">
        <w:rPr>
          <w:noProof/>
          <w:lang w:val="bg-BG"/>
        </w:rPr>
        <w:t xml:space="preserve"> с изискванията за вземане на решения и инвестиционната политика, посочени по-горе, включително във връзка със спазването на принципа за ненанасяне на значителни вреди.</w:t>
      </w:r>
    </w:p>
    <w:p w14:paraId="5C473C5D" w14:textId="77777777" w:rsidR="00CE3BAD" w:rsidRPr="00782BF9" w:rsidRDefault="006B5475">
      <w:pPr>
        <w:pStyle w:val="P68B1DB1-Normal4"/>
        <w:numPr>
          <w:ilvl w:val="0"/>
          <w:numId w:val="77"/>
        </w:numPr>
        <w:spacing w:before="120" w:after="160" w:line="240" w:lineRule="auto"/>
        <w:jc w:val="both"/>
        <w:rPr>
          <w:rFonts w:eastAsia="Calibri" w:cs="Times New Roman"/>
          <w:noProof/>
          <w:lang w:val="bg-BG"/>
        </w:rPr>
      </w:pPr>
      <w:r w:rsidRPr="00782BF9">
        <w:rPr>
          <w:noProof/>
          <w:lang w:val="bg-BG"/>
        </w:rPr>
        <w:t xml:space="preserve">Описанието на рамката за мониторинг, одит и контрол, която финансовият посредник въвежда и която </w:t>
      </w:r>
      <w:r w:rsidRPr="00782BF9">
        <w:rPr>
          <w:i/>
          <w:noProof/>
          <w:lang w:val="bg-BG"/>
        </w:rPr>
        <w:t>mutatis mutandis</w:t>
      </w:r>
      <w:r w:rsidRPr="00782BF9">
        <w:rPr>
          <w:noProof/>
          <w:lang w:val="bg-BG"/>
        </w:rPr>
        <w:t xml:space="preserve"> подлежи на всички изисквания за мониторинг, одит и контрол, посочени по-горе. </w:t>
      </w:r>
    </w:p>
    <w:p w14:paraId="33E3B1B9"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31 август 2026 г.</w:t>
      </w:r>
    </w:p>
    <w:p w14:paraId="4125DC4D"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6481447F" w14:textId="1DCBC79F" w:rsidR="00CE3BAD" w:rsidRPr="00782BF9" w:rsidRDefault="0067185D">
      <w:pPr>
        <w:pStyle w:val="P68B1DB1-Normal2"/>
        <w:spacing w:before="120" w:after="120" w:line="240" w:lineRule="auto"/>
        <w:jc w:val="both"/>
        <w:rPr>
          <w:rFonts w:eastAsia="Calibri"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14: Създаване на финансов инструмент за увеличаване на разгръщането на зарядни станции за електрически превозни средства (ЕПС)</w:t>
      </w:r>
    </w:p>
    <w:p w14:paraId="4E2DA3C3" w14:textId="4BBA80FD"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Мярката се състои от публични инвестиции в механизъм, за да се стимулират частните инвестиции и да се подобри достъпът до финансиране в сектора на електромобилността в Унгария чрез развитие на инфраструктурата за зареждане на електрически превозни средства. Механизмът функционира чрез предоставяне на комбинирана подкрепа под формата на заеми и безвъзмездни средства пряко на частния сектор, както и на субекти от публичния сектор, занимаващи се с подобни дейности. Въз основа на инвестициите по МВУ Механизмът има за цел първоначално да предостави финансиране в размер на най-малко 73 640 597 EUR.</w:t>
      </w:r>
    </w:p>
    <w:p w14:paraId="47F051B2" w14:textId="18822EB2"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Механизмът се управлява от Унгарската банка за развитие (</w:t>
      </w:r>
      <w:r w:rsidRPr="00782BF9">
        <w:rPr>
          <w:i/>
          <w:noProof/>
          <w:lang w:val="bg-BG"/>
        </w:rPr>
        <w:t>Magyar Fejlesztési Bank Zrt.</w:t>
      </w:r>
      <w:r w:rsidRPr="00782BF9">
        <w:rPr>
          <w:noProof/>
          <w:lang w:val="bg-BG"/>
        </w:rPr>
        <w:t xml:space="preserve"> — MFB) като партньор по изпълнението. Механизмът включва следната продуктова линия:</w:t>
      </w:r>
    </w:p>
    <w:p w14:paraId="697AFC0B" w14:textId="77777777" w:rsidR="00CE3BAD" w:rsidRPr="00782BF9" w:rsidRDefault="006B5475">
      <w:pPr>
        <w:pStyle w:val="P68B1DB1-Normal4"/>
        <w:keepNext/>
        <w:numPr>
          <w:ilvl w:val="0"/>
          <w:numId w:val="54"/>
        </w:numPr>
        <w:spacing w:before="120" w:after="160" w:line="240" w:lineRule="auto"/>
        <w:contextualSpacing/>
        <w:jc w:val="both"/>
        <w:rPr>
          <w:rFonts w:eastAsia="Calibri" w:cs="Times New Roman"/>
          <w:noProof/>
          <w:lang w:val="bg-BG"/>
        </w:rPr>
      </w:pPr>
      <w:r w:rsidRPr="00782BF9">
        <w:rPr>
          <w:noProof/>
          <w:lang w:val="bg-BG"/>
        </w:rPr>
        <w:t>Комбинирано отпускане на заеми и безвъзмездни средства за инсталирането на зарядни станции. Делът на безвъзмездните средства и заемите се определя въз основа на следните критерии:</w:t>
      </w:r>
    </w:p>
    <w:p w14:paraId="2E241ECB" w14:textId="77777777" w:rsidR="00CE3BAD" w:rsidRPr="00782BF9" w:rsidRDefault="006B5475">
      <w:pPr>
        <w:pStyle w:val="P68B1DB1-Normal4"/>
        <w:keepNext/>
        <w:numPr>
          <w:ilvl w:val="1"/>
          <w:numId w:val="54"/>
        </w:numPr>
        <w:spacing w:before="120" w:after="160" w:line="240" w:lineRule="auto"/>
        <w:contextualSpacing/>
        <w:jc w:val="both"/>
        <w:rPr>
          <w:rFonts w:eastAsia="Calibri" w:cs="Times New Roman"/>
          <w:noProof/>
          <w:lang w:val="bg-BG"/>
        </w:rPr>
      </w:pPr>
      <w:r w:rsidRPr="00782BF9">
        <w:rPr>
          <w:noProof/>
          <w:lang w:val="bg-BG"/>
        </w:rPr>
        <w:t>картата на регионалните държавни помощи, включена в член 36а от Общия регламент за групово освобождаване (ОРГО);</w:t>
      </w:r>
    </w:p>
    <w:p w14:paraId="3ABE21B2" w14:textId="77777777" w:rsidR="00CE3BAD" w:rsidRPr="00782BF9" w:rsidRDefault="006B5475">
      <w:pPr>
        <w:pStyle w:val="P68B1DB1-Normal4"/>
        <w:keepNext/>
        <w:numPr>
          <w:ilvl w:val="1"/>
          <w:numId w:val="54"/>
        </w:numPr>
        <w:spacing w:before="120" w:after="160" w:line="240" w:lineRule="auto"/>
        <w:contextualSpacing/>
        <w:jc w:val="both"/>
        <w:rPr>
          <w:rFonts w:eastAsia="Calibri" w:cs="Times New Roman"/>
          <w:noProof/>
          <w:lang w:val="bg-BG"/>
        </w:rPr>
      </w:pPr>
      <w:r w:rsidRPr="00782BF9">
        <w:rPr>
          <w:noProof/>
          <w:lang w:val="bg-BG"/>
        </w:rPr>
        <w:t>размера на дружеството, кандидатстващо за механизма. А именно, колкото по-малко е дружеството, толкова по-висок е делът на безвъзмездната помощ;</w:t>
      </w:r>
    </w:p>
    <w:p w14:paraId="2B1F7C3D" w14:textId="77777777" w:rsidR="00CE3BAD" w:rsidRPr="00782BF9" w:rsidRDefault="006B5475">
      <w:pPr>
        <w:pStyle w:val="P68B1DB1-Normal4"/>
        <w:keepNext/>
        <w:numPr>
          <w:ilvl w:val="1"/>
          <w:numId w:val="54"/>
        </w:numPr>
        <w:spacing w:before="120" w:after="160" w:line="240" w:lineRule="auto"/>
        <w:contextualSpacing/>
        <w:jc w:val="both"/>
        <w:rPr>
          <w:rFonts w:eastAsia="Calibri" w:cs="Times New Roman"/>
          <w:noProof/>
          <w:lang w:val="bg-BG"/>
        </w:rPr>
      </w:pPr>
      <w:r w:rsidRPr="00782BF9">
        <w:rPr>
          <w:noProof/>
          <w:lang w:val="bg-BG"/>
        </w:rPr>
        <w:t>съотношението на зарядните точки за тежкотоварни превозни средства (ТПС) на станция, които трябва да бъдат инсталирани от крайните бенефициери. По-специално, по-високото е съотношението на ТПС, а по-високият е делът на безвъзмездната помощ.</w:t>
      </w:r>
    </w:p>
    <w:p w14:paraId="71EDEA14"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За да осъществят инвестицията в механизма, Унгария и MFB подписват споразумение за изпълнение, което включва следното съдържание:</w:t>
      </w:r>
    </w:p>
    <w:p w14:paraId="4F39EAC4" w14:textId="77777777" w:rsidR="00CE3BAD" w:rsidRPr="00782BF9" w:rsidRDefault="006B5475">
      <w:pPr>
        <w:pStyle w:val="P68B1DB1-Normal4"/>
        <w:numPr>
          <w:ilvl w:val="0"/>
          <w:numId w:val="74"/>
        </w:numPr>
        <w:spacing w:before="120" w:after="160" w:line="259" w:lineRule="auto"/>
        <w:jc w:val="both"/>
        <w:rPr>
          <w:rFonts w:eastAsia="Times New Roman" w:cs="Times New Roman"/>
          <w:noProof/>
          <w:lang w:val="bg-BG"/>
        </w:rPr>
      </w:pPr>
      <w:r w:rsidRPr="00782BF9">
        <w:rPr>
          <w:noProof/>
          <w:lang w:val="bg-BG"/>
        </w:rPr>
        <w:t>Описание на процеса на вземане на решения на механизма: Първоначалното инвестиционно решение на механизма се взема от инвестиционен комитет или друг съответен равностоен управителен орган и се одобрява с мнозинство от гласовете на членове, които са независими от унгарското правителство. Окончателното инвестиционно решение на механизма се ограничава до одобрението (без изменения) или упражняването на право на вето върху инвестиционно решение, предложено от инвестиционния комитет или съответния еквивалентен управителен орган. MFB взема инвестиционни решения по прозрачен, независим и съобразен с пазара начин.</w:t>
      </w:r>
    </w:p>
    <w:p w14:paraId="7BF03173" w14:textId="77777777" w:rsidR="00CE3BAD" w:rsidRPr="00782BF9" w:rsidRDefault="006B5475">
      <w:pPr>
        <w:pStyle w:val="ListParagraph"/>
        <w:numPr>
          <w:ilvl w:val="0"/>
          <w:numId w:val="74"/>
        </w:numPr>
        <w:spacing w:after="160" w:line="259" w:lineRule="auto"/>
        <w:jc w:val="both"/>
        <w:rPr>
          <w:rFonts w:eastAsia="Calibri" w:cs="Times New Roman"/>
          <w:noProof/>
          <w:lang w:val="bg-BG"/>
        </w:rPr>
      </w:pPr>
      <w:r w:rsidRPr="00782BF9">
        <w:rPr>
          <w:noProof/>
          <w:lang w:val="bg-BG"/>
        </w:rPr>
        <w:t>Основни изисквания на свързаната инвестиционна политика,</w:t>
      </w:r>
      <w:r w:rsidRPr="00782BF9">
        <w:rPr>
          <w:b/>
          <w:noProof/>
          <w:lang w:val="bg-BG"/>
        </w:rPr>
        <w:t xml:space="preserve"> </w:t>
      </w:r>
      <w:r w:rsidRPr="00782BF9">
        <w:rPr>
          <w:noProof/>
          <w:lang w:val="bg-BG"/>
        </w:rPr>
        <w:t>които включват:</w:t>
      </w:r>
    </w:p>
    <w:p w14:paraId="2067B91B" w14:textId="77777777" w:rsidR="00CE3BAD" w:rsidRPr="00782BF9" w:rsidRDefault="00CE3BAD">
      <w:pPr>
        <w:pStyle w:val="ListParagraph"/>
        <w:spacing w:after="160" w:line="259" w:lineRule="auto"/>
        <w:ind w:left="1080"/>
        <w:jc w:val="both"/>
        <w:rPr>
          <w:rFonts w:eastAsia="Calibri" w:cs="Times New Roman"/>
          <w:noProof/>
          <w:lang w:val="bg-BG"/>
        </w:rPr>
      </w:pPr>
    </w:p>
    <w:p w14:paraId="57A20C12" w14:textId="77777777" w:rsidR="00CE3BAD" w:rsidRPr="00782BF9" w:rsidRDefault="006B5475">
      <w:pPr>
        <w:pStyle w:val="ListParagraph"/>
        <w:numPr>
          <w:ilvl w:val="2"/>
          <w:numId w:val="75"/>
        </w:numPr>
        <w:spacing w:after="160" w:line="360" w:lineRule="auto"/>
        <w:jc w:val="both"/>
        <w:rPr>
          <w:rFonts w:eastAsia="Calibri" w:cs="Times New Roman"/>
          <w:noProof/>
          <w:lang w:val="bg-BG"/>
        </w:rPr>
      </w:pPr>
      <w:r w:rsidRPr="00782BF9">
        <w:rPr>
          <w:noProof/>
          <w:lang w:val="bg-BG"/>
        </w:rPr>
        <w:t>Описанието на финансовия продукт и допустимите крайни бенефициери.</w:t>
      </w:r>
    </w:p>
    <w:p w14:paraId="7EC99010" w14:textId="77777777" w:rsidR="00CE3BAD" w:rsidRPr="00782BF9" w:rsidRDefault="006B5475">
      <w:pPr>
        <w:pStyle w:val="ListParagraph"/>
        <w:numPr>
          <w:ilvl w:val="2"/>
          <w:numId w:val="75"/>
        </w:numPr>
        <w:spacing w:after="160" w:line="360" w:lineRule="auto"/>
        <w:jc w:val="both"/>
        <w:rPr>
          <w:rFonts w:eastAsia="Calibri" w:cs="Times New Roman"/>
          <w:noProof/>
          <w:lang w:val="bg-BG"/>
        </w:rPr>
      </w:pPr>
      <w:r w:rsidRPr="00782BF9">
        <w:rPr>
          <w:noProof/>
          <w:lang w:val="bg-BG"/>
        </w:rPr>
        <w:t>Изискването всички подпомагани инвестиции да са икономически жизнеспособни</w:t>
      </w:r>
      <w:r w:rsidRPr="00782BF9">
        <w:rPr>
          <w:b/>
          <w:noProof/>
          <w:lang w:val="bg-BG"/>
        </w:rPr>
        <w:t>.</w:t>
      </w:r>
    </w:p>
    <w:p w14:paraId="6DFABF84" w14:textId="04D5736D" w:rsidR="00CE3BAD" w:rsidRPr="00782BF9" w:rsidRDefault="006B5475">
      <w:pPr>
        <w:pStyle w:val="P68B1DB1-ListParagraph26"/>
        <w:numPr>
          <w:ilvl w:val="2"/>
          <w:numId w:val="75"/>
        </w:numPr>
        <w:spacing w:after="160" w:line="259" w:lineRule="auto"/>
        <w:jc w:val="both"/>
        <w:rPr>
          <w:rFonts w:eastAsia="Calibri" w:cs="Times New Roman"/>
          <w:noProof/>
          <w:lang w:val="bg-BG"/>
        </w:rPr>
      </w:pPr>
      <w:r w:rsidRPr="00782BF9">
        <w:rPr>
          <w:noProof/>
          <w:lang w:val="bg-BG"/>
        </w:rPr>
        <w:t>Изискването за спазване на принципа за ненанасяне на значителни вреди, както е посочено в техническите насоки за НЗВ (2021/C58/01). По-специално инвестиционната политика изключва от допустимост следния списък от дейности и активи: I) дейности и активи, свързани с изкопаеми горива, включително използване надолу по веригата</w:t>
      </w:r>
      <w:r w:rsidRPr="00782BF9">
        <w:rPr>
          <w:noProof/>
          <w:lang w:val="bg-BG"/>
        </w:rPr>
        <w:footnoteReference w:id="22"/>
      </w:r>
      <w:r w:rsidRPr="00782BF9">
        <w:rPr>
          <w:noProof/>
          <w:lang w:val="bg-BG"/>
        </w:rPr>
        <w:t>, ii) дейности и активи в рамките на схемата на ЕС за търговия с емисии (СТЕ), с които се постигат прогнозни емисии на парникови газове, които не са по-ниски от съответните показатели</w:t>
      </w:r>
      <w:r w:rsidRPr="00782BF9">
        <w:rPr>
          <w:noProof/>
          <w:lang w:val="bg-BG"/>
        </w:rPr>
        <w:footnoteReference w:id="23"/>
      </w:r>
      <w:r w:rsidRPr="00782BF9">
        <w:rPr>
          <w:noProof/>
          <w:lang w:val="bg-BG"/>
        </w:rPr>
        <w:t>, iii) дейности и активи, свързани с депа за отпадъци, инсинератори</w:t>
      </w:r>
      <w:r w:rsidRPr="00782BF9">
        <w:rPr>
          <w:noProof/>
          <w:lang w:val="bg-BG"/>
        </w:rPr>
        <w:footnoteReference w:id="24"/>
      </w:r>
      <w:r w:rsidRPr="00782BF9">
        <w:rPr>
          <w:noProof/>
          <w:lang w:val="bg-BG"/>
        </w:rPr>
        <w:t xml:space="preserve"> и инсталации за механично-биологично третиране</w:t>
      </w:r>
      <w:r w:rsidRPr="00782BF9">
        <w:rPr>
          <w:noProof/>
          <w:lang w:val="bg-BG"/>
        </w:rPr>
        <w:footnoteReference w:id="25"/>
      </w:r>
      <w:r w:rsidRPr="00782BF9">
        <w:rPr>
          <w:noProof/>
          <w:lang w:val="bg-BG"/>
        </w:rPr>
        <w:t xml:space="preserve">. </w:t>
      </w:r>
    </w:p>
    <w:p w14:paraId="0BB9DD7D" w14:textId="77777777" w:rsidR="00CE3BAD" w:rsidRPr="00782BF9" w:rsidRDefault="00CE3BAD">
      <w:pPr>
        <w:pStyle w:val="ListParagraph"/>
        <w:spacing w:after="160" w:line="259" w:lineRule="auto"/>
        <w:ind w:left="1080"/>
        <w:jc w:val="both"/>
        <w:rPr>
          <w:rFonts w:eastAsia="Calibri" w:cs="Times New Roman"/>
          <w:noProof/>
          <w:lang w:val="bg-BG"/>
        </w:rPr>
      </w:pPr>
    </w:p>
    <w:p w14:paraId="7237143A" w14:textId="1686090B" w:rsidR="00CE3BAD" w:rsidRPr="00782BF9" w:rsidRDefault="006B5475">
      <w:pPr>
        <w:pStyle w:val="ListParagraph"/>
        <w:numPr>
          <w:ilvl w:val="2"/>
          <w:numId w:val="75"/>
        </w:numPr>
        <w:spacing w:after="160" w:line="259" w:lineRule="auto"/>
        <w:jc w:val="both"/>
        <w:rPr>
          <w:rFonts w:eastAsia="Calibri" w:cs="Times New Roman"/>
          <w:noProof/>
          <w:lang w:val="bg-BG"/>
        </w:rPr>
      </w:pPr>
      <w:r w:rsidRPr="00782BF9">
        <w:rPr>
          <w:noProof/>
          <w:lang w:val="bg-BG"/>
        </w:rPr>
        <w:t>Изискването крайните бенефициери на механизма да не получават подкрепа от други инструменти на Съюза за покриване на същите разходи.</w:t>
      </w:r>
    </w:p>
    <w:p w14:paraId="2F15AA63" w14:textId="77777777" w:rsidR="00CE3BAD" w:rsidRPr="00782BF9" w:rsidRDefault="00CE3BAD">
      <w:pPr>
        <w:pStyle w:val="ListParagraph"/>
        <w:spacing w:after="160" w:line="259" w:lineRule="auto"/>
        <w:ind w:left="1080"/>
        <w:jc w:val="both"/>
        <w:rPr>
          <w:rFonts w:eastAsia="Calibri" w:cs="Times New Roman"/>
          <w:noProof/>
          <w:lang w:val="bg-BG"/>
        </w:rPr>
      </w:pPr>
    </w:p>
    <w:p w14:paraId="2FB5E0C9" w14:textId="7FA09428" w:rsidR="00CE3BAD" w:rsidRPr="00782BF9" w:rsidRDefault="006B5475">
      <w:pPr>
        <w:pStyle w:val="ListParagraph"/>
        <w:numPr>
          <w:ilvl w:val="0"/>
          <w:numId w:val="74"/>
        </w:numPr>
        <w:spacing w:after="160" w:line="259" w:lineRule="auto"/>
        <w:jc w:val="both"/>
        <w:rPr>
          <w:rFonts w:eastAsia="Calibri" w:cs="Times New Roman"/>
          <w:noProof/>
          <w:lang w:val="bg-BG"/>
        </w:rPr>
      </w:pPr>
      <w:r w:rsidRPr="00782BF9">
        <w:rPr>
          <w:noProof/>
          <w:lang w:val="bg-BG"/>
        </w:rPr>
        <w:t>Сумата, обхваната от споразумението за изпълнение, структурата на таксите за партньора по изпълнението и изискването за реинвестиране на обратните потоци в съответствие с инвестиционната политика на Механизма, освен ако те се използват за обслужване на погасяването на заеми по Механизма за възстановяване и устойчивост.</w:t>
      </w:r>
    </w:p>
    <w:p w14:paraId="3276F342" w14:textId="77777777" w:rsidR="00CE3BAD" w:rsidRPr="00782BF9" w:rsidRDefault="00CE3BAD">
      <w:pPr>
        <w:pStyle w:val="ListParagraph"/>
        <w:spacing w:after="160" w:line="259" w:lineRule="auto"/>
        <w:ind w:left="476"/>
        <w:jc w:val="both"/>
        <w:rPr>
          <w:rFonts w:eastAsia="Calibri" w:cs="Times New Roman"/>
          <w:noProof/>
          <w:lang w:val="bg-BG"/>
        </w:rPr>
      </w:pPr>
    </w:p>
    <w:p w14:paraId="69DD373B" w14:textId="7B66BEE2" w:rsidR="00CE3BAD" w:rsidRPr="00782BF9" w:rsidRDefault="006B5475">
      <w:pPr>
        <w:pStyle w:val="ListParagraph"/>
        <w:numPr>
          <w:ilvl w:val="0"/>
          <w:numId w:val="74"/>
        </w:numPr>
        <w:spacing w:after="160" w:line="259" w:lineRule="auto"/>
        <w:jc w:val="both"/>
        <w:rPr>
          <w:rFonts w:eastAsia="Calibri" w:cs="Times New Roman"/>
          <w:noProof/>
          <w:lang w:val="bg-BG"/>
        </w:rPr>
      </w:pPr>
      <w:r w:rsidRPr="00782BF9">
        <w:rPr>
          <w:noProof/>
          <w:lang w:val="bg-BG"/>
        </w:rPr>
        <w:t>Изисквания за мониторинг, одит и контрол, включително:</w:t>
      </w:r>
    </w:p>
    <w:p w14:paraId="669CC3B9" w14:textId="70A2BD79" w:rsidR="00CE3BAD" w:rsidRPr="00782BF9" w:rsidRDefault="006B5475">
      <w:pPr>
        <w:pStyle w:val="P68B1DB1-Normal4"/>
        <w:numPr>
          <w:ilvl w:val="0"/>
          <w:numId w:val="67"/>
        </w:numPr>
        <w:spacing w:before="120" w:after="160" w:line="240" w:lineRule="auto"/>
        <w:jc w:val="both"/>
        <w:rPr>
          <w:rFonts w:eastAsia="Calibri" w:cs="Times New Roman"/>
          <w:noProof/>
          <w:lang w:val="bg-BG"/>
        </w:rPr>
      </w:pPr>
      <w:r w:rsidRPr="00782BF9">
        <w:rPr>
          <w:noProof/>
          <w:lang w:val="bg-BG"/>
        </w:rPr>
        <w:t>Описание на системата за мониторинг на партньора по изпълнението за докладване относно мобилизираните инвестиции.</w:t>
      </w:r>
    </w:p>
    <w:p w14:paraId="270D82A0" w14:textId="2AE92AA6" w:rsidR="00CE3BAD" w:rsidRPr="00782BF9" w:rsidRDefault="006B5475">
      <w:pPr>
        <w:pStyle w:val="P68B1DB1-Normal4"/>
        <w:numPr>
          <w:ilvl w:val="0"/>
          <w:numId w:val="67"/>
        </w:numPr>
        <w:spacing w:before="120" w:after="160" w:line="259" w:lineRule="auto"/>
        <w:jc w:val="both"/>
        <w:rPr>
          <w:rFonts w:eastAsia="Calibri" w:cs="Times New Roman"/>
          <w:noProof/>
          <w:lang w:val="bg-BG"/>
        </w:rPr>
      </w:pPr>
      <w:r w:rsidRPr="00782BF9">
        <w:rPr>
          <w:noProof/>
          <w:lang w:val="bg-BG"/>
        </w:rPr>
        <w:t xml:space="preserve">Описание на процедурите на партньора по изпълнението, които гарантират предотвратяването, разкриването и коригирането на измами, корупция и конфликти на интереси. </w:t>
      </w:r>
    </w:p>
    <w:p w14:paraId="4C58F59D" w14:textId="77777777" w:rsidR="00CE3BAD" w:rsidRPr="00782BF9" w:rsidRDefault="006B5475">
      <w:pPr>
        <w:pStyle w:val="P68B1DB1-Normal4"/>
        <w:numPr>
          <w:ilvl w:val="0"/>
          <w:numId w:val="67"/>
        </w:numPr>
        <w:spacing w:before="120" w:after="160" w:line="259" w:lineRule="auto"/>
        <w:jc w:val="both"/>
        <w:rPr>
          <w:rFonts w:eastAsia="Calibri" w:cs="Times New Roman"/>
          <w:noProof/>
          <w:lang w:val="bg-BG"/>
        </w:rPr>
      </w:pPr>
      <w:r w:rsidRPr="00782BF9">
        <w:rPr>
          <w:noProof/>
          <w:lang w:val="bg-BG"/>
        </w:rPr>
        <w:t>Задължението за проверка на допустимостта на всяка операция в съответствие с изискванията, определени в споразумението за изпълнение, преди да се поеме ангажимент за финансиране на операция.</w:t>
      </w:r>
    </w:p>
    <w:p w14:paraId="0BD35870" w14:textId="77777777" w:rsidR="00CE3BAD" w:rsidRPr="00782BF9" w:rsidRDefault="006B5475">
      <w:pPr>
        <w:pStyle w:val="P68B1DB1-Normal4"/>
        <w:numPr>
          <w:ilvl w:val="0"/>
          <w:numId w:val="67"/>
        </w:numPr>
        <w:spacing w:before="120" w:after="160" w:line="240" w:lineRule="auto"/>
        <w:jc w:val="both"/>
        <w:rPr>
          <w:rFonts w:eastAsia="Calibri" w:cs="Times New Roman"/>
          <w:noProof/>
          <w:lang w:val="bg-BG"/>
        </w:rPr>
      </w:pPr>
      <w:r w:rsidRPr="00782BF9">
        <w:rPr>
          <w:noProof/>
          <w:lang w:val="bg-BG"/>
        </w:rPr>
        <w:t xml:space="preserve">Задължението за извършване на последващи одити, основани на риска, в съответствие с одитен план на МФБ. Тези одити проверяват i) дали системите за контрол са ефективни, включително разкриването на измами, корупция и конфликт на интереси; II) спазване на принципа за ненанасяне на значителни вреди, правилата за държавна помощ, изискванията във връзка с целта в областта на климата; и iii) изискването крайните бенефициери на механизма да не са получили подкрепа от други инструменти на Съюза за покриване на същите разходи, е спазено. Одитите проверяват също така законосъобразността на трансакциите и спазването на условията на приложимото споразумение за изпълнение. </w:t>
      </w:r>
    </w:p>
    <w:p w14:paraId="45F47058" w14:textId="68D99C6E" w:rsidR="00CE3BAD" w:rsidRPr="00782BF9" w:rsidRDefault="006B5475">
      <w:pPr>
        <w:pStyle w:val="ListParagraph"/>
        <w:numPr>
          <w:ilvl w:val="0"/>
          <w:numId w:val="67"/>
        </w:numPr>
        <w:spacing w:before="120" w:after="160" w:line="240" w:lineRule="auto"/>
        <w:ind w:left="426" w:hanging="426"/>
        <w:jc w:val="both"/>
        <w:rPr>
          <w:rFonts w:eastAsia="Calibri" w:cs="Times New Roman"/>
          <w:noProof/>
          <w:lang w:val="bg-BG"/>
        </w:rPr>
      </w:pPr>
      <w:r w:rsidRPr="00782BF9">
        <w:rPr>
          <w:noProof/>
          <w:lang w:val="bg-BG"/>
        </w:rPr>
        <w:t>Изисквания за инвестиции в областта на климата, извършени от партньора по изпълнението: Най-малко 79 183 437 EUR от инвестициите по МВУ в Механизма допринасят за целите във връзка с изменението на климата в съответствие с приложение VI към Регламента за МВУ.</w:t>
      </w:r>
      <w:r w:rsidRPr="00782BF9">
        <w:rPr>
          <w:rStyle w:val="FootnoteReference"/>
          <w:noProof/>
          <w:lang w:val="bg-BG"/>
        </w:rPr>
        <w:footnoteReference w:id="26"/>
      </w:r>
      <w:r w:rsidRPr="00782BF9">
        <w:rPr>
          <w:noProof/>
          <w:lang w:val="bg-BG"/>
        </w:rPr>
        <w:t xml:space="preserve"> </w:t>
      </w:r>
    </w:p>
    <w:p w14:paraId="4D86A786"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31 август 2026 г.</w:t>
      </w:r>
    </w:p>
    <w:p w14:paraId="41D5AB6D"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3D1E5614" w14:textId="16DC4F17" w:rsidR="00CE3BAD" w:rsidRPr="00782BF9" w:rsidRDefault="00782BF9">
      <w:pPr>
        <w:pStyle w:val="P68B1DB1-Normal2"/>
        <w:spacing w:before="120" w:after="120" w:line="259" w:lineRule="auto"/>
        <w:jc w:val="both"/>
        <w:rPr>
          <w:rFonts w:eastAsia="Calibri"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15: Създаване на финансов инструмент за подпомагане на закупуването на задвижвани с акумулаторни батерии електрически превозни средства от доставчиците на автомобилни паркове</w:t>
      </w:r>
    </w:p>
    <w:p w14:paraId="4FD9232B" w14:textId="32BD3600"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Мярката се състои от публични инвестиции в механизъм, за да се стимулират частните инвестиции и да се подобри достъпът до финансиране в сектора на електромобилността в Унгария чрез насърчаване на навлизането на електрически превозни средства с акумулаторни батерии в частния сектор. Механизмът функционира чрез предоставяне на заеми пряко на частния сектор, както и на субекти от публичния сектор, извършващи подобни дейности. Въз основа на инвестициите по МВУ Механизмът има за цел първоначално да предостави финансиране в размер на най-малко 48 930 629 EUR.</w:t>
      </w:r>
    </w:p>
    <w:p w14:paraId="582703A8" w14:textId="487A8C36"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Механизмът се управлява от Унгарската банка за развитие (</w:t>
      </w:r>
      <w:r w:rsidRPr="00782BF9">
        <w:rPr>
          <w:i/>
          <w:noProof/>
          <w:lang w:val="bg-BG"/>
        </w:rPr>
        <w:t>Magyar Fejlesztési Bank Zrt. — MFB</w:t>
      </w:r>
      <w:r w:rsidRPr="00782BF9">
        <w:rPr>
          <w:noProof/>
          <w:lang w:val="bg-BG"/>
        </w:rPr>
        <w:t>) като партньор по изпълнението. Механизмът включва следната продуктова линия:</w:t>
      </w:r>
    </w:p>
    <w:p w14:paraId="6BC43878" w14:textId="77777777" w:rsidR="00CE3BAD" w:rsidRPr="00782BF9" w:rsidRDefault="006B5475">
      <w:pPr>
        <w:pStyle w:val="P68B1DB1-Normal4"/>
        <w:keepNext/>
        <w:numPr>
          <w:ilvl w:val="0"/>
          <w:numId w:val="54"/>
        </w:numPr>
        <w:spacing w:before="120" w:after="160" w:line="240" w:lineRule="auto"/>
        <w:contextualSpacing/>
        <w:jc w:val="both"/>
        <w:rPr>
          <w:rFonts w:eastAsia="Calibri" w:cs="Times New Roman"/>
          <w:noProof/>
          <w:lang w:val="bg-BG"/>
        </w:rPr>
      </w:pPr>
      <w:r w:rsidRPr="00782BF9">
        <w:rPr>
          <w:noProof/>
          <w:lang w:val="bg-BG"/>
        </w:rPr>
        <w:t>Подкрепа под формата на заем за доставчиците на автомобилни паркове за закупуване на задвижвани с акумулаторни батерии електрически превозни средства.</w:t>
      </w:r>
    </w:p>
    <w:p w14:paraId="61B737C5"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За да осъществят инвестицията в механизма, Унгария и MFB подписват споразумение за изпълнение, което включва следното съдържание:</w:t>
      </w:r>
    </w:p>
    <w:p w14:paraId="5447A677" w14:textId="77777777" w:rsidR="00CE3BAD" w:rsidRPr="00782BF9" w:rsidRDefault="006B5475">
      <w:pPr>
        <w:pStyle w:val="P68B1DB1-Normal4"/>
        <w:numPr>
          <w:ilvl w:val="0"/>
          <w:numId w:val="61"/>
        </w:numPr>
        <w:spacing w:before="120" w:after="160" w:line="259" w:lineRule="auto"/>
        <w:jc w:val="both"/>
        <w:rPr>
          <w:rFonts w:eastAsia="Times New Roman" w:cs="Times New Roman"/>
          <w:noProof/>
          <w:lang w:val="bg-BG"/>
        </w:rPr>
      </w:pPr>
      <w:r w:rsidRPr="00782BF9">
        <w:rPr>
          <w:noProof/>
          <w:lang w:val="bg-BG"/>
        </w:rPr>
        <w:t>Описание на процеса на вземане на решения на механизма: Първоначалното инвестиционно решение на механизма се взема от инвестиционен комитет или друг съответен равностоен управителен орган и се одобрява с мнозинство от гласовете на членове, които са независими от унгарското правителство. Окончателното инвестиционно решение на механизма се ограничава до одобрението (без изменения) или упражняването на право на вето върху инвестиционно решение, предложено от инвестиционния комитет или съответния еквивалентен управителен орган. MFB взема инвестиционни решения по прозрачен, независим и съобразен с пазара начин.</w:t>
      </w:r>
    </w:p>
    <w:p w14:paraId="4DFB20CF" w14:textId="23FA4C23" w:rsidR="00CE3BAD" w:rsidRPr="00782BF9" w:rsidRDefault="006B5475">
      <w:pPr>
        <w:pStyle w:val="P68B1DB1-Normal4"/>
        <w:numPr>
          <w:ilvl w:val="0"/>
          <w:numId w:val="61"/>
        </w:numPr>
        <w:spacing w:before="120" w:after="160" w:line="259" w:lineRule="auto"/>
        <w:jc w:val="both"/>
        <w:rPr>
          <w:rFonts w:eastAsia="Times New Roman" w:cs="Times New Roman"/>
          <w:noProof/>
          <w:lang w:val="bg-BG"/>
        </w:rPr>
      </w:pPr>
      <w:r w:rsidRPr="00782BF9">
        <w:rPr>
          <w:noProof/>
          <w:lang w:val="bg-BG"/>
        </w:rPr>
        <w:t>Основни изисквания на свързаната инвестиционна политика,</w:t>
      </w:r>
      <w:r w:rsidRPr="00782BF9">
        <w:rPr>
          <w:b/>
          <w:noProof/>
          <w:lang w:val="bg-BG"/>
        </w:rPr>
        <w:t xml:space="preserve"> </w:t>
      </w:r>
      <w:r w:rsidRPr="00782BF9">
        <w:rPr>
          <w:noProof/>
          <w:lang w:val="bg-BG"/>
        </w:rPr>
        <w:t>които включват:</w:t>
      </w:r>
    </w:p>
    <w:p w14:paraId="4F66401D" w14:textId="6D87CD2F" w:rsidR="00CE3BAD" w:rsidRPr="00782BF9" w:rsidRDefault="006B5475">
      <w:pPr>
        <w:pStyle w:val="ListParagraph"/>
        <w:numPr>
          <w:ilvl w:val="1"/>
          <w:numId w:val="61"/>
        </w:numPr>
        <w:spacing w:after="160" w:line="259" w:lineRule="auto"/>
        <w:jc w:val="both"/>
        <w:rPr>
          <w:rFonts w:eastAsia="Calibri" w:cs="Times New Roman"/>
          <w:noProof/>
          <w:lang w:val="bg-BG"/>
        </w:rPr>
      </w:pPr>
      <w:r w:rsidRPr="00782BF9">
        <w:rPr>
          <w:noProof/>
          <w:lang w:val="bg-BG"/>
        </w:rPr>
        <w:t>Описанието на финансовия продукт и допустимите крайни бенефициери.</w:t>
      </w:r>
    </w:p>
    <w:p w14:paraId="0DD76EC7" w14:textId="77777777" w:rsidR="00CE3BAD" w:rsidRPr="00782BF9" w:rsidRDefault="00CE3BAD">
      <w:pPr>
        <w:pStyle w:val="ListParagraph"/>
        <w:spacing w:after="0" w:line="259" w:lineRule="auto"/>
        <w:ind w:left="953"/>
        <w:jc w:val="both"/>
        <w:rPr>
          <w:rFonts w:eastAsia="Calibri" w:cs="Times New Roman"/>
          <w:noProof/>
          <w:lang w:val="bg-BG"/>
        </w:rPr>
      </w:pPr>
    </w:p>
    <w:p w14:paraId="00D2DD1B" w14:textId="29885117" w:rsidR="00CE3BAD" w:rsidRPr="00782BF9" w:rsidRDefault="006B5475">
      <w:pPr>
        <w:pStyle w:val="ListParagraph"/>
        <w:numPr>
          <w:ilvl w:val="1"/>
          <w:numId w:val="61"/>
        </w:numPr>
        <w:spacing w:after="160" w:line="259" w:lineRule="auto"/>
        <w:jc w:val="both"/>
        <w:rPr>
          <w:rFonts w:eastAsia="Calibri" w:cs="Times New Roman"/>
          <w:noProof/>
          <w:lang w:val="bg-BG"/>
        </w:rPr>
      </w:pPr>
      <w:r w:rsidRPr="00782BF9">
        <w:rPr>
          <w:noProof/>
          <w:lang w:val="bg-BG"/>
        </w:rPr>
        <w:t>Изискването всички подпомагани инвестиции да са икономически жизнеспособни</w:t>
      </w:r>
      <w:r w:rsidRPr="00782BF9">
        <w:rPr>
          <w:b/>
          <w:noProof/>
          <w:lang w:val="bg-BG"/>
        </w:rPr>
        <w:t>.</w:t>
      </w:r>
    </w:p>
    <w:p w14:paraId="3C0AAE70" w14:textId="77777777" w:rsidR="00CE3BAD" w:rsidRPr="00782BF9" w:rsidRDefault="00CE3BAD">
      <w:pPr>
        <w:pStyle w:val="ListParagraph"/>
        <w:spacing w:after="160" w:line="259" w:lineRule="auto"/>
        <w:ind w:left="953"/>
        <w:jc w:val="both"/>
        <w:rPr>
          <w:rFonts w:eastAsia="Calibri" w:cs="Times New Roman"/>
          <w:noProof/>
          <w:lang w:val="bg-BG"/>
        </w:rPr>
      </w:pPr>
    </w:p>
    <w:p w14:paraId="05459C94" w14:textId="77777777" w:rsidR="00CE3BAD" w:rsidRPr="00782BF9" w:rsidRDefault="006B5475">
      <w:pPr>
        <w:pStyle w:val="P68B1DB1-ListParagraph26"/>
        <w:numPr>
          <w:ilvl w:val="1"/>
          <w:numId w:val="61"/>
        </w:numPr>
        <w:spacing w:after="160" w:line="259" w:lineRule="auto"/>
        <w:jc w:val="both"/>
        <w:rPr>
          <w:rFonts w:eastAsia="Calibri" w:cs="Times New Roman"/>
          <w:noProof/>
          <w:lang w:val="bg-BG"/>
        </w:rPr>
      </w:pPr>
      <w:r w:rsidRPr="00782BF9">
        <w:rPr>
          <w:noProof/>
          <w:lang w:val="bg-BG"/>
        </w:rPr>
        <w:t>Изискването за спазване на принципа за ненанасяне на значителни вреди, както е посочено в техническите насоки за НЗВ (2021/C58/01). По-специално инвестиционната политика изключва от допустимост следния списък от дейности и активи: I) дейности и активи, свързани с изкопаеми горива, включително използване надолу по веригата</w:t>
      </w:r>
      <w:r w:rsidRPr="00782BF9">
        <w:rPr>
          <w:noProof/>
          <w:lang w:val="bg-BG"/>
        </w:rPr>
        <w:footnoteReference w:id="27"/>
      </w:r>
      <w:r w:rsidRPr="00782BF9">
        <w:rPr>
          <w:noProof/>
          <w:lang w:val="bg-BG"/>
        </w:rPr>
        <w:t>, ii) дейности и активи в рамките на схемата на ЕС за търговия с емисии (СТЕ), с които се постигат прогнозни емисии на парникови газове, които не са по-ниски от съответните показатели</w:t>
      </w:r>
      <w:r w:rsidRPr="00782BF9">
        <w:rPr>
          <w:noProof/>
          <w:lang w:val="bg-BG"/>
        </w:rPr>
        <w:footnoteReference w:id="28"/>
      </w:r>
      <w:r w:rsidRPr="00782BF9">
        <w:rPr>
          <w:noProof/>
          <w:lang w:val="bg-BG"/>
        </w:rPr>
        <w:t>, iii) дейности и активи, свързани с депа за отпадъци, инсинератори</w:t>
      </w:r>
      <w:r w:rsidRPr="00782BF9">
        <w:rPr>
          <w:noProof/>
          <w:lang w:val="bg-BG"/>
        </w:rPr>
        <w:footnoteReference w:id="29"/>
      </w:r>
      <w:r w:rsidRPr="00782BF9">
        <w:rPr>
          <w:noProof/>
          <w:lang w:val="bg-BG"/>
        </w:rPr>
        <w:t xml:space="preserve"> и инсталации за механично-биологично третиране</w:t>
      </w:r>
      <w:r w:rsidRPr="00782BF9">
        <w:rPr>
          <w:noProof/>
          <w:lang w:val="bg-BG"/>
        </w:rPr>
        <w:footnoteReference w:id="30"/>
      </w:r>
      <w:r w:rsidRPr="00782BF9">
        <w:rPr>
          <w:noProof/>
          <w:lang w:val="bg-BG"/>
        </w:rPr>
        <w:t>.</w:t>
      </w:r>
    </w:p>
    <w:p w14:paraId="3BE18062" w14:textId="20D73F71" w:rsidR="00CE3BAD" w:rsidRPr="00782BF9" w:rsidRDefault="006B5475">
      <w:pPr>
        <w:pStyle w:val="ListParagraph"/>
        <w:numPr>
          <w:ilvl w:val="1"/>
          <w:numId w:val="61"/>
        </w:numPr>
        <w:spacing w:after="160" w:line="259" w:lineRule="auto"/>
        <w:jc w:val="both"/>
        <w:rPr>
          <w:rFonts w:eastAsia="Calibri" w:cs="Times New Roman"/>
          <w:noProof/>
          <w:lang w:val="bg-BG"/>
        </w:rPr>
      </w:pPr>
      <w:r w:rsidRPr="00782BF9">
        <w:rPr>
          <w:noProof/>
          <w:lang w:val="bg-BG"/>
        </w:rPr>
        <w:t>Изискването крайните бенефициери на механизма да не получават подкрепа от други инструменти на Съюза за покриване на същите разходи.</w:t>
      </w:r>
    </w:p>
    <w:p w14:paraId="7CA98C57" w14:textId="77777777" w:rsidR="00CE3BAD" w:rsidRPr="00782BF9" w:rsidRDefault="00CE3BAD">
      <w:pPr>
        <w:pStyle w:val="ListParagraph"/>
        <w:spacing w:after="160" w:line="259" w:lineRule="auto"/>
        <w:ind w:left="953"/>
        <w:jc w:val="both"/>
        <w:rPr>
          <w:rFonts w:eastAsia="Calibri" w:cs="Times New Roman"/>
          <w:noProof/>
          <w:lang w:val="bg-BG"/>
        </w:rPr>
      </w:pPr>
    </w:p>
    <w:p w14:paraId="55070000" w14:textId="645E644D" w:rsidR="00CE3BAD" w:rsidRPr="00782BF9" w:rsidRDefault="006B5475">
      <w:pPr>
        <w:pStyle w:val="ListParagraph"/>
        <w:numPr>
          <w:ilvl w:val="0"/>
          <w:numId w:val="61"/>
        </w:numPr>
        <w:spacing w:after="160" w:line="259" w:lineRule="auto"/>
        <w:jc w:val="both"/>
        <w:rPr>
          <w:rFonts w:eastAsia="Calibri" w:cs="Times New Roman"/>
          <w:noProof/>
          <w:lang w:val="bg-BG"/>
        </w:rPr>
      </w:pPr>
      <w:r w:rsidRPr="00782BF9">
        <w:rPr>
          <w:noProof/>
          <w:lang w:val="bg-BG"/>
        </w:rPr>
        <w:t>Сумата, обхваната от споразумението за изпълнение, структурата на таксите за партньора по изпълнението и изискването за реинвестиране на обратните потоци в съответствие с инвестиционната политика на Механизма, освен ако те се използват за обслужване на погасяването на заеми по Механизма за възстановяване и устойчивост.</w:t>
      </w:r>
    </w:p>
    <w:p w14:paraId="00D32441" w14:textId="77777777" w:rsidR="00CE3BAD" w:rsidRPr="00782BF9" w:rsidRDefault="00CE3BAD">
      <w:pPr>
        <w:pStyle w:val="ListParagraph"/>
        <w:spacing w:after="160" w:line="259" w:lineRule="auto"/>
        <w:ind w:left="476"/>
        <w:jc w:val="both"/>
        <w:rPr>
          <w:rFonts w:eastAsia="Calibri" w:cs="Times New Roman"/>
          <w:noProof/>
          <w:lang w:val="bg-BG"/>
        </w:rPr>
      </w:pPr>
    </w:p>
    <w:p w14:paraId="0897D605" w14:textId="01469B63" w:rsidR="00CE3BAD" w:rsidRPr="00782BF9" w:rsidRDefault="006B5475">
      <w:pPr>
        <w:pStyle w:val="ListParagraph"/>
        <w:numPr>
          <w:ilvl w:val="0"/>
          <w:numId w:val="61"/>
        </w:numPr>
        <w:spacing w:after="160" w:line="259" w:lineRule="auto"/>
        <w:jc w:val="both"/>
        <w:rPr>
          <w:rFonts w:eastAsia="Calibri" w:cs="Times New Roman"/>
          <w:noProof/>
          <w:lang w:val="bg-BG"/>
        </w:rPr>
      </w:pPr>
      <w:r w:rsidRPr="00782BF9">
        <w:rPr>
          <w:noProof/>
          <w:lang w:val="bg-BG"/>
        </w:rPr>
        <w:t>Изисквания за мониторинг, одит и контрол, включително:</w:t>
      </w:r>
    </w:p>
    <w:p w14:paraId="43FA455F" w14:textId="2F50AE34" w:rsidR="00CE3BAD" w:rsidRPr="00782BF9" w:rsidRDefault="006B5475">
      <w:pPr>
        <w:pStyle w:val="P68B1DB1-Normal4"/>
        <w:numPr>
          <w:ilvl w:val="0"/>
          <w:numId w:val="58"/>
        </w:numPr>
        <w:spacing w:before="120" w:after="160" w:line="240" w:lineRule="auto"/>
        <w:jc w:val="both"/>
        <w:rPr>
          <w:rFonts w:eastAsia="Calibri" w:cs="Times New Roman"/>
          <w:noProof/>
          <w:lang w:val="bg-BG"/>
        </w:rPr>
      </w:pPr>
      <w:r w:rsidRPr="00782BF9">
        <w:rPr>
          <w:noProof/>
          <w:lang w:val="bg-BG"/>
        </w:rPr>
        <w:t>Описание на системата за мониторинг на партньора по изпълнението за докладване относно мобилизираните инвестиции.</w:t>
      </w:r>
    </w:p>
    <w:p w14:paraId="73443941" w14:textId="0B3F2491" w:rsidR="00CE3BAD" w:rsidRPr="00782BF9" w:rsidRDefault="006B5475">
      <w:pPr>
        <w:pStyle w:val="P68B1DB1-Normal4"/>
        <w:numPr>
          <w:ilvl w:val="0"/>
          <w:numId w:val="58"/>
        </w:numPr>
        <w:spacing w:before="120" w:after="160" w:line="259" w:lineRule="auto"/>
        <w:jc w:val="both"/>
        <w:rPr>
          <w:rFonts w:eastAsia="Calibri" w:cs="Times New Roman"/>
          <w:noProof/>
          <w:lang w:val="bg-BG"/>
        </w:rPr>
      </w:pPr>
      <w:r w:rsidRPr="00782BF9">
        <w:rPr>
          <w:noProof/>
          <w:lang w:val="bg-BG"/>
        </w:rPr>
        <w:t xml:space="preserve">Описание на процедурите на партньора по изпълнението, които гарантират предотвратяването, разкриването и коригирането на измами, корупция и конфликти на интереси. </w:t>
      </w:r>
    </w:p>
    <w:p w14:paraId="1B557A76" w14:textId="77777777" w:rsidR="00CE3BAD" w:rsidRPr="00782BF9" w:rsidRDefault="006B5475">
      <w:pPr>
        <w:pStyle w:val="P68B1DB1-Normal4"/>
        <w:numPr>
          <w:ilvl w:val="0"/>
          <w:numId w:val="58"/>
        </w:numPr>
        <w:spacing w:before="120" w:after="160" w:line="259" w:lineRule="auto"/>
        <w:jc w:val="both"/>
        <w:rPr>
          <w:rFonts w:eastAsia="Calibri" w:cs="Times New Roman"/>
          <w:noProof/>
          <w:lang w:val="bg-BG"/>
        </w:rPr>
      </w:pPr>
      <w:r w:rsidRPr="00782BF9">
        <w:rPr>
          <w:noProof/>
          <w:lang w:val="bg-BG"/>
        </w:rPr>
        <w:t>Задължението за проверка на допустимостта на всяка операция в съответствие с изискванията, определени в споразумението за изпълнение, преди да се поеме ангажимент за финансиране на операция.</w:t>
      </w:r>
    </w:p>
    <w:p w14:paraId="3947C07B" w14:textId="77777777" w:rsidR="00CE3BAD" w:rsidRPr="00782BF9" w:rsidRDefault="006B5475">
      <w:pPr>
        <w:pStyle w:val="P68B1DB1-Normal4"/>
        <w:numPr>
          <w:ilvl w:val="0"/>
          <w:numId w:val="58"/>
        </w:numPr>
        <w:spacing w:before="120" w:after="160" w:line="240" w:lineRule="auto"/>
        <w:jc w:val="both"/>
        <w:rPr>
          <w:rFonts w:eastAsia="Calibri" w:cs="Times New Roman"/>
          <w:noProof/>
          <w:lang w:val="bg-BG"/>
        </w:rPr>
      </w:pPr>
      <w:r w:rsidRPr="00782BF9">
        <w:rPr>
          <w:noProof/>
          <w:lang w:val="bg-BG"/>
        </w:rPr>
        <w:t xml:space="preserve">Задължението за извършване на последващи одити, основани на риска, в съответствие с одитен план на МФБ. Тези одити проверяват i) дали системите за контрол са ефективни, включително разкриването на измами, корупция и конфликт на интереси; II) спазване на принципа за ненанасяне на значителни вреди, правилата за държавна помощ, изискванията във връзка с целта в областта на климата; и iii) изискването крайните бенефициери на механизма да не са получили подкрепа от други инструменти на Съюза за покриване на същите разходи, е спазено. Одитите проверяват също така законосъобразността на трансакциите и спазването на условията на приложимото споразумение за изпълнение. </w:t>
      </w:r>
    </w:p>
    <w:p w14:paraId="10B010B1" w14:textId="20DECAE4" w:rsidR="00CE3BAD" w:rsidRPr="00782BF9" w:rsidRDefault="006B5475">
      <w:pPr>
        <w:pStyle w:val="ListParagraph"/>
        <w:numPr>
          <w:ilvl w:val="0"/>
          <w:numId w:val="58"/>
        </w:numPr>
        <w:spacing w:before="120" w:after="160" w:line="240" w:lineRule="auto"/>
        <w:ind w:left="567" w:hanging="567"/>
        <w:jc w:val="both"/>
        <w:rPr>
          <w:rFonts w:eastAsia="Calibri" w:cs="Times New Roman"/>
          <w:noProof/>
          <w:lang w:val="bg-BG"/>
        </w:rPr>
      </w:pPr>
      <w:r w:rsidRPr="00782BF9">
        <w:rPr>
          <w:noProof/>
          <w:lang w:val="bg-BG"/>
        </w:rPr>
        <w:t>Изисквания за инвестиции в областта на климата, извършени от партньора по изпълнението: Най-малко 52 613 580 EUR от инвестициите по МВУ в Механизма допринасят за целите във връзка с изменението на климата в съответствие с приложение VI към Регламента за МВУ.</w:t>
      </w:r>
      <w:r w:rsidRPr="00782BF9">
        <w:rPr>
          <w:rStyle w:val="FootnoteReference"/>
          <w:noProof/>
          <w:lang w:val="bg-BG"/>
        </w:rPr>
        <w:footnoteReference w:id="31"/>
      </w:r>
      <w:r w:rsidRPr="00782BF9">
        <w:rPr>
          <w:noProof/>
          <w:lang w:val="bg-BG"/>
        </w:rPr>
        <w:t xml:space="preserve"> </w:t>
      </w:r>
    </w:p>
    <w:p w14:paraId="4D7D2041"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31 август 2026 г.</w:t>
      </w:r>
    </w:p>
    <w:p w14:paraId="544B422B"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66363C51" w14:textId="1F0829B6" w:rsidR="00CE3BAD" w:rsidRPr="00782BF9" w:rsidRDefault="00782BF9">
      <w:pPr>
        <w:pStyle w:val="P68B1DB1-Normal2"/>
        <w:spacing w:before="120" w:after="120" w:line="240" w:lineRule="auto"/>
        <w:jc w:val="both"/>
        <w:rPr>
          <w:rFonts w:eastAsia="Calibri" w:cs="Times New Roman"/>
          <w:noProof/>
          <w:lang w:val="bg-BG"/>
        </w:rPr>
      </w:pPr>
      <w:r w:rsidRPr="00782BF9">
        <w:rPr>
          <w:noProof/>
          <w:lang w:val="bg-BG"/>
        </w:rPr>
        <w:t>C</w:t>
      </w:r>
      <w:r w:rsidR="006B5475" w:rsidRPr="00782BF9">
        <w:rPr>
          <w:noProof/>
          <w:lang w:val="bg-BG"/>
        </w:rPr>
        <w:t>10.</w:t>
      </w:r>
      <w:r w:rsidRPr="00782BF9">
        <w:rPr>
          <w:noProof/>
          <w:lang w:val="bg-BG"/>
        </w:rPr>
        <w:t>I</w:t>
      </w:r>
      <w:r w:rsidR="006B5475" w:rsidRPr="00782BF9">
        <w:rPr>
          <w:noProof/>
          <w:lang w:val="bg-BG"/>
        </w:rPr>
        <w:t>16: Създаване на финансов инструмент за подпомагане на проучванията и експлоатацията на геотермална енергия</w:t>
      </w:r>
    </w:p>
    <w:p w14:paraId="49B4E151" w14:textId="73F0362A"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Мярката се състои от публична инвестиция в механизъм, за да се стимулират частните инвестиции и да се подобри достъпът до финансиране в сектора на геотермалната енергия на Унгария. Механизмът функционира чрез предоставяне на заеми пряко на частния сектор, както и на субекти от публичния сектор, извършващи подобни дейности. Въз основа на инвестициите по МВУ Механизмът има за цел първоначално да предостави финансиране в размер на най-малко 326 709 810 EUR.</w:t>
      </w:r>
    </w:p>
    <w:p w14:paraId="3B34BDDD" w14:textId="2460F97B"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Механизмът се управлява от Унгарската банка за развитие (</w:t>
      </w:r>
      <w:r w:rsidRPr="00782BF9">
        <w:rPr>
          <w:i/>
          <w:noProof/>
          <w:lang w:val="bg-BG"/>
        </w:rPr>
        <w:t>Magyar Fejlesztési Bank Zrt.</w:t>
      </w:r>
      <w:r w:rsidRPr="00782BF9">
        <w:rPr>
          <w:noProof/>
          <w:lang w:val="bg-BG"/>
        </w:rPr>
        <w:t xml:space="preserve"> — MFB) като партньор по изпълнението. Механизмът включва следната продуктова линия:</w:t>
      </w:r>
    </w:p>
    <w:p w14:paraId="71648E2A" w14:textId="77777777" w:rsidR="00CE3BAD" w:rsidRPr="00782BF9" w:rsidRDefault="006B5475">
      <w:pPr>
        <w:pStyle w:val="P68B1DB1-Normal4"/>
        <w:keepNext/>
        <w:numPr>
          <w:ilvl w:val="0"/>
          <w:numId w:val="63"/>
        </w:numPr>
        <w:spacing w:before="120" w:after="120" w:line="240" w:lineRule="auto"/>
        <w:contextualSpacing/>
        <w:jc w:val="both"/>
        <w:rPr>
          <w:rFonts w:eastAsia="Calibri" w:cs="Times New Roman"/>
          <w:noProof/>
          <w:lang w:val="bg-BG"/>
        </w:rPr>
      </w:pPr>
      <w:r w:rsidRPr="00782BF9">
        <w:rPr>
          <w:noProof/>
          <w:lang w:val="bg-BG"/>
        </w:rPr>
        <w:t>Подкрепа под формата на заеми за подобряване на експлоатацията на геотермалната енергия. Крайните бенефициери на механизма се състоят от субекти с валидно разрешително за геотермален добив. Крайните бенефициери, които не са получили подпомагане с безвъзмездни средства по инвестиция C10.I11, получават по-малко от 20 % от подкрепата под формата на заем по тази инвестиция.</w:t>
      </w:r>
    </w:p>
    <w:p w14:paraId="39AEDB04"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За да осъществят инвестицията в механизма, Унгария и MFB подписват споразумение за изпълнение, което включва следното съдържание:</w:t>
      </w:r>
    </w:p>
    <w:p w14:paraId="041508BD" w14:textId="77777777" w:rsidR="00CE3BAD" w:rsidRPr="00782BF9" w:rsidRDefault="006B5475">
      <w:pPr>
        <w:pStyle w:val="P68B1DB1-Normal4"/>
        <w:numPr>
          <w:ilvl w:val="0"/>
          <w:numId w:val="60"/>
        </w:numPr>
        <w:spacing w:before="120" w:after="160" w:line="259" w:lineRule="auto"/>
        <w:jc w:val="both"/>
        <w:rPr>
          <w:rFonts w:eastAsia="Times New Roman" w:cs="Times New Roman"/>
          <w:noProof/>
          <w:lang w:val="bg-BG"/>
        </w:rPr>
      </w:pPr>
      <w:r w:rsidRPr="00782BF9">
        <w:rPr>
          <w:noProof/>
          <w:lang w:val="bg-BG"/>
        </w:rPr>
        <w:t>Описание на процеса на вземане на решения на механизма: Първоначалното инвестиционно решение на механизма се взема от инвестиционен комитет или друг съответен равностоен управителен орган и се одобрява с мнозинство от гласовете на членове, които са независими от унгарското правителство. Окончателното инвестиционно решение на механизма се ограничава до одобрението (без изменения) или упражняването на право на вето върху инвестиционно решение, предложено от инвестиционния комитет или съответния еквивалентен управителен орган. MFB взема инвестиционни решения по прозрачен, независим и съобразен с пазара начин.</w:t>
      </w:r>
    </w:p>
    <w:p w14:paraId="35FCFDCC" w14:textId="2019CE7A" w:rsidR="00CE3BAD" w:rsidRPr="00782BF9" w:rsidRDefault="006B5475">
      <w:pPr>
        <w:pStyle w:val="ListParagraph"/>
        <w:numPr>
          <w:ilvl w:val="0"/>
          <w:numId w:val="60"/>
        </w:numPr>
        <w:spacing w:after="160" w:line="259" w:lineRule="auto"/>
        <w:jc w:val="both"/>
        <w:rPr>
          <w:rFonts w:eastAsia="Calibri" w:cs="Times New Roman"/>
          <w:noProof/>
          <w:lang w:val="bg-BG"/>
        </w:rPr>
      </w:pPr>
      <w:r w:rsidRPr="00782BF9">
        <w:rPr>
          <w:noProof/>
          <w:lang w:val="bg-BG"/>
        </w:rPr>
        <w:t>Основни изисквания на свързаната инвестиционна политика,</w:t>
      </w:r>
      <w:r w:rsidRPr="00782BF9">
        <w:rPr>
          <w:b/>
          <w:noProof/>
          <w:lang w:val="bg-BG"/>
        </w:rPr>
        <w:t xml:space="preserve"> </w:t>
      </w:r>
      <w:r w:rsidRPr="00782BF9">
        <w:rPr>
          <w:noProof/>
          <w:lang w:val="bg-BG"/>
        </w:rPr>
        <w:t>които включват:</w:t>
      </w:r>
    </w:p>
    <w:p w14:paraId="1912E38F" w14:textId="77777777" w:rsidR="00CE3BAD" w:rsidRPr="00782BF9" w:rsidRDefault="00CE3BAD">
      <w:pPr>
        <w:pStyle w:val="ListParagraph"/>
        <w:spacing w:after="160" w:line="259" w:lineRule="auto"/>
        <w:ind w:left="476"/>
        <w:jc w:val="both"/>
        <w:rPr>
          <w:rFonts w:eastAsia="Calibri" w:cs="Times New Roman"/>
          <w:noProof/>
          <w:lang w:val="bg-BG"/>
        </w:rPr>
      </w:pPr>
    </w:p>
    <w:p w14:paraId="45A14B5C" w14:textId="2B020CEE" w:rsidR="00CE3BAD" w:rsidRPr="00782BF9" w:rsidRDefault="006B5475">
      <w:pPr>
        <w:pStyle w:val="ListParagraph"/>
        <w:numPr>
          <w:ilvl w:val="1"/>
          <w:numId w:val="60"/>
        </w:numPr>
        <w:spacing w:after="160" w:line="259" w:lineRule="auto"/>
        <w:jc w:val="both"/>
        <w:rPr>
          <w:rFonts w:eastAsia="Calibri" w:cs="Times New Roman"/>
          <w:noProof/>
          <w:lang w:val="bg-BG"/>
        </w:rPr>
      </w:pPr>
      <w:r w:rsidRPr="00782BF9">
        <w:rPr>
          <w:noProof/>
          <w:lang w:val="bg-BG"/>
        </w:rPr>
        <w:t>Описанието на финансовия продукт и допустимите крайни бенефициери.</w:t>
      </w:r>
    </w:p>
    <w:p w14:paraId="04E2EA23" w14:textId="77777777" w:rsidR="00CE3BAD" w:rsidRPr="00782BF9" w:rsidRDefault="00CE3BAD">
      <w:pPr>
        <w:pStyle w:val="ListParagraph"/>
        <w:spacing w:after="160" w:line="259" w:lineRule="auto"/>
        <w:ind w:left="953"/>
        <w:jc w:val="both"/>
        <w:rPr>
          <w:rFonts w:eastAsia="Calibri" w:cs="Times New Roman"/>
          <w:noProof/>
          <w:lang w:val="bg-BG"/>
        </w:rPr>
      </w:pPr>
    </w:p>
    <w:p w14:paraId="57D4D080" w14:textId="04B09223" w:rsidR="00CE3BAD" w:rsidRPr="00782BF9" w:rsidRDefault="006B5475">
      <w:pPr>
        <w:pStyle w:val="ListParagraph"/>
        <w:numPr>
          <w:ilvl w:val="1"/>
          <w:numId w:val="60"/>
        </w:numPr>
        <w:spacing w:after="160" w:line="259" w:lineRule="auto"/>
        <w:jc w:val="both"/>
        <w:rPr>
          <w:rFonts w:eastAsia="Calibri" w:cs="Times New Roman"/>
          <w:noProof/>
          <w:lang w:val="bg-BG"/>
        </w:rPr>
      </w:pPr>
      <w:r w:rsidRPr="00782BF9">
        <w:rPr>
          <w:noProof/>
          <w:lang w:val="bg-BG"/>
        </w:rPr>
        <w:t>Изискването всички подпомагани инвестиции да са икономически жизнеспособни</w:t>
      </w:r>
      <w:r w:rsidRPr="00782BF9">
        <w:rPr>
          <w:b/>
          <w:noProof/>
          <w:lang w:val="bg-BG"/>
        </w:rPr>
        <w:t>.</w:t>
      </w:r>
    </w:p>
    <w:p w14:paraId="0D820CB3" w14:textId="77777777" w:rsidR="00CE3BAD" w:rsidRPr="00782BF9" w:rsidRDefault="00CE3BAD">
      <w:pPr>
        <w:pStyle w:val="ListParagraph"/>
        <w:spacing w:after="160" w:line="259" w:lineRule="auto"/>
        <w:ind w:left="953"/>
        <w:jc w:val="both"/>
        <w:rPr>
          <w:rFonts w:eastAsia="Calibri" w:cs="Times New Roman"/>
          <w:noProof/>
          <w:lang w:val="bg-BG"/>
        </w:rPr>
      </w:pPr>
    </w:p>
    <w:p w14:paraId="13A79C09" w14:textId="103CF4A5" w:rsidR="00CE3BAD" w:rsidRPr="00782BF9" w:rsidRDefault="006B5475">
      <w:pPr>
        <w:pStyle w:val="P68B1DB1-ListParagraph26"/>
        <w:numPr>
          <w:ilvl w:val="1"/>
          <w:numId w:val="60"/>
        </w:numPr>
        <w:spacing w:after="160" w:line="259" w:lineRule="auto"/>
        <w:jc w:val="both"/>
        <w:rPr>
          <w:rFonts w:eastAsia="Calibri" w:cs="Times New Roman"/>
          <w:noProof/>
          <w:lang w:val="bg-BG"/>
        </w:rPr>
      </w:pPr>
      <w:r w:rsidRPr="00782BF9">
        <w:rPr>
          <w:noProof/>
          <w:lang w:val="bg-BG"/>
        </w:rPr>
        <w:t>Изискването за спазване на принципа за ненанасяне на значителни вреди, както е посочено в техническите насоки за НЗВ (2021/C58/01). По-специално инвестиционната политика изключва от допустимост следния списък от дейности и активи: I) дейности и активи, свързани с изкопаеми горива, включително използване надолу по веригата</w:t>
      </w:r>
      <w:r w:rsidRPr="00782BF9">
        <w:rPr>
          <w:noProof/>
          <w:lang w:val="bg-BG"/>
        </w:rPr>
        <w:footnoteReference w:id="32"/>
      </w:r>
      <w:r w:rsidRPr="00782BF9">
        <w:rPr>
          <w:noProof/>
          <w:lang w:val="bg-BG"/>
        </w:rPr>
        <w:t>, ii) дейности и активи в рамките на схемата на ЕС за търговия с емисии (СТЕ), с които се постигат прогнозни емисии на парникови газове, които не са по-ниски от съответните показатели</w:t>
      </w:r>
      <w:r w:rsidRPr="00782BF9">
        <w:rPr>
          <w:noProof/>
          <w:lang w:val="bg-BG"/>
        </w:rPr>
        <w:footnoteReference w:id="33"/>
      </w:r>
      <w:r w:rsidRPr="00782BF9">
        <w:rPr>
          <w:noProof/>
          <w:lang w:val="bg-BG"/>
        </w:rPr>
        <w:t>, iii) дейности и активи, свързани с депа за отпадъци, инсинератори</w:t>
      </w:r>
      <w:r w:rsidRPr="00782BF9">
        <w:rPr>
          <w:noProof/>
          <w:lang w:val="bg-BG"/>
        </w:rPr>
        <w:footnoteReference w:id="34"/>
      </w:r>
      <w:r w:rsidRPr="00782BF9">
        <w:rPr>
          <w:noProof/>
          <w:lang w:val="bg-BG"/>
        </w:rPr>
        <w:t xml:space="preserve"> и инсталации за механично-биологично третиране</w:t>
      </w:r>
      <w:r w:rsidRPr="00782BF9">
        <w:rPr>
          <w:noProof/>
          <w:lang w:val="bg-BG"/>
        </w:rPr>
        <w:footnoteReference w:id="35"/>
      </w:r>
      <w:r w:rsidRPr="00782BF9">
        <w:rPr>
          <w:noProof/>
          <w:lang w:val="bg-BG"/>
        </w:rPr>
        <w:t>. Геотермалните дейности не включват проучване или добив на нефт или газ, нито оборудването, използвано за такива цели. Гарантира се, че изпускането на метан е сведено до минимум и остава значително под прага от 20 000 тона еквивалент на CO2 годишно.</w:t>
      </w:r>
    </w:p>
    <w:p w14:paraId="6A5129C6" w14:textId="77777777" w:rsidR="00CE3BAD" w:rsidRPr="00782BF9" w:rsidRDefault="00CE3BAD">
      <w:pPr>
        <w:pStyle w:val="ListParagraph"/>
        <w:spacing w:after="160" w:line="259" w:lineRule="auto"/>
        <w:ind w:left="953"/>
        <w:jc w:val="both"/>
        <w:rPr>
          <w:rFonts w:eastAsia="Calibri" w:cs="Times New Roman"/>
          <w:noProof/>
          <w:lang w:val="bg-BG"/>
        </w:rPr>
      </w:pPr>
    </w:p>
    <w:p w14:paraId="654A6826" w14:textId="01341B6D" w:rsidR="00CE3BAD" w:rsidRPr="00782BF9" w:rsidRDefault="006B5475">
      <w:pPr>
        <w:pStyle w:val="ListParagraph"/>
        <w:numPr>
          <w:ilvl w:val="1"/>
          <w:numId w:val="60"/>
        </w:numPr>
        <w:spacing w:after="160" w:line="259" w:lineRule="auto"/>
        <w:jc w:val="both"/>
        <w:rPr>
          <w:rFonts w:eastAsia="Calibri" w:cs="Times New Roman"/>
          <w:noProof/>
          <w:lang w:val="bg-BG"/>
        </w:rPr>
      </w:pPr>
      <w:r w:rsidRPr="00782BF9">
        <w:rPr>
          <w:noProof/>
          <w:lang w:val="bg-BG"/>
        </w:rPr>
        <w:t>Изискването крайните бенефициери на механизма да не получават подкрепа от други инструменти на Съюза за покриване на същите разходи.</w:t>
      </w:r>
    </w:p>
    <w:p w14:paraId="5FA8AEE5" w14:textId="77777777" w:rsidR="00CE3BAD" w:rsidRPr="00782BF9" w:rsidRDefault="00CE3BAD">
      <w:pPr>
        <w:pStyle w:val="ListParagraph"/>
        <w:spacing w:after="160" w:line="259" w:lineRule="auto"/>
        <w:ind w:left="953"/>
        <w:jc w:val="both"/>
        <w:rPr>
          <w:rFonts w:eastAsia="Calibri" w:cs="Times New Roman"/>
          <w:noProof/>
          <w:lang w:val="bg-BG"/>
        </w:rPr>
      </w:pPr>
    </w:p>
    <w:p w14:paraId="71ACBEDA" w14:textId="03E82BC0" w:rsidR="00CE3BAD" w:rsidRPr="00782BF9" w:rsidRDefault="006B5475">
      <w:pPr>
        <w:pStyle w:val="ListParagraph"/>
        <w:numPr>
          <w:ilvl w:val="0"/>
          <w:numId w:val="60"/>
        </w:numPr>
        <w:spacing w:after="160" w:line="259" w:lineRule="auto"/>
        <w:jc w:val="both"/>
        <w:rPr>
          <w:rFonts w:eastAsia="Calibri" w:cs="Times New Roman"/>
          <w:noProof/>
          <w:lang w:val="bg-BG"/>
        </w:rPr>
      </w:pPr>
      <w:r w:rsidRPr="00782BF9">
        <w:rPr>
          <w:noProof/>
          <w:lang w:val="bg-BG"/>
        </w:rPr>
        <w:t>Сумата, обхваната от споразумението за изпълнение, структурата на таксите за партньора по изпълнението и изискването за реинвестиране на обратните потоци в съответствие с инвестиционната политика на Механизма, освен ако те се използват за обслужване на погасяването на заеми по Механизма за възстановяване и устойчивост.</w:t>
      </w:r>
    </w:p>
    <w:p w14:paraId="0C2F5770" w14:textId="77777777" w:rsidR="00CE3BAD" w:rsidRPr="00782BF9" w:rsidRDefault="00CE3BAD">
      <w:pPr>
        <w:pStyle w:val="ListParagraph"/>
        <w:spacing w:after="160" w:line="259" w:lineRule="auto"/>
        <w:ind w:left="476"/>
        <w:jc w:val="both"/>
        <w:rPr>
          <w:rFonts w:eastAsia="Calibri" w:cs="Times New Roman"/>
          <w:noProof/>
          <w:lang w:val="bg-BG"/>
        </w:rPr>
      </w:pPr>
    </w:p>
    <w:p w14:paraId="0B229A06" w14:textId="31CB9F77" w:rsidR="00CE3BAD" w:rsidRPr="00782BF9" w:rsidRDefault="006B5475">
      <w:pPr>
        <w:pStyle w:val="ListParagraph"/>
        <w:numPr>
          <w:ilvl w:val="0"/>
          <w:numId w:val="60"/>
        </w:numPr>
        <w:spacing w:after="160" w:line="259" w:lineRule="auto"/>
        <w:jc w:val="both"/>
        <w:rPr>
          <w:rFonts w:eastAsia="Calibri" w:cs="Times New Roman"/>
          <w:noProof/>
          <w:lang w:val="bg-BG"/>
        </w:rPr>
      </w:pPr>
      <w:r w:rsidRPr="00782BF9">
        <w:rPr>
          <w:noProof/>
          <w:lang w:val="bg-BG"/>
        </w:rPr>
        <w:t>Изисквания за мониторинг, одит и контрол, включително:</w:t>
      </w:r>
    </w:p>
    <w:p w14:paraId="497B9027" w14:textId="30085087" w:rsidR="00CE3BAD" w:rsidRPr="00782BF9" w:rsidRDefault="006B5475">
      <w:pPr>
        <w:pStyle w:val="P68B1DB1-Normal4"/>
        <w:numPr>
          <w:ilvl w:val="0"/>
          <w:numId w:val="59"/>
        </w:numPr>
        <w:spacing w:before="120" w:after="160" w:line="240" w:lineRule="auto"/>
        <w:jc w:val="both"/>
        <w:rPr>
          <w:rFonts w:eastAsia="Calibri" w:cs="Times New Roman"/>
          <w:noProof/>
          <w:lang w:val="bg-BG"/>
        </w:rPr>
      </w:pPr>
      <w:r w:rsidRPr="00782BF9">
        <w:rPr>
          <w:noProof/>
          <w:lang w:val="bg-BG"/>
        </w:rPr>
        <w:t>Описание на системата за мониторинг на партньора по изпълнението за докладване относно мобилизираните инвестиции.</w:t>
      </w:r>
    </w:p>
    <w:p w14:paraId="2455F5F2" w14:textId="65E7A49F" w:rsidR="00CE3BAD" w:rsidRPr="00782BF9" w:rsidRDefault="006B5475">
      <w:pPr>
        <w:pStyle w:val="P68B1DB1-Normal4"/>
        <w:numPr>
          <w:ilvl w:val="0"/>
          <w:numId w:val="59"/>
        </w:numPr>
        <w:spacing w:before="120" w:after="160" w:line="259" w:lineRule="auto"/>
        <w:jc w:val="both"/>
        <w:rPr>
          <w:rFonts w:eastAsia="Calibri" w:cs="Times New Roman"/>
          <w:noProof/>
          <w:lang w:val="bg-BG"/>
        </w:rPr>
      </w:pPr>
      <w:r w:rsidRPr="00782BF9">
        <w:rPr>
          <w:noProof/>
          <w:lang w:val="bg-BG"/>
        </w:rPr>
        <w:t xml:space="preserve">Описание на процедурите на партньора по изпълнението, които гарантират предотвратяването, разкриването и коригирането на измами, корупция и конфликти на интереси. </w:t>
      </w:r>
    </w:p>
    <w:p w14:paraId="10C90D39" w14:textId="77777777" w:rsidR="00CE3BAD" w:rsidRPr="00782BF9" w:rsidRDefault="006B5475">
      <w:pPr>
        <w:pStyle w:val="P68B1DB1-Normal4"/>
        <w:numPr>
          <w:ilvl w:val="0"/>
          <w:numId w:val="59"/>
        </w:numPr>
        <w:spacing w:before="120" w:after="160" w:line="259" w:lineRule="auto"/>
        <w:jc w:val="both"/>
        <w:rPr>
          <w:rFonts w:eastAsia="Calibri" w:cs="Times New Roman"/>
          <w:noProof/>
          <w:lang w:val="bg-BG"/>
        </w:rPr>
      </w:pPr>
      <w:r w:rsidRPr="00782BF9">
        <w:rPr>
          <w:noProof/>
          <w:lang w:val="bg-BG"/>
        </w:rPr>
        <w:t>Задължението за проверка на допустимостта на всяка операция в съответствие с изискванията, определени в споразумението за изпълнение, преди да се поеме ангажимент за финансиране на операция.</w:t>
      </w:r>
    </w:p>
    <w:p w14:paraId="0C0D020D" w14:textId="77777777" w:rsidR="00CE3BAD" w:rsidRPr="00782BF9" w:rsidRDefault="006B5475">
      <w:pPr>
        <w:pStyle w:val="P68B1DB1-Normal4"/>
        <w:numPr>
          <w:ilvl w:val="0"/>
          <w:numId w:val="59"/>
        </w:numPr>
        <w:spacing w:before="120" w:after="160" w:line="240" w:lineRule="auto"/>
        <w:jc w:val="both"/>
        <w:rPr>
          <w:rFonts w:eastAsia="Calibri" w:cs="Times New Roman"/>
          <w:noProof/>
          <w:lang w:val="bg-BG"/>
        </w:rPr>
      </w:pPr>
      <w:r w:rsidRPr="00782BF9">
        <w:rPr>
          <w:noProof/>
          <w:lang w:val="bg-BG"/>
        </w:rPr>
        <w:t xml:space="preserve">Задължението за извършване на последващи одити, основани на риска, в съответствие с одитен план на МФБ. Тези одити проверяват i) дали системите за контрол са ефективни, включително разкриването на измами, корупция и конфликт на интереси; II) спазване на принципа за ненанасяне на значителни вреди, правилата за държавна помощ, изискванията във връзка с целта в областта на климата; и iii) изискването крайните бенефициери на механизма да не са получили подкрепа от други инструменти на Съюза за покриване на същите разходи, е спазено. Одитите проверяват също така законосъобразността на трансакциите и спазването на условията на приложимото споразумение за изпълнение. </w:t>
      </w:r>
    </w:p>
    <w:p w14:paraId="6A1464FE" w14:textId="533E5684" w:rsidR="00CE3BAD" w:rsidRPr="00782BF9" w:rsidRDefault="006B5475">
      <w:pPr>
        <w:pStyle w:val="ListParagraph"/>
        <w:numPr>
          <w:ilvl w:val="0"/>
          <w:numId w:val="59"/>
        </w:numPr>
        <w:spacing w:before="120" w:after="160" w:line="240" w:lineRule="auto"/>
        <w:ind w:left="567" w:hanging="567"/>
        <w:jc w:val="both"/>
        <w:rPr>
          <w:rFonts w:eastAsia="Calibri" w:cs="Times New Roman"/>
          <w:noProof/>
          <w:lang w:val="bg-BG"/>
        </w:rPr>
      </w:pPr>
      <w:r w:rsidRPr="00782BF9">
        <w:rPr>
          <w:noProof/>
          <w:lang w:val="bg-BG"/>
        </w:rPr>
        <w:t>Изисквания за инвестиции в областта на климата, извършени от партньора по изпълнението: Най-малко 351 300 871 EUR от инвестициите по МВУ в Механизма допринасят за целите във връзка с изменението на климата в съответствие с приложение VI към Регламента за МВУ.</w:t>
      </w:r>
      <w:r w:rsidRPr="00782BF9">
        <w:rPr>
          <w:rStyle w:val="FootnoteReference"/>
          <w:noProof/>
          <w:lang w:val="bg-BG"/>
        </w:rPr>
        <w:footnoteReference w:id="36"/>
      </w:r>
      <w:r w:rsidRPr="00782BF9">
        <w:rPr>
          <w:noProof/>
          <w:lang w:val="bg-BG"/>
        </w:rPr>
        <w:t xml:space="preserve"> </w:t>
      </w:r>
    </w:p>
    <w:p w14:paraId="2B734DED" w14:textId="77777777" w:rsidR="00CE3BAD" w:rsidRPr="00782BF9" w:rsidRDefault="006B5475">
      <w:pPr>
        <w:pStyle w:val="P68B1DB1-Normal4"/>
        <w:spacing w:before="120" w:after="120" w:line="240" w:lineRule="auto"/>
        <w:jc w:val="both"/>
        <w:rPr>
          <w:rFonts w:eastAsia="Times New Roman" w:cs="Times New Roman"/>
          <w:noProof/>
          <w:lang w:val="bg-BG"/>
        </w:rPr>
      </w:pPr>
      <w:r w:rsidRPr="00782BF9">
        <w:rPr>
          <w:noProof/>
          <w:lang w:val="bg-BG"/>
        </w:rPr>
        <w:t>Изпълнението на мярката трябва да приключи до 31 август 2026 г.</w:t>
      </w:r>
    </w:p>
    <w:p w14:paraId="018134EC"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54D80193"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pPr>
    </w:p>
    <w:p w14:paraId="7DC134F3" w14:textId="77777777" w:rsidR="00CE3BAD" w:rsidRPr="00782BF9" w:rsidRDefault="00CE3BAD">
      <w:pPr>
        <w:spacing w:before="120" w:after="120" w:line="240" w:lineRule="auto"/>
        <w:jc w:val="both"/>
        <w:rPr>
          <w:rFonts w:ascii="Times New Roman" w:eastAsia="Times New Roman" w:hAnsi="Times New Roman" w:cs="Times New Roman"/>
          <w:noProof/>
          <w:sz w:val="24"/>
          <w:lang w:val="bg-BG"/>
        </w:rPr>
        <w:sectPr w:rsidR="00CE3BAD" w:rsidRPr="00782BF9">
          <w:headerReference w:type="even" r:id="rId159"/>
          <w:headerReference w:type="default" r:id="rId160"/>
          <w:footerReference w:type="even" r:id="rId161"/>
          <w:footerReference w:type="default" r:id="rId162"/>
          <w:headerReference w:type="first" r:id="rId163"/>
          <w:footerReference w:type="first" r:id="rId164"/>
          <w:pgSz w:w="11907" w:h="16839"/>
          <w:pgMar w:top="1134" w:right="1417" w:bottom="1134" w:left="1417" w:header="709" w:footer="709" w:gutter="0"/>
          <w:cols w:space="720"/>
          <w:docGrid w:linePitch="360"/>
        </w:sectPr>
      </w:pPr>
    </w:p>
    <w:p w14:paraId="78193DB1" w14:textId="77777777" w:rsidR="00CE3BAD" w:rsidRPr="00782BF9" w:rsidRDefault="006B5475">
      <w:pPr>
        <w:spacing w:before="120" w:after="120" w:line="240" w:lineRule="auto"/>
        <w:jc w:val="both"/>
        <w:rPr>
          <w:rFonts w:ascii="Times New Roman" w:eastAsia="Times New Roman" w:hAnsi="Times New Roman" w:cs="Times New Roman"/>
          <w:b/>
          <w:noProof/>
          <w:sz w:val="24"/>
          <w:lang w:val="bg-BG"/>
        </w:rPr>
      </w:pPr>
      <w:r w:rsidRPr="00782BF9">
        <w:rPr>
          <w:rFonts w:ascii="Times New Roman" w:hAnsi="Times New Roman"/>
          <w:b/>
          <w:noProof/>
          <w:sz w:val="24"/>
          <w:lang w:val="bg-BG"/>
        </w:rPr>
        <w:t xml:space="preserve">Й.4. </w:t>
      </w:r>
      <w:r w:rsidRPr="00782BF9">
        <w:rPr>
          <w:noProof/>
          <w:lang w:val="bg-BG"/>
        </w:rPr>
        <w:tab/>
      </w:r>
      <w:r w:rsidRPr="00782BF9">
        <w:rPr>
          <w:rFonts w:ascii="Times New Roman" w:hAnsi="Times New Roman"/>
          <w:b/>
          <w:noProof/>
          <w:sz w:val="24"/>
          <w:lang w:val="bg-BG"/>
        </w:rPr>
        <w:t>Ключови етапи, цели, показатели и график за мониторинг и изпълнение на заема</w:t>
      </w:r>
    </w:p>
    <w:tbl>
      <w:tblPr>
        <w:tblW w:w="16019" w:type="dxa"/>
        <w:tblInd w:w="-318" w:type="dxa"/>
        <w:tblLayout w:type="fixed"/>
        <w:tblLook w:val="04A0" w:firstRow="1" w:lastRow="0" w:firstColumn="1" w:lastColumn="0" w:noHBand="0" w:noVBand="1"/>
      </w:tblPr>
      <w:tblGrid>
        <w:gridCol w:w="966"/>
        <w:gridCol w:w="1705"/>
        <w:gridCol w:w="1330"/>
        <w:gridCol w:w="1458"/>
        <w:gridCol w:w="1338"/>
        <w:gridCol w:w="1116"/>
        <w:gridCol w:w="877"/>
        <w:gridCol w:w="1559"/>
        <w:gridCol w:w="850"/>
        <w:gridCol w:w="709"/>
        <w:gridCol w:w="4111"/>
      </w:tblGrid>
      <w:tr w:rsidR="00CE3BAD" w:rsidRPr="00782BF9" w14:paraId="2264CED3" w14:textId="77777777">
        <w:trPr>
          <w:trHeight w:val="760"/>
          <w:tblHeader/>
        </w:trPr>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B60B365"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Следващи Брой</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47CF32E3"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Свързана мярка (реформа или инвестиции)</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2DFF86B"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Ключов етап/Цел</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54A056E"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Име</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3BEF772"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 xml:space="preserve">Качествени индикатори  </w:t>
            </w:r>
            <w:r w:rsidRPr="00782BF9">
              <w:rPr>
                <w:noProof/>
                <w:lang w:val="bg-BG"/>
              </w:rPr>
              <w:br/>
              <w:t>(за ключовите етапи)</w:t>
            </w:r>
          </w:p>
        </w:tc>
        <w:tc>
          <w:tcPr>
            <w:tcW w:w="3552" w:type="dxa"/>
            <w:gridSpan w:val="3"/>
            <w:tcBorders>
              <w:top w:val="single" w:sz="4" w:space="0" w:color="auto"/>
              <w:left w:val="nil"/>
              <w:bottom w:val="single" w:sz="4" w:space="0" w:color="auto"/>
              <w:right w:val="single" w:sz="4" w:space="0" w:color="auto"/>
            </w:tcBorders>
            <w:shd w:val="clear" w:color="auto" w:fill="BDD7EE"/>
            <w:vAlign w:val="center"/>
            <w:hideMark/>
          </w:tcPr>
          <w:p w14:paraId="41CA2575" w14:textId="3EF4B959" w:rsidR="00CE3BAD" w:rsidRPr="00782BF9" w:rsidRDefault="006B5475">
            <w:pPr>
              <w:pStyle w:val="P68B1DB1-Normal23"/>
              <w:spacing w:before="120" w:after="120" w:line="240" w:lineRule="auto"/>
              <w:jc w:val="center"/>
              <w:rPr>
                <w:rFonts w:eastAsia="Calibri"/>
                <w:noProof/>
                <w:lang w:val="bg-BG"/>
              </w:rPr>
            </w:pPr>
            <w:r w:rsidRPr="00782BF9">
              <w:rPr>
                <w:noProof/>
                <w:lang w:val="bg-BG"/>
              </w:rPr>
              <w:t xml:space="preserve">Количествени индикатори  </w:t>
            </w:r>
            <w:r w:rsidRPr="00782BF9">
              <w:rPr>
                <w:noProof/>
                <w:lang w:val="bg-BG"/>
              </w:rPr>
              <w:br/>
              <w:t>(за целите)</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75B23FEB" w14:textId="281E05A2" w:rsidR="00CE3BAD" w:rsidRPr="00782BF9" w:rsidRDefault="006B5475">
            <w:pPr>
              <w:pStyle w:val="P68B1DB1-Normal23"/>
              <w:spacing w:before="120" w:after="120" w:line="240" w:lineRule="auto"/>
              <w:jc w:val="center"/>
              <w:rPr>
                <w:rFonts w:eastAsia="Calibri"/>
                <w:noProof/>
                <w:lang w:val="bg-BG"/>
              </w:rPr>
            </w:pPr>
            <w:r w:rsidRPr="00782BF9">
              <w:rPr>
                <w:noProof/>
                <w:lang w:val="bg-BG"/>
              </w:rPr>
              <w:t>Примерен график за приключване</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4B00A6"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Описание на всеки ключов етап и цел</w:t>
            </w:r>
          </w:p>
        </w:tc>
      </w:tr>
      <w:tr w:rsidR="00CE3BAD" w:rsidRPr="00782BF9" w14:paraId="66BED7D9" w14:textId="77777777">
        <w:trPr>
          <w:trHeight w:val="557"/>
          <w:tblHeader/>
        </w:trPr>
        <w:tc>
          <w:tcPr>
            <w:tcW w:w="966" w:type="dxa"/>
            <w:vMerge/>
            <w:tcBorders>
              <w:top w:val="single" w:sz="4" w:space="0" w:color="auto"/>
              <w:left w:val="single" w:sz="4" w:space="0" w:color="auto"/>
              <w:bottom w:val="single" w:sz="4" w:space="0" w:color="auto"/>
              <w:right w:val="single" w:sz="4" w:space="0" w:color="auto"/>
            </w:tcBorders>
            <w:vAlign w:val="center"/>
            <w:hideMark/>
          </w:tcPr>
          <w:p w14:paraId="105F4B6C" w14:textId="77777777" w:rsidR="00CE3BAD" w:rsidRPr="00782BF9" w:rsidRDefault="00CE3BAD">
            <w:pPr>
              <w:spacing w:before="120" w:after="0" w:line="240" w:lineRule="auto"/>
              <w:jc w:val="center"/>
              <w:rPr>
                <w:rFonts w:eastAsia="Times New Roman" w:cstheme="minorHAnsi"/>
                <w:b/>
                <w:noProof/>
                <w:sz w:val="18"/>
                <w:lang w:val="bg-BG"/>
              </w:rPr>
            </w:pPr>
          </w:p>
        </w:tc>
        <w:tc>
          <w:tcPr>
            <w:tcW w:w="1705" w:type="dxa"/>
            <w:vMerge/>
            <w:tcBorders>
              <w:top w:val="single" w:sz="4" w:space="0" w:color="auto"/>
              <w:left w:val="single" w:sz="4" w:space="0" w:color="auto"/>
              <w:bottom w:val="single" w:sz="4" w:space="0" w:color="auto"/>
              <w:right w:val="single" w:sz="4" w:space="0" w:color="auto"/>
            </w:tcBorders>
            <w:vAlign w:val="center"/>
          </w:tcPr>
          <w:p w14:paraId="32DD2EC0" w14:textId="77777777" w:rsidR="00CE3BAD" w:rsidRPr="00782BF9" w:rsidRDefault="00CE3BAD">
            <w:pPr>
              <w:spacing w:before="120" w:after="0" w:line="240" w:lineRule="auto"/>
              <w:jc w:val="center"/>
              <w:rPr>
                <w:rFonts w:eastAsia="Times New Roman" w:cstheme="minorHAnsi"/>
                <w:b/>
                <w:noProof/>
                <w:sz w:val="18"/>
                <w:lang w:val="bg-BG"/>
              </w:rPr>
            </w:pPr>
          </w:p>
        </w:tc>
        <w:tc>
          <w:tcPr>
            <w:tcW w:w="1330" w:type="dxa"/>
            <w:vMerge/>
            <w:tcBorders>
              <w:left w:val="single" w:sz="4" w:space="0" w:color="auto"/>
              <w:right w:val="single" w:sz="4" w:space="0" w:color="auto"/>
            </w:tcBorders>
            <w:vAlign w:val="center"/>
          </w:tcPr>
          <w:p w14:paraId="6A573E49" w14:textId="77777777" w:rsidR="00CE3BAD" w:rsidRPr="00782BF9" w:rsidRDefault="00CE3BAD">
            <w:pPr>
              <w:spacing w:before="120" w:after="0" w:line="240" w:lineRule="auto"/>
              <w:jc w:val="center"/>
              <w:rPr>
                <w:rFonts w:eastAsia="Times New Roman" w:cstheme="minorHAnsi"/>
                <w:b/>
                <w:noProof/>
                <w:sz w:val="18"/>
                <w:lang w:val="bg-BG"/>
              </w:rPr>
            </w:pPr>
          </w:p>
        </w:tc>
        <w:tc>
          <w:tcPr>
            <w:tcW w:w="1458" w:type="dxa"/>
            <w:vMerge/>
            <w:tcBorders>
              <w:top w:val="single" w:sz="4" w:space="0" w:color="auto"/>
              <w:left w:val="single" w:sz="4" w:space="0" w:color="auto"/>
              <w:bottom w:val="single" w:sz="4" w:space="0" w:color="auto"/>
              <w:right w:val="single" w:sz="4" w:space="0" w:color="auto"/>
            </w:tcBorders>
            <w:vAlign w:val="center"/>
          </w:tcPr>
          <w:p w14:paraId="2FFD5BC0" w14:textId="77777777" w:rsidR="00CE3BAD" w:rsidRPr="00782BF9" w:rsidRDefault="00CE3BAD">
            <w:pPr>
              <w:spacing w:before="120" w:after="0" w:line="240" w:lineRule="auto"/>
              <w:jc w:val="center"/>
              <w:rPr>
                <w:rFonts w:eastAsia="Times New Roman" w:cstheme="minorHAnsi"/>
                <w:b/>
                <w:noProof/>
                <w:sz w:val="18"/>
                <w:lang w:val="bg-BG"/>
              </w:rPr>
            </w:pPr>
          </w:p>
        </w:tc>
        <w:tc>
          <w:tcPr>
            <w:tcW w:w="1338" w:type="dxa"/>
            <w:vMerge/>
            <w:tcBorders>
              <w:left w:val="single" w:sz="4" w:space="0" w:color="auto"/>
            </w:tcBorders>
            <w:vAlign w:val="center"/>
          </w:tcPr>
          <w:p w14:paraId="25B59770" w14:textId="77777777" w:rsidR="00CE3BAD" w:rsidRPr="00782BF9" w:rsidRDefault="00CE3BAD">
            <w:pPr>
              <w:spacing w:before="120" w:after="0" w:line="240" w:lineRule="auto"/>
              <w:jc w:val="center"/>
              <w:rPr>
                <w:rFonts w:eastAsia="Times New Roman" w:cstheme="minorHAnsi"/>
                <w:b/>
                <w:noProof/>
                <w:sz w:val="18"/>
                <w:lang w:val="bg-BG"/>
              </w:rPr>
            </w:pPr>
          </w:p>
        </w:tc>
        <w:tc>
          <w:tcPr>
            <w:tcW w:w="1116" w:type="dxa"/>
            <w:tcBorders>
              <w:top w:val="nil"/>
              <w:left w:val="single" w:sz="4" w:space="0" w:color="auto"/>
              <w:bottom w:val="single" w:sz="4" w:space="0" w:color="auto"/>
              <w:right w:val="single" w:sz="4" w:space="0" w:color="auto"/>
            </w:tcBorders>
            <w:shd w:val="clear" w:color="auto" w:fill="BDD7EE"/>
            <w:vAlign w:val="center"/>
            <w:hideMark/>
          </w:tcPr>
          <w:p w14:paraId="427F707D"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Единица мярка</w:t>
            </w:r>
          </w:p>
        </w:tc>
        <w:tc>
          <w:tcPr>
            <w:tcW w:w="877" w:type="dxa"/>
            <w:tcBorders>
              <w:top w:val="nil"/>
              <w:left w:val="nil"/>
              <w:bottom w:val="single" w:sz="4" w:space="0" w:color="auto"/>
              <w:right w:val="single" w:sz="4" w:space="0" w:color="auto"/>
            </w:tcBorders>
            <w:shd w:val="clear" w:color="auto" w:fill="BDD7EE"/>
            <w:vAlign w:val="center"/>
            <w:hideMark/>
          </w:tcPr>
          <w:p w14:paraId="2E0B4C38" w14:textId="22CAD37F" w:rsidR="00CE3BAD" w:rsidRPr="00782BF9" w:rsidRDefault="006B5475">
            <w:pPr>
              <w:pStyle w:val="P68B1DB1-Normal23"/>
              <w:spacing w:before="120" w:after="120" w:line="240" w:lineRule="auto"/>
              <w:jc w:val="center"/>
              <w:rPr>
                <w:rFonts w:eastAsia="Calibri"/>
                <w:noProof/>
                <w:lang w:val="bg-BG"/>
              </w:rPr>
            </w:pPr>
            <w:r w:rsidRPr="00782BF9">
              <w:rPr>
                <w:noProof/>
                <w:lang w:val="bg-BG"/>
              </w:rPr>
              <w:t>Базова линия</w:t>
            </w:r>
          </w:p>
        </w:tc>
        <w:tc>
          <w:tcPr>
            <w:tcW w:w="1559" w:type="dxa"/>
            <w:tcBorders>
              <w:top w:val="nil"/>
              <w:left w:val="nil"/>
              <w:bottom w:val="single" w:sz="4" w:space="0" w:color="auto"/>
              <w:right w:val="single" w:sz="4" w:space="0" w:color="auto"/>
            </w:tcBorders>
            <w:shd w:val="clear" w:color="auto" w:fill="BDD7EE"/>
            <w:vAlign w:val="center"/>
            <w:hideMark/>
          </w:tcPr>
          <w:p w14:paraId="0277CDE6" w14:textId="5A207917" w:rsidR="00CE3BAD" w:rsidRPr="00782BF9" w:rsidRDefault="006B5475">
            <w:pPr>
              <w:pStyle w:val="P68B1DB1-Normal23"/>
              <w:spacing w:before="120" w:after="120" w:line="240" w:lineRule="auto"/>
              <w:jc w:val="center"/>
              <w:rPr>
                <w:rFonts w:eastAsia="Calibri"/>
                <w:noProof/>
                <w:lang w:val="bg-BG"/>
              </w:rPr>
            </w:pPr>
            <w:r w:rsidRPr="00782BF9">
              <w:rPr>
                <w:noProof/>
                <w:lang w:val="bg-BG"/>
              </w:rPr>
              <w:t>Цел</w:t>
            </w:r>
          </w:p>
        </w:tc>
        <w:tc>
          <w:tcPr>
            <w:tcW w:w="850" w:type="dxa"/>
            <w:tcBorders>
              <w:top w:val="nil"/>
              <w:left w:val="nil"/>
              <w:bottom w:val="single" w:sz="4" w:space="0" w:color="auto"/>
              <w:right w:val="single" w:sz="4" w:space="0" w:color="auto"/>
            </w:tcBorders>
            <w:shd w:val="clear" w:color="auto" w:fill="BDD7EE"/>
            <w:vAlign w:val="center"/>
            <w:hideMark/>
          </w:tcPr>
          <w:p w14:paraId="4922A3F5"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Тримесечие</w:t>
            </w:r>
          </w:p>
        </w:tc>
        <w:tc>
          <w:tcPr>
            <w:tcW w:w="709" w:type="dxa"/>
            <w:tcBorders>
              <w:top w:val="nil"/>
              <w:left w:val="nil"/>
              <w:bottom w:val="single" w:sz="4" w:space="0" w:color="auto"/>
              <w:right w:val="single" w:sz="4" w:space="0" w:color="auto"/>
            </w:tcBorders>
            <w:shd w:val="clear" w:color="auto" w:fill="BDD7EE"/>
            <w:vAlign w:val="center"/>
            <w:hideMark/>
          </w:tcPr>
          <w:p w14:paraId="50F8B8B6" w14:textId="77777777" w:rsidR="00CE3BAD" w:rsidRPr="00782BF9" w:rsidRDefault="006B5475">
            <w:pPr>
              <w:pStyle w:val="P68B1DB1-Normal23"/>
              <w:spacing w:before="120" w:after="120" w:line="240" w:lineRule="auto"/>
              <w:jc w:val="center"/>
              <w:rPr>
                <w:rFonts w:eastAsia="Calibri"/>
                <w:noProof/>
                <w:lang w:val="bg-BG"/>
              </w:rPr>
            </w:pPr>
            <w:r w:rsidRPr="00782BF9">
              <w:rPr>
                <w:noProof/>
                <w:lang w:val="bg-BG"/>
              </w:rPr>
              <w:t>Година</w:t>
            </w:r>
          </w:p>
        </w:tc>
        <w:tc>
          <w:tcPr>
            <w:tcW w:w="4111" w:type="dxa"/>
            <w:vMerge/>
            <w:tcBorders>
              <w:top w:val="single" w:sz="4" w:space="0" w:color="auto"/>
              <w:bottom w:val="single" w:sz="4" w:space="0" w:color="auto"/>
              <w:right w:val="single" w:sz="4" w:space="0" w:color="auto"/>
            </w:tcBorders>
            <w:vAlign w:val="center"/>
            <w:hideMark/>
          </w:tcPr>
          <w:p w14:paraId="70D2EC44" w14:textId="77777777" w:rsidR="00CE3BAD" w:rsidRPr="00782BF9" w:rsidRDefault="00CE3BAD">
            <w:pPr>
              <w:spacing w:before="120" w:after="0" w:line="240" w:lineRule="auto"/>
              <w:jc w:val="center"/>
              <w:rPr>
                <w:rFonts w:eastAsia="Times New Roman" w:cstheme="minorHAnsi"/>
                <w:b/>
                <w:noProof/>
                <w:sz w:val="18"/>
                <w:lang w:val="bg-BG"/>
              </w:rPr>
            </w:pPr>
          </w:p>
        </w:tc>
      </w:tr>
      <w:tr w:rsidR="00CE3BAD" w:rsidRPr="00782BF9" w14:paraId="5758D7C7"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hideMark/>
          </w:tcPr>
          <w:p w14:paraId="426B967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293</w:t>
            </w:r>
          </w:p>
        </w:tc>
        <w:tc>
          <w:tcPr>
            <w:tcW w:w="1705" w:type="dxa"/>
            <w:tcBorders>
              <w:top w:val="single" w:sz="4" w:space="0" w:color="auto"/>
              <w:left w:val="nil"/>
              <w:bottom w:val="single" w:sz="4" w:space="0" w:color="auto"/>
              <w:right w:val="single" w:sz="4" w:space="0" w:color="auto"/>
            </w:tcBorders>
            <w:shd w:val="clear" w:color="auto" w:fill="C6EFCE"/>
            <w:noWrap/>
            <w:hideMark/>
          </w:tcPr>
          <w:p w14:paraId="34775B7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C10.R7: Разширяване на енергийните общности</w:t>
            </w:r>
          </w:p>
        </w:tc>
        <w:tc>
          <w:tcPr>
            <w:tcW w:w="1330" w:type="dxa"/>
            <w:tcBorders>
              <w:top w:val="single" w:sz="4" w:space="0" w:color="auto"/>
              <w:left w:val="nil"/>
              <w:bottom w:val="single" w:sz="4" w:space="0" w:color="auto"/>
              <w:right w:val="single" w:sz="4" w:space="0" w:color="auto"/>
            </w:tcBorders>
            <w:shd w:val="clear" w:color="auto" w:fill="C6EFCE"/>
            <w:noWrap/>
            <w:hideMark/>
          </w:tcPr>
          <w:p w14:paraId="61FDE6EF"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hideMark/>
          </w:tcPr>
          <w:p w14:paraId="649149D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измененото законодателство относно енергийните общности</w:t>
            </w:r>
          </w:p>
          <w:p w14:paraId="34C9E5D1" w14:textId="77777777" w:rsidR="00CE3BAD" w:rsidRPr="00782BF9" w:rsidRDefault="00CE3BAD">
            <w:pPr>
              <w:spacing w:before="120" w:after="120" w:line="240" w:lineRule="auto"/>
              <w:jc w:val="center"/>
              <w:rPr>
                <w:rFonts w:eastAsia="Calibri" w:cstheme="minorHAnsi"/>
                <w:noProof/>
                <w:sz w:val="18"/>
                <w:lang w:val="bg-BG"/>
              </w:rPr>
            </w:pPr>
          </w:p>
        </w:tc>
        <w:tc>
          <w:tcPr>
            <w:tcW w:w="1338" w:type="dxa"/>
            <w:tcBorders>
              <w:top w:val="single" w:sz="4" w:space="0" w:color="auto"/>
              <w:left w:val="nil"/>
              <w:bottom w:val="single" w:sz="4" w:space="0" w:color="auto"/>
              <w:right w:val="single" w:sz="4" w:space="0" w:color="auto"/>
            </w:tcBorders>
            <w:shd w:val="clear" w:color="auto" w:fill="C6EFCE"/>
            <w:noWrap/>
            <w:hideMark/>
          </w:tcPr>
          <w:p w14:paraId="4082455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Законова разпоредба, указваща влизането в сила на закона</w:t>
            </w:r>
          </w:p>
        </w:tc>
        <w:tc>
          <w:tcPr>
            <w:tcW w:w="1116" w:type="dxa"/>
            <w:tcBorders>
              <w:top w:val="nil"/>
              <w:left w:val="nil"/>
              <w:bottom w:val="single" w:sz="4" w:space="0" w:color="auto"/>
              <w:right w:val="single" w:sz="4" w:space="0" w:color="auto"/>
            </w:tcBorders>
            <w:shd w:val="clear" w:color="auto" w:fill="C6EFCE"/>
            <w:noWrap/>
            <w:hideMark/>
          </w:tcPr>
          <w:p w14:paraId="60A9E55A"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nil"/>
              <w:left w:val="nil"/>
              <w:bottom w:val="single" w:sz="4" w:space="0" w:color="auto"/>
              <w:right w:val="single" w:sz="4" w:space="0" w:color="auto"/>
            </w:tcBorders>
            <w:shd w:val="clear" w:color="auto" w:fill="C6EFCE"/>
            <w:noWrap/>
            <w:hideMark/>
          </w:tcPr>
          <w:p w14:paraId="70D09EFC"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nil"/>
              <w:left w:val="nil"/>
              <w:bottom w:val="single" w:sz="4" w:space="0" w:color="auto"/>
              <w:right w:val="single" w:sz="4" w:space="0" w:color="auto"/>
            </w:tcBorders>
            <w:shd w:val="clear" w:color="auto" w:fill="C6EFCE"/>
            <w:noWrap/>
            <w:hideMark/>
          </w:tcPr>
          <w:p w14:paraId="0E701BF7"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nil"/>
              <w:left w:val="nil"/>
              <w:bottom w:val="single" w:sz="4" w:space="0" w:color="auto"/>
              <w:right w:val="single" w:sz="4" w:space="0" w:color="auto"/>
            </w:tcBorders>
            <w:shd w:val="clear" w:color="auto" w:fill="C6EFCE"/>
            <w:noWrap/>
            <w:hideMark/>
          </w:tcPr>
          <w:p w14:paraId="7DED944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nil"/>
              <w:left w:val="nil"/>
              <w:bottom w:val="single" w:sz="4" w:space="0" w:color="auto"/>
              <w:right w:val="single" w:sz="4" w:space="0" w:color="auto"/>
            </w:tcBorders>
            <w:shd w:val="clear" w:color="auto" w:fill="C6EFCE"/>
            <w:noWrap/>
            <w:hideMark/>
          </w:tcPr>
          <w:p w14:paraId="1E5ED89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hideMark/>
          </w:tcPr>
          <w:p w14:paraId="37A8D115"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Влиза в сила преразгледано законодателство за установяване на подробна и гъвкава регулаторна рамка за гражданите и общностите за енергия от възобновяеми източници въз основа на опита от предишни пилотни проекти, финансирани от източници по СТЕ.</w:t>
            </w:r>
          </w:p>
          <w:p w14:paraId="6269E87F"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Приемат се правни разпоредби относно споделянето, преноса на енергия, достъпа до данни за потребителите, измерването и отчитането в публичната мрежа на енергийните общности. </w:t>
            </w:r>
          </w:p>
          <w:p w14:paraId="1409301F"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Реформата въвежда стимули за развитието на енергийните общности, насърчава колективното производство и потребление в рамките на енергийната общност и опростява процеса на регистрация и функциониране на енергийните общности. </w:t>
            </w:r>
          </w:p>
          <w:p w14:paraId="3F87E2E3"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Реформата прилага принципа на отворено участие, не ограничава неоправдано колективното потребление и производство на собствена електроенергия, нито въвежда каквито и да било необосновани ограничения въз основа на размера или географията. Енергийните общности също имат право да работят в сектора на отоплението и охлаждането.</w:t>
            </w:r>
          </w:p>
          <w:p w14:paraId="5B17FF32"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Енергийните общности имат право да получават данни от измерването на доставките на електроенергия, данни от измерването, като се взема предвид електроенергията, споделена в рамките на енергийната общност, и оценени данни.</w:t>
            </w:r>
          </w:p>
          <w:p w14:paraId="7778260E" w14:textId="37227E01" w:rsidR="00CE3BAD" w:rsidRPr="00782BF9" w:rsidRDefault="006B5475">
            <w:pPr>
              <w:pStyle w:val="P68B1DB1-Normal24"/>
              <w:spacing w:before="120" w:after="120" w:line="240" w:lineRule="auto"/>
              <w:jc w:val="both"/>
              <w:rPr>
                <w:rFonts w:eastAsia="Calibri"/>
                <w:noProof/>
                <w:highlight w:val="yellow"/>
                <w:lang w:val="bg-BG"/>
              </w:rPr>
            </w:pPr>
            <w:r w:rsidRPr="00782BF9">
              <w:rPr>
                <w:noProof/>
                <w:lang w:val="bg-BG"/>
              </w:rPr>
              <w:t>След преразглеждането на законодателната рамка се създават специални схеми за финансиране, за да се осигури допълнителен стимул за създаването на енергийните общности.</w:t>
            </w:r>
          </w:p>
        </w:tc>
      </w:tr>
      <w:tr w:rsidR="00CE3BAD" w:rsidRPr="00782BF9" w14:paraId="04615836" w14:textId="77777777">
        <w:trPr>
          <w:trHeight w:val="309"/>
        </w:trPr>
        <w:tc>
          <w:tcPr>
            <w:tcW w:w="966" w:type="dxa"/>
            <w:tcBorders>
              <w:top w:val="nil"/>
              <w:left w:val="single" w:sz="4" w:space="0" w:color="auto"/>
              <w:bottom w:val="single" w:sz="4" w:space="0" w:color="auto"/>
              <w:right w:val="single" w:sz="4" w:space="0" w:color="auto"/>
            </w:tcBorders>
            <w:shd w:val="clear" w:color="auto" w:fill="C6EFCE"/>
            <w:noWrap/>
          </w:tcPr>
          <w:p w14:paraId="065ACE5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294</w:t>
            </w:r>
          </w:p>
        </w:tc>
        <w:tc>
          <w:tcPr>
            <w:tcW w:w="1705" w:type="dxa"/>
            <w:tcBorders>
              <w:top w:val="nil"/>
              <w:left w:val="nil"/>
              <w:bottom w:val="single" w:sz="4" w:space="0" w:color="auto"/>
              <w:right w:val="single" w:sz="4" w:space="0" w:color="auto"/>
            </w:tcBorders>
            <w:shd w:val="clear" w:color="auto" w:fill="C6EFCE"/>
            <w:noWrap/>
          </w:tcPr>
          <w:p w14:paraId="64AA289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C10.R7: Разширяване на енергийните общности</w:t>
            </w:r>
          </w:p>
        </w:tc>
        <w:tc>
          <w:tcPr>
            <w:tcW w:w="1330" w:type="dxa"/>
            <w:tcBorders>
              <w:top w:val="single" w:sz="4" w:space="0" w:color="auto"/>
              <w:left w:val="nil"/>
              <w:bottom w:val="single" w:sz="4" w:space="0" w:color="auto"/>
              <w:right w:val="single" w:sz="4" w:space="0" w:color="auto"/>
            </w:tcBorders>
            <w:shd w:val="clear" w:color="auto" w:fill="C6EFCE"/>
            <w:noWrap/>
          </w:tcPr>
          <w:p w14:paraId="6EE4B612"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nil"/>
              <w:left w:val="nil"/>
              <w:bottom w:val="single" w:sz="4" w:space="0" w:color="auto"/>
              <w:right w:val="single" w:sz="4" w:space="0" w:color="auto"/>
            </w:tcBorders>
            <w:shd w:val="clear" w:color="auto" w:fill="C6EFCE"/>
            <w:noWrap/>
          </w:tcPr>
          <w:p w14:paraId="5729C2B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Обслужване на едно гише и насоки за енергийните общности</w:t>
            </w:r>
          </w:p>
        </w:tc>
        <w:tc>
          <w:tcPr>
            <w:tcW w:w="1338" w:type="dxa"/>
            <w:tcBorders>
              <w:top w:val="single" w:sz="4" w:space="0" w:color="auto"/>
              <w:left w:val="nil"/>
              <w:bottom w:val="single" w:sz="4" w:space="0" w:color="auto"/>
              <w:right w:val="single" w:sz="4" w:space="0" w:color="auto"/>
            </w:tcBorders>
            <w:shd w:val="clear" w:color="auto" w:fill="C6EFCE"/>
            <w:noWrap/>
          </w:tcPr>
          <w:p w14:paraId="782052E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Създаване на обслужване на едно гише и публикуване на базата данни с образци на правни документи за създаване на енергийни общности</w:t>
            </w:r>
          </w:p>
          <w:p w14:paraId="0B185E81" w14:textId="77777777" w:rsidR="00CE3BAD" w:rsidRPr="00782BF9" w:rsidRDefault="00CE3BAD">
            <w:pPr>
              <w:spacing w:before="120" w:after="120" w:line="240" w:lineRule="auto"/>
              <w:jc w:val="both"/>
              <w:rPr>
                <w:rFonts w:eastAsia="Calibri" w:cstheme="minorHAnsi"/>
                <w:noProof/>
                <w:sz w:val="18"/>
                <w:lang w:val="bg-BG"/>
              </w:rPr>
            </w:pPr>
          </w:p>
        </w:tc>
        <w:tc>
          <w:tcPr>
            <w:tcW w:w="1116" w:type="dxa"/>
            <w:tcBorders>
              <w:top w:val="nil"/>
              <w:left w:val="nil"/>
              <w:bottom w:val="single" w:sz="4" w:space="0" w:color="auto"/>
              <w:right w:val="single" w:sz="4" w:space="0" w:color="auto"/>
            </w:tcBorders>
            <w:shd w:val="clear" w:color="auto" w:fill="C6EFCE"/>
            <w:noWrap/>
          </w:tcPr>
          <w:p w14:paraId="40EE298B"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nil"/>
              <w:left w:val="nil"/>
              <w:bottom w:val="single" w:sz="4" w:space="0" w:color="auto"/>
              <w:right w:val="single" w:sz="4" w:space="0" w:color="auto"/>
            </w:tcBorders>
            <w:shd w:val="clear" w:color="auto" w:fill="C6EFCE"/>
            <w:noWrap/>
          </w:tcPr>
          <w:p w14:paraId="0BBC998F"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nil"/>
              <w:left w:val="nil"/>
              <w:bottom w:val="single" w:sz="4" w:space="0" w:color="auto"/>
              <w:right w:val="single" w:sz="4" w:space="0" w:color="auto"/>
            </w:tcBorders>
            <w:shd w:val="clear" w:color="auto" w:fill="C6EFCE"/>
            <w:noWrap/>
          </w:tcPr>
          <w:p w14:paraId="5D5BB12E"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nil"/>
              <w:left w:val="nil"/>
              <w:bottom w:val="single" w:sz="4" w:space="0" w:color="auto"/>
              <w:right w:val="single" w:sz="4" w:space="0" w:color="auto"/>
            </w:tcBorders>
            <w:shd w:val="clear" w:color="auto" w:fill="C6EFCE"/>
            <w:noWrap/>
          </w:tcPr>
          <w:p w14:paraId="21A90E5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nil"/>
              <w:left w:val="nil"/>
              <w:bottom w:val="single" w:sz="4" w:space="0" w:color="auto"/>
              <w:right w:val="single" w:sz="4" w:space="0" w:color="auto"/>
            </w:tcBorders>
            <w:shd w:val="clear" w:color="auto" w:fill="C6EFCE"/>
            <w:noWrap/>
          </w:tcPr>
          <w:p w14:paraId="6D974D1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nil"/>
              <w:left w:val="nil"/>
              <w:bottom w:val="single" w:sz="4" w:space="0" w:color="auto"/>
              <w:right w:val="single" w:sz="4" w:space="0" w:color="auto"/>
            </w:tcBorders>
            <w:shd w:val="clear" w:color="auto" w:fill="C6EFCE"/>
            <w:noWrap/>
          </w:tcPr>
          <w:p w14:paraId="60760589"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Създава се обслужване на едно гише за енергийните общности, което включва информация относно финансирането и насоките и изкуствените документи за правното създаване на енергийни общности (включително проучвания за техническа и икономическа осъществимост, договори и правни документи, свързани със създаването на енергийните общности, договорните отношения на енергийните общности и техните членове), се публикуват с цел насочване на обществеността и улесняване на създаването на енергийни общности.</w:t>
            </w:r>
          </w:p>
          <w:p w14:paraId="2ABF3502"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Повишаването на осведомеността и образователните материали относно енергийните общности подкрепят разпространението на информация за енергийните общности.</w:t>
            </w:r>
          </w:p>
        </w:tc>
      </w:tr>
      <w:tr w:rsidR="00CE3BAD" w:rsidRPr="00782BF9" w14:paraId="6175011B" w14:textId="77777777">
        <w:trPr>
          <w:trHeight w:val="309"/>
        </w:trPr>
        <w:tc>
          <w:tcPr>
            <w:tcW w:w="966" w:type="dxa"/>
            <w:tcBorders>
              <w:top w:val="nil"/>
              <w:left w:val="single" w:sz="4" w:space="0" w:color="auto"/>
              <w:bottom w:val="single" w:sz="4" w:space="0" w:color="auto"/>
              <w:right w:val="single" w:sz="4" w:space="0" w:color="auto"/>
            </w:tcBorders>
            <w:shd w:val="clear" w:color="auto" w:fill="C6EFCE"/>
            <w:noWrap/>
            <w:hideMark/>
          </w:tcPr>
          <w:p w14:paraId="2581B1D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295</w:t>
            </w:r>
          </w:p>
        </w:tc>
        <w:tc>
          <w:tcPr>
            <w:tcW w:w="1705" w:type="dxa"/>
            <w:tcBorders>
              <w:top w:val="nil"/>
              <w:left w:val="nil"/>
              <w:bottom w:val="single" w:sz="4" w:space="0" w:color="auto"/>
              <w:right w:val="single" w:sz="4" w:space="0" w:color="auto"/>
            </w:tcBorders>
            <w:shd w:val="clear" w:color="auto" w:fill="C6EFCE"/>
            <w:noWrap/>
            <w:hideMark/>
          </w:tcPr>
          <w:p w14:paraId="7B911F2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C10.R8: Правни стимули за използване на съхранението на енергия</w:t>
            </w:r>
          </w:p>
        </w:tc>
        <w:tc>
          <w:tcPr>
            <w:tcW w:w="1330" w:type="dxa"/>
            <w:tcBorders>
              <w:top w:val="single" w:sz="4" w:space="0" w:color="auto"/>
              <w:left w:val="nil"/>
              <w:bottom w:val="single" w:sz="4" w:space="0" w:color="auto"/>
              <w:right w:val="single" w:sz="4" w:space="0" w:color="auto"/>
            </w:tcBorders>
            <w:shd w:val="clear" w:color="auto" w:fill="C6EFCE"/>
            <w:noWrap/>
            <w:hideMark/>
          </w:tcPr>
          <w:p w14:paraId="09644FDE"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hideMark/>
          </w:tcPr>
          <w:p w14:paraId="6858BC8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законодателство за създаване на регулаторна рамка относно съхранението на енергия</w:t>
            </w:r>
          </w:p>
        </w:tc>
        <w:tc>
          <w:tcPr>
            <w:tcW w:w="1338" w:type="dxa"/>
            <w:tcBorders>
              <w:top w:val="single" w:sz="4" w:space="0" w:color="auto"/>
              <w:left w:val="nil"/>
              <w:bottom w:val="single" w:sz="4" w:space="0" w:color="auto"/>
              <w:right w:val="single" w:sz="4" w:space="0" w:color="auto"/>
            </w:tcBorders>
            <w:shd w:val="clear" w:color="auto" w:fill="C6EFCE"/>
            <w:noWrap/>
            <w:hideMark/>
          </w:tcPr>
          <w:p w14:paraId="2F449E4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Законова разпоредба, указваща влизането в сила на закона</w:t>
            </w:r>
          </w:p>
        </w:tc>
        <w:tc>
          <w:tcPr>
            <w:tcW w:w="1116" w:type="dxa"/>
            <w:tcBorders>
              <w:top w:val="nil"/>
              <w:left w:val="nil"/>
              <w:bottom w:val="single" w:sz="4" w:space="0" w:color="auto"/>
              <w:right w:val="single" w:sz="4" w:space="0" w:color="auto"/>
            </w:tcBorders>
            <w:shd w:val="clear" w:color="auto" w:fill="C6EFCE"/>
            <w:noWrap/>
            <w:hideMark/>
          </w:tcPr>
          <w:p w14:paraId="76797FA1"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nil"/>
              <w:left w:val="nil"/>
              <w:bottom w:val="single" w:sz="4" w:space="0" w:color="auto"/>
              <w:right w:val="single" w:sz="4" w:space="0" w:color="auto"/>
            </w:tcBorders>
            <w:shd w:val="clear" w:color="auto" w:fill="C6EFCE"/>
            <w:noWrap/>
            <w:hideMark/>
          </w:tcPr>
          <w:p w14:paraId="2E224245"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nil"/>
              <w:left w:val="nil"/>
              <w:bottom w:val="single" w:sz="4" w:space="0" w:color="auto"/>
              <w:right w:val="single" w:sz="4" w:space="0" w:color="auto"/>
            </w:tcBorders>
            <w:shd w:val="clear" w:color="auto" w:fill="C6EFCE"/>
            <w:noWrap/>
            <w:hideMark/>
          </w:tcPr>
          <w:p w14:paraId="7355116D"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nil"/>
              <w:left w:val="nil"/>
              <w:bottom w:val="single" w:sz="4" w:space="0" w:color="auto"/>
              <w:right w:val="single" w:sz="4" w:space="0" w:color="auto"/>
            </w:tcBorders>
            <w:shd w:val="clear" w:color="auto" w:fill="C6EFCE"/>
            <w:noWrap/>
            <w:hideMark/>
          </w:tcPr>
          <w:p w14:paraId="218A83E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09" w:type="dxa"/>
            <w:tcBorders>
              <w:top w:val="nil"/>
              <w:left w:val="nil"/>
              <w:bottom w:val="single" w:sz="4" w:space="0" w:color="auto"/>
              <w:right w:val="single" w:sz="4" w:space="0" w:color="auto"/>
            </w:tcBorders>
            <w:shd w:val="clear" w:color="auto" w:fill="C6EFCE"/>
            <w:noWrap/>
            <w:hideMark/>
          </w:tcPr>
          <w:p w14:paraId="59F3E25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nil"/>
              <w:left w:val="nil"/>
              <w:bottom w:val="single" w:sz="4" w:space="0" w:color="auto"/>
              <w:right w:val="single" w:sz="4" w:space="0" w:color="auto"/>
            </w:tcBorders>
            <w:shd w:val="clear" w:color="auto" w:fill="C6EFCE"/>
            <w:noWrap/>
            <w:hideMark/>
          </w:tcPr>
          <w:p w14:paraId="7C3F8CEE"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Влизане в сила на законодателство за създаване на регулаторна рамка относно съхранението на енергия за активни клиенти и за промишлени участници в оптимизацията на потреблението на енергийния пазар.</w:t>
            </w:r>
          </w:p>
          <w:p w14:paraId="2D0E786E"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Измененото законодателство включва:</w:t>
            </w:r>
          </w:p>
          <w:p w14:paraId="1F2ED214" w14:textId="77777777" w:rsidR="00CE3BAD" w:rsidRPr="00782BF9" w:rsidRDefault="006B5475">
            <w:pPr>
              <w:pStyle w:val="P68B1DB1-Normal24"/>
              <w:numPr>
                <w:ilvl w:val="0"/>
                <w:numId w:val="71"/>
              </w:numPr>
              <w:spacing w:before="120" w:after="120" w:line="240" w:lineRule="auto"/>
              <w:contextualSpacing/>
              <w:jc w:val="both"/>
              <w:rPr>
                <w:rFonts w:eastAsia="Calibri"/>
                <w:noProof/>
                <w:lang w:val="bg-BG"/>
              </w:rPr>
            </w:pPr>
            <w:r w:rsidRPr="00782BF9">
              <w:rPr>
                <w:noProof/>
                <w:lang w:val="bg-BG"/>
              </w:rPr>
              <w:t>Опростено издаване на разрешения за експлоатация на акумулиране на енергия;</w:t>
            </w:r>
          </w:p>
          <w:p w14:paraId="623E12FE" w14:textId="77777777" w:rsidR="00CE3BAD" w:rsidRPr="00782BF9" w:rsidRDefault="006B5475">
            <w:pPr>
              <w:pStyle w:val="P68B1DB1-Normal24"/>
              <w:numPr>
                <w:ilvl w:val="0"/>
                <w:numId w:val="71"/>
              </w:numPr>
              <w:spacing w:before="120" w:after="120" w:line="240" w:lineRule="auto"/>
              <w:contextualSpacing/>
              <w:jc w:val="both"/>
              <w:rPr>
                <w:rFonts w:eastAsia="Calibri"/>
                <w:noProof/>
                <w:lang w:val="bg-BG"/>
              </w:rPr>
            </w:pPr>
            <w:r w:rsidRPr="00782BF9">
              <w:rPr>
                <w:noProof/>
                <w:lang w:val="bg-BG"/>
              </w:rPr>
              <w:t>Определяне на правата и задълженията на оператора на активите за акумулиране на енергия по отношение на други участници на пазара (право на свързване на съхранението на енергия към мрежата, право да продава на мрежата и да купува електроенергия от мрежата, право да предоставя услуги по балансиране);</w:t>
            </w:r>
          </w:p>
          <w:p w14:paraId="026B904A" w14:textId="77777777" w:rsidR="00CE3BAD" w:rsidRPr="00782BF9" w:rsidRDefault="006B5475">
            <w:pPr>
              <w:pStyle w:val="P68B1DB1-Normal24"/>
              <w:numPr>
                <w:ilvl w:val="0"/>
                <w:numId w:val="71"/>
              </w:numPr>
              <w:spacing w:before="120" w:after="120" w:line="240" w:lineRule="auto"/>
              <w:contextualSpacing/>
              <w:jc w:val="both"/>
              <w:rPr>
                <w:rFonts w:eastAsia="Times New Roman"/>
                <w:noProof/>
                <w:lang w:val="bg-BG"/>
              </w:rPr>
            </w:pPr>
            <w:r w:rsidRPr="00782BF9">
              <w:rPr>
                <w:noProof/>
                <w:lang w:val="bg-BG"/>
              </w:rPr>
              <w:t>методика и условия за достъп и присъединяване към преносните и разпределителните мрежи на съоръжения за производство на електроенергия;</w:t>
            </w:r>
          </w:p>
          <w:p w14:paraId="738B1D94" w14:textId="77777777" w:rsidR="00CE3BAD" w:rsidRPr="00782BF9" w:rsidRDefault="006B5475">
            <w:pPr>
              <w:pStyle w:val="P68B1DB1-Normal24"/>
              <w:numPr>
                <w:ilvl w:val="0"/>
                <w:numId w:val="71"/>
              </w:numPr>
              <w:spacing w:before="120" w:after="120" w:line="240" w:lineRule="auto"/>
              <w:contextualSpacing/>
              <w:jc w:val="both"/>
              <w:rPr>
                <w:rFonts w:eastAsia="Calibri"/>
                <w:noProof/>
                <w:lang w:val="bg-BG"/>
              </w:rPr>
            </w:pPr>
            <w:r w:rsidRPr="00782BF9">
              <w:rPr>
                <w:noProof/>
                <w:lang w:val="bg-BG"/>
              </w:rPr>
              <w:t>Правото и правилата за активен потребител да експлоатира актив за съхранение</w:t>
            </w:r>
          </w:p>
          <w:p w14:paraId="3AFAA789" w14:textId="77777777" w:rsidR="00CE3BAD" w:rsidRPr="00782BF9" w:rsidRDefault="006B5475">
            <w:pPr>
              <w:pStyle w:val="P68B1DB1-Normal24"/>
              <w:numPr>
                <w:ilvl w:val="0"/>
                <w:numId w:val="71"/>
              </w:numPr>
              <w:spacing w:before="120" w:after="120" w:line="240" w:lineRule="auto"/>
              <w:contextualSpacing/>
              <w:jc w:val="both"/>
              <w:rPr>
                <w:rFonts w:eastAsia="Calibri"/>
                <w:noProof/>
                <w:lang w:val="bg-BG"/>
              </w:rPr>
            </w:pPr>
            <w:r w:rsidRPr="00782BF9">
              <w:rPr>
                <w:noProof/>
                <w:lang w:val="bg-BG"/>
              </w:rPr>
              <w:t>Разпоредбите на договорите за експлоатация на активите за акумулиране на енергия;</w:t>
            </w:r>
          </w:p>
          <w:p w14:paraId="3CFA0B69" w14:textId="77777777" w:rsidR="00CE3BAD" w:rsidRPr="00782BF9" w:rsidRDefault="006B5475">
            <w:pPr>
              <w:pStyle w:val="P68B1DB1-Normal24"/>
              <w:numPr>
                <w:ilvl w:val="0"/>
                <w:numId w:val="71"/>
              </w:numPr>
              <w:spacing w:before="120" w:after="120" w:line="240" w:lineRule="auto"/>
              <w:contextualSpacing/>
              <w:jc w:val="both"/>
              <w:rPr>
                <w:rFonts w:eastAsia="Calibri"/>
                <w:noProof/>
                <w:lang w:val="bg-BG"/>
              </w:rPr>
            </w:pPr>
            <w:r w:rsidRPr="00782BF9">
              <w:rPr>
                <w:noProof/>
                <w:lang w:val="bg-BG"/>
              </w:rPr>
              <w:t>Изключване на двойното таксуване (по отношение на електроенергията от мрежата, която след това е доставена обратно на мрежата и консумирана от крайния потребител);</w:t>
            </w:r>
          </w:p>
          <w:p w14:paraId="5F949069" w14:textId="77777777" w:rsidR="00CE3BAD" w:rsidRPr="00782BF9" w:rsidRDefault="006B5475">
            <w:pPr>
              <w:pStyle w:val="P68B1DB1-Normal24"/>
              <w:numPr>
                <w:ilvl w:val="0"/>
                <w:numId w:val="71"/>
              </w:numPr>
              <w:spacing w:before="120" w:after="120" w:line="240" w:lineRule="auto"/>
              <w:contextualSpacing/>
              <w:jc w:val="both"/>
              <w:rPr>
                <w:rFonts w:eastAsia="Calibri"/>
                <w:noProof/>
                <w:lang w:val="bg-BG"/>
              </w:rPr>
            </w:pPr>
            <w:r w:rsidRPr="00782BF9">
              <w:rPr>
                <w:noProof/>
                <w:lang w:val="bg-BG"/>
              </w:rPr>
              <w:t>Изискването ОРС да включват в своите планове за развитие на мрежата информация относно услугите за гъвкавост, потенциалната оптимизация на потреблението, енергийната ефективност, ресурсите на съоръженията за акумулиране на енергия, които ОРС възнамеряват да използват или да инвестират като алтернатива на разширяването на системата.</w:t>
            </w:r>
          </w:p>
        </w:tc>
      </w:tr>
      <w:tr w:rsidR="00CE3BAD" w:rsidRPr="00782BF9" w14:paraId="31A4418B" w14:textId="77777777">
        <w:trPr>
          <w:trHeight w:val="309"/>
        </w:trPr>
        <w:tc>
          <w:tcPr>
            <w:tcW w:w="966" w:type="dxa"/>
            <w:tcBorders>
              <w:top w:val="nil"/>
              <w:left w:val="single" w:sz="4" w:space="0" w:color="auto"/>
              <w:bottom w:val="single" w:sz="4" w:space="0" w:color="auto"/>
              <w:right w:val="single" w:sz="4" w:space="0" w:color="auto"/>
            </w:tcBorders>
            <w:shd w:val="clear" w:color="auto" w:fill="C6EFCE"/>
            <w:noWrap/>
          </w:tcPr>
          <w:p w14:paraId="60B8576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296</w:t>
            </w:r>
          </w:p>
        </w:tc>
        <w:tc>
          <w:tcPr>
            <w:tcW w:w="1705" w:type="dxa"/>
            <w:tcBorders>
              <w:top w:val="nil"/>
              <w:left w:val="nil"/>
              <w:bottom w:val="single" w:sz="4" w:space="0" w:color="auto"/>
              <w:right w:val="single" w:sz="4" w:space="0" w:color="auto"/>
            </w:tcBorders>
            <w:shd w:val="clear" w:color="auto" w:fill="C6EFCE"/>
            <w:noWrap/>
          </w:tcPr>
          <w:p w14:paraId="1AFDE82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C10.R8: Правни стимули за използване на съхранението на енергия</w:t>
            </w:r>
          </w:p>
        </w:tc>
        <w:tc>
          <w:tcPr>
            <w:tcW w:w="1330" w:type="dxa"/>
            <w:tcBorders>
              <w:top w:val="nil"/>
              <w:left w:val="nil"/>
              <w:bottom w:val="single" w:sz="4" w:space="0" w:color="auto"/>
              <w:right w:val="single" w:sz="4" w:space="0" w:color="auto"/>
            </w:tcBorders>
            <w:shd w:val="clear" w:color="auto" w:fill="C6EFCE"/>
            <w:noWrap/>
          </w:tcPr>
          <w:p w14:paraId="19C002ED"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nil"/>
              <w:left w:val="nil"/>
              <w:bottom w:val="single" w:sz="4" w:space="0" w:color="auto"/>
              <w:right w:val="single" w:sz="4" w:space="0" w:color="auto"/>
            </w:tcBorders>
            <w:shd w:val="clear" w:color="auto" w:fill="C6EFCE"/>
            <w:noWrap/>
          </w:tcPr>
          <w:p w14:paraId="763D010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Приемане на Националния план за съхранение на енергия и гъвкавост по отношение на неизкопаемите горива</w:t>
            </w:r>
          </w:p>
        </w:tc>
        <w:tc>
          <w:tcPr>
            <w:tcW w:w="1338" w:type="dxa"/>
            <w:tcBorders>
              <w:top w:val="nil"/>
              <w:left w:val="nil"/>
              <w:bottom w:val="single" w:sz="4" w:space="0" w:color="auto"/>
              <w:right w:val="single" w:sz="4" w:space="0" w:color="auto"/>
            </w:tcBorders>
            <w:shd w:val="clear" w:color="auto" w:fill="C6EFCE"/>
            <w:noWrap/>
          </w:tcPr>
          <w:p w14:paraId="1D5C8B6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Приемане на стратегията от правителството</w:t>
            </w:r>
          </w:p>
        </w:tc>
        <w:tc>
          <w:tcPr>
            <w:tcW w:w="1116" w:type="dxa"/>
            <w:tcBorders>
              <w:top w:val="nil"/>
              <w:left w:val="nil"/>
              <w:bottom w:val="single" w:sz="4" w:space="0" w:color="auto"/>
              <w:right w:val="single" w:sz="4" w:space="0" w:color="auto"/>
            </w:tcBorders>
            <w:shd w:val="clear" w:color="auto" w:fill="C6EFCE"/>
            <w:noWrap/>
          </w:tcPr>
          <w:p w14:paraId="025DF5C6"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nil"/>
              <w:left w:val="nil"/>
              <w:bottom w:val="single" w:sz="4" w:space="0" w:color="auto"/>
              <w:right w:val="single" w:sz="4" w:space="0" w:color="auto"/>
            </w:tcBorders>
            <w:shd w:val="clear" w:color="auto" w:fill="C6EFCE"/>
            <w:noWrap/>
          </w:tcPr>
          <w:p w14:paraId="69AA553D"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nil"/>
              <w:left w:val="nil"/>
              <w:bottom w:val="single" w:sz="4" w:space="0" w:color="auto"/>
              <w:right w:val="single" w:sz="4" w:space="0" w:color="auto"/>
            </w:tcBorders>
            <w:shd w:val="clear" w:color="auto" w:fill="C6EFCE"/>
            <w:noWrap/>
          </w:tcPr>
          <w:p w14:paraId="4694FABA"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nil"/>
              <w:left w:val="nil"/>
              <w:bottom w:val="single" w:sz="4" w:space="0" w:color="auto"/>
              <w:right w:val="single" w:sz="4" w:space="0" w:color="auto"/>
            </w:tcBorders>
            <w:shd w:val="clear" w:color="auto" w:fill="C6EFCE"/>
            <w:noWrap/>
          </w:tcPr>
          <w:p w14:paraId="5C637BD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09" w:type="dxa"/>
            <w:tcBorders>
              <w:top w:val="nil"/>
              <w:left w:val="nil"/>
              <w:bottom w:val="single" w:sz="4" w:space="0" w:color="auto"/>
              <w:right w:val="single" w:sz="4" w:space="0" w:color="auto"/>
            </w:tcBorders>
            <w:shd w:val="clear" w:color="auto" w:fill="C6EFCE"/>
            <w:noWrap/>
          </w:tcPr>
          <w:p w14:paraId="6F9227B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nil"/>
              <w:left w:val="nil"/>
              <w:bottom w:val="single" w:sz="4" w:space="0" w:color="auto"/>
              <w:right w:val="single" w:sz="4" w:space="0" w:color="auto"/>
            </w:tcBorders>
            <w:shd w:val="clear" w:color="auto" w:fill="C6EFCE"/>
            <w:noWrap/>
          </w:tcPr>
          <w:p w14:paraId="550A7E0E"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Националният план за съхраняване на енергия и гъвкавост по отношение на неизкопаемите горива се приема от Министерството. В него се определят приоритетите за развитието на гъвкавост по отношение на неизкопаемите горива и се определя цел за гъвкавост по отношение на неизкопаемите горива, включително съхранението на енергия до 2035 г.</w:t>
            </w:r>
          </w:p>
          <w:p w14:paraId="0E92D28E"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Националната стратегия предоставя траектория на инвестициите за достигане на установения потенциал и определя подходящи публични и частни източници на финансиране за подпомагане на технологиите за гъвкавост и съхранение, включително срокове за тяхното разработване и подкрепа.</w:t>
            </w:r>
          </w:p>
        </w:tc>
      </w:tr>
      <w:tr w:rsidR="00CE3BAD" w:rsidRPr="00782BF9" w14:paraId="7F4ABAFC" w14:textId="77777777">
        <w:trPr>
          <w:trHeight w:val="309"/>
        </w:trPr>
        <w:tc>
          <w:tcPr>
            <w:tcW w:w="966" w:type="dxa"/>
            <w:tcBorders>
              <w:top w:val="nil"/>
              <w:left w:val="single" w:sz="4" w:space="0" w:color="auto"/>
              <w:bottom w:val="single" w:sz="4" w:space="0" w:color="auto"/>
              <w:right w:val="single" w:sz="4" w:space="0" w:color="auto"/>
            </w:tcBorders>
            <w:shd w:val="clear" w:color="auto" w:fill="C6EFCE"/>
            <w:noWrap/>
            <w:hideMark/>
          </w:tcPr>
          <w:p w14:paraId="05732E9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297</w:t>
            </w:r>
          </w:p>
        </w:tc>
        <w:tc>
          <w:tcPr>
            <w:tcW w:w="1705" w:type="dxa"/>
            <w:tcBorders>
              <w:top w:val="nil"/>
              <w:left w:val="nil"/>
              <w:bottom w:val="single" w:sz="4" w:space="0" w:color="auto"/>
              <w:right w:val="single" w:sz="4" w:space="0" w:color="auto"/>
            </w:tcBorders>
            <w:shd w:val="clear" w:color="auto" w:fill="C6EFCE"/>
            <w:noWrap/>
            <w:hideMark/>
          </w:tcPr>
          <w:p w14:paraId="2ECE259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C10.R9: Осигуряване на правна рамка за водорода от възобновяеми източници</w:t>
            </w:r>
          </w:p>
        </w:tc>
        <w:tc>
          <w:tcPr>
            <w:tcW w:w="1330" w:type="dxa"/>
            <w:tcBorders>
              <w:top w:val="single" w:sz="4" w:space="0" w:color="auto"/>
              <w:left w:val="nil"/>
              <w:bottom w:val="single" w:sz="4" w:space="0" w:color="auto"/>
              <w:right w:val="single" w:sz="4" w:space="0" w:color="auto"/>
            </w:tcBorders>
            <w:shd w:val="clear" w:color="auto" w:fill="C6EFCE"/>
            <w:noWrap/>
            <w:hideMark/>
          </w:tcPr>
          <w:p w14:paraId="35845B62"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nil"/>
              <w:left w:val="nil"/>
              <w:bottom w:val="single" w:sz="4" w:space="0" w:color="auto"/>
              <w:right w:val="single" w:sz="4" w:space="0" w:color="auto"/>
            </w:tcBorders>
            <w:shd w:val="clear" w:color="auto" w:fill="C6EFCE"/>
            <w:noWrap/>
            <w:hideMark/>
          </w:tcPr>
          <w:p w14:paraId="31B2966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Приключване на прегледа на правната рамка относно водорода от възобновяеми източници</w:t>
            </w:r>
          </w:p>
        </w:tc>
        <w:tc>
          <w:tcPr>
            <w:tcW w:w="1338" w:type="dxa"/>
            <w:tcBorders>
              <w:top w:val="single" w:sz="4" w:space="0" w:color="auto"/>
              <w:left w:val="nil"/>
              <w:bottom w:val="single" w:sz="4" w:space="0" w:color="auto"/>
              <w:right w:val="single" w:sz="4" w:space="0" w:color="auto"/>
            </w:tcBorders>
            <w:shd w:val="clear" w:color="auto" w:fill="C6EFCE"/>
            <w:noWrap/>
            <w:hideMark/>
          </w:tcPr>
          <w:p w14:paraId="2B415C3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Публикуване на регулаторната оценка, включително списък на законодателните мерки, техническите норми и методиките, на официалния уебсайт на Министерството на енергетиката</w:t>
            </w:r>
          </w:p>
        </w:tc>
        <w:tc>
          <w:tcPr>
            <w:tcW w:w="1116" w:type="dxa"/>
            <w:tcBorders>
              <w:top w:val="nil"/>
              <w:left w:val="nil"/>
              <w:bottom w:val="single" w:sz="4" w:space="0" w:color="auto"/>
              <w:right w:val="single" w:sz="4" w:space="0" w:color="auto"/>
            </w:tcBorders>
            <w:shd w:val="clear" w:color="auto" w:fill="C6EFCE"/>
            <w:noWrap/>
            <w:hideMark/>
          </w:tcPr>
          <w:p w14:paraId="057B7F8D"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nil"/>
              <w:left w:val="nil"/>
              <w:bottom w:val="single" w:sz="4" w:space="0" w:color="auto"/>
              <w:right w:val="single" w:sz="4" w:space="0" w:color="auto"/>
            </w:tcBorders>
            <w:shd w:val="clear" w:color="auto" w:fill="C6EFCE"/>
            <w:noWrap/>
            <w:hideMark/>
          </w:tcPr>
          <w:p w14:paraId="6DD90854"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nil"/>
              <w:left w:val="nil"/>
              <w:bottom w:val="single" w:sz="4" w:space="0" w:color="auto"/>
              <w:right w:val="single" w:sz="4" w:space="0" w:color="auto"/>
            </w:tcBorders>
            <w:shd w:val="clear" w:color="auto" w:fill="C6EFCE"/>
            <w:noWrap/>
            <w:hideMark/>
          </w:tcPr>
          <w:p w14:paraId="3A2182FD"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nil"/>
              <w:left w:val="nil"/>
              <w:bottom w:val="single" w:sz="4" w:space="0" w:color="auto"/>
              <w:right w:val="single" w:sz="4" w:space="0" w:color="auto"/>
            </w:tcBorders>
            <w:shd w:val="clear" w:color="auto" w:fill="C6EFCE"/>
            <w:noWrap/>
            <w:hideMark/>
          </w:tcPr>
          <w:p w14:paraId="32AB0325" w14:textId="5A0ADA5B"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09" w:type="dxa"/>
            <w:tcBorders>
              <w:top w:val="nil"/>
              <w:left w:val="nil"/>
              <w:bottom w:val="single" w:sz="4" w:space="0" w:color="auto"/>
              <w:right w:val="single" w:sz="4" w:space="0" w:color="auto"/>
            </w:tcBorders>
            <w:shd w:val="clear" w:color="auto" w:fill="C6EFCE"/>
            <w:noWrap/>
            <w:hideMark/>
          </w:tcPr>
          <w:p w14:paraId="65A4771C" w14:textId="6D67CE3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nil"/>
              <w:left w:val="nil"/>
              <w:bottom w:val="single" w:sz="4" w:space="0" w:color="auto"/>
              <w:right w:val="single" w:sz="4" w:space="0" w:color="auto"/>
            </w:tcBorders>
            <w:shd w:val="clear" w:color="auto" w:fill="C6EFCE"/>
            <w:noWrap/>
            <w:hideMark/>
          </w:tcPr>
          <w:p w14:paraId="717A50C0"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Министерството на енергетиката изготвя оценка на регулаторните пропуски и несъответствия в правната и регулаторната рамка за производството и използването на водород в промишлеността и тежкотоварния транспорт.</w:t>
            </w:r>
          </w:p>
          <w:p w14:paraId="7C78BEF2"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Въз основа на тази оценка Министерството представя списък с мерки, който се публикува на официалния уебсайт. В списъка се определят първичното законодателство, вторичното законодателство, техническите норми и методиките, чието приемане или изменение е необходимо, за да се гарантира привеждането в съответствие с правната рамка на ЕС, свързана с водорода от възобновяеми източници, по-специално Директивата за енергията от възобновяеми източници (2018/2001/ЕС), както и да се осигурят благоприятни условия за развитието на унгарската екосистема за водород от възобновяеми източници. Мерките също така създават благоприятни условия за навлизането на водород от възобновяеми източници както в промишления, така и в тежкотоварния транспорт. </w:t>
            </w:r>
          </w:p>
          <w:p w14:paraId="3F424B04"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Мерките в списъка се определят заедно със заинтересованите страни. </w:t>
            </w:r>
          </w:p>
          <w:p w14:paraId="6D44B117"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Преди публикуването на проектосписъка със съответните заинтересовани страни, като представители на промишлеността и неправителствени организации, се провеждат консултации относно проектосписъка на мерките.</w:t>
            </w:r>
          </w:p>
        </w:tc>
      </w:tr>
      <w:tr w:rsidR="00CE3BAD" w:rsidRPr="00782BF9" w14:paraId="0EB077B6"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70F44AA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298</w:t>
            </w:r>
          </w:p>
        </w:tc>
        <w:tc>
          <w:tcPr>
            <w:tcW w:w="1705" w:type="dxa"/>
            <w:tcBorders>
              <w:top w:val="single" w:sz="4" w:space="0" w:color="auto"/>
              <w:left w:val="nil"/>
              <w:bottom w:val="single" w:sz="4" w:space="0" w:color="auto"/>
              <w:right w:val="single" w:sz="4" w:space="0" w:color="auto"/>
            </w:tcBorders>
            <w:shd w:val="clear" w:color="auto" w:fill="C6EFCE"/>
            <w:noWrap/>
          </w:tcPr>
          <w:p w14:paraId="66E10BA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C10.R9: Осигуряване на правна рамка за водорода от възобновяеми източници</w:t>
            </w:r>
          </w:p>
        </w:tc>
        <w:tc>
          <w:tcPr>
            <w:tcW w:w="1330" w:type="dxa"/>
            <w:tcBorders>
              <w:top w:val="single" w:sz="4" w:space="0" w:color="auto"/>
              <w:left w:val="nil"/>
              <w:bottom w:val="single" w:sz="4" w:space="0" w:color="auto"/>
              <w:right w:val="single" w:sz="4" w:space="0" w:color="auto"/>
            </w:tcBorders>
            <w:shd w:val="clear" w:color="auto" w:fill="C6EFCE"/>
            <w:noWrap/>
          </w:tcPr>
          <w:p w14:paraId="628848C0"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215BD41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законодателния пакет относно водорода от възобновяеми източници и публикуване на придружаващ незаконодателен пакет</w:t>
            </w:r>
          </w:p>
        </w:tc>
        <w:tc>
          <w:tcPr>
            <w:tcW w:w="1338" w:type="dxa"/>
            <w:tcBorders>
              <w:top w:val="single" w:sz="4" w:space="0" w:color="auto"/>
              <w:left w:val="nil"/>
              <w:bottom w:val="single" w:sz="4" w:space="0" w:color="auto"/>
              <w:right w:val="single" w:sz="4" w:space="0" w:color="auto"/>
            </w:tcBorders>
            <w:shd w:val="clear" w:color="auto" w:fill="C6EFCE"/>
            <w:noWrap/>
          </w:tcPr>
          <w:p w14:paraId="5AE4C7E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Законова разпоредба, указваща влизането в сила на законодателството и публикуването на незаконодателния пакет</w:t>
            </w:r>
          </w:p>
        </w:tc>
        <w:tc>
          <w:tcPr>
            <w:tcW w:w="1116" w:type="dxa"/>
            <w:tcBorders>
              <w:top w:val="single" w:sz="4" w:space="0" w:color="auto"/>
              <w:left w:val="nil"/>
              <w:bottom w:val="single" w:sz="4" w:space="0" w:color="auto"/>
              <w:right w:val="single" w:sz="4" w:space="0" w:color="auto"/>
            </w:tcBorders>
            <w:shd w:val="clear" w:color="auto" w:fill="C6EFCE"/>
            <w:noWrap/>
          </w:tcPr>
          <w:p w14:paraId="15D6D12D"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6D236B69"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02DC809A"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603E455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noWrap/>
          </w:tcPr>
          <w:p w14:paraId="4FF64F8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3755DEBC"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Влизане в сила на законодателен пакет относно водорода от възобновяеми източници и публикуване на придружаващ незаконодателен пакет.  Двата пакета съдържат най-малко следното:</w:t>
            </w:r>
          </w:p>
          <w:p w14:paraId="744EB353" w14:textId="77777777" w:rsidR="00CE3BAD" w:rsidRPr="00782BF9" w:rsidRDefault="006B5475">
            <w:pPr>
              <w:pStyle w:val="P68B1DB1-Normal24"/>
              <w:numPr>
                <w:ilvl w:val="0"/>
                <w:numId w:val="66"/>
              </w:numPr>
              <w:spacing w:before="120" w:after="120" w:line="240" w:lineRule="auto"/>
              <w:contextualSpacing/>
              <w:jc w:val="both"/>
              <w:rPr>
                <w:rFonts w:eastAsia="Times New Roman"/>
                <w:noProof/>
                <w:lang w:val="bg-BG"/>
              </w:rPr>
            </w:pPr>
            <w:r w:rsidRPr="00782BF9">
              <w:rPr>
                <w:noProof/>
                <w:lang w:val="bg-BG"/>
              </w:rPr>
              <w:t>изяснени са условията и изискванията за безопасност и качество при използването на електроенергия, произведена чрез използване на водород от възобновяеми източници;</w:t>
            </w:r>
          </w:p>
          <w:p w14:paraId="0A427FFA" w14:textId="77777777" w:rsidR="00CE3BAD" w:rsidRPr="00782BF9" w:rsidRDefault="006B5475">
            <w:pPr>
              <w:pStyle w:val="P68B1DB1-Normal24"/>
              <w:numPr>
                <w:ilvl w:val="0"/>
                <w:numId w:val="66"/>
              </w:numPr>
              <w:spacing w:before="120" w:after="120" w:line="240" w:lineRule="auto"/>
              <w:contextualSpacing/>
              <w:jc w:val="both"/>
              <w:rPr>
                <w:rFonts w:eastAsia="Times New Roman"/>
                <w:noProof/>
                <w:lang w:val="bg-BG"/>
              </w:rPr>
            </w:pPr>
            <w:r w:rsidRPr="00782BF9">
              <w:rPr>
                <w:noProof/>
                <w:lang w:val="bg-BG"/>
              </w:rPr>
              <w:t>концепцията за станции за презареждане с водород е заложена в закона;</w:t>
            </w:r>
          </w:p>
          <w:p w14:paraId="34344102" w14:textId="77777777" w:rsidR="00CE3BAD" w:rsidRPr="00782BF9" w:rsidRDefault="006B5475">
            <w:pPr>
              <w:pStyle w:val="P68B1DB1-Normal24"/>
              <w:numPr>
                <w:ilvl w:val="0"/>
                <w:numId w:val="66"/>
              </w:numPr>
              <w:spacing w:before="120" w:after="120" w:line="240" w:lineRule="auto"/>
              <w:contextualSpacing/>
              <w:jc w:val="both"/>
              <w:rPr>
                <w:rFonts w:eastAsia="Calibri"/>
                <w:noProof/>
                <w:lang w:val="bg-BG"/>
              </w:rPr>
            </w:pPr>
            <w:r w:rsidRPr="00782BF9">
              <w:rPr>
                <w:noProof/>
                <w:lang w:val="bg-BG"/>
              </w:rPr>
              <w:t>установени са правила относно изискванията за безопасност при монтажа на съоръжения под налягане;</w:t>
            </w:r>
          </w:p>
          <w:p w14:paraId="53AEC37D" w14:textId="77777777" w:rsidR="00CE3BAD" w:rsidRPr="00782BF9" w:rsidRDefault="006B5475">
            <w:pPr>
              <w:pStyle w:val="P68B1DB1-Normal24"/>
              <w:numPr>
                <w:ilvl w:val="0"/>
                <w:numId w:val="66"/>
              </w:numPr>
              <w:spacing w:before="120" w:after="120" w:line="240" w:lineRule="auto"/>
              <w:contextualSpacing/>
              <w:jc w:val="both"/>
              <w:rPr>
                <w:rFonts w:eastAsia="Calibri"/>
                <w:noProof/>
                <w:lang w:val="bg-BG"/>
              </w:rPr>
            </w:pPr>
            <w:r w:rsidRPr="00782BF9">
              <w:rPr>
                <w:noProof/>
                <w:lang w:val="bg-BG"/>
              </w:rPr>
              <w:t>правилата за разрешаване на станции за презареждане с водород бяха изяснени и опростени;</w:t>
            </w:r>
          </w:p>
          <w:p w14:paraId="728E8379" w14:textId="77777777" w:rsidR="00CE3BAD" w:rsidRPr="00782BF9" w:rsidRDefault="006B5475">
            <w:pPr>
              <w:pStyle w:val="P68B1DB1-Normal24"/>
              <w:numPr>
                <w:ilvl w:val="0"/>
                <w:numId w:val="66"/>
              </w:numPr>
              <w:spacing w:before="120" w:after="120" w:line="240" w:lineRule="auto"/>
              <w:contextualSpacing/>
              <w:jc w:val="both"/>
              <w:rPr>
                <w:rFonts w:eastAsia="Calibri"/>
                <w:noProof/>
                <w:lang w:val="bg-BG"/>
              </w:rPr>
            </w:pPr>
            <w:r w:rsidRPr="00782BF9">
              <w:rPr>
                <w:noProof/>
                <w:lang w:val="bg-BG"/>
              </w:rPr>
              <w:t>гаранции за произход на възобновяеми енергийни източници чрез национална схема за сертифициране;</w:t>
            </w:r>
          </w:p>
          <w:p w14:paraId="6056BCD4" w14:textId="77777777" w:rsidR="00CE3BAD" w:rsidRPr="00782BF9" w:rsidRDefault="006B5475">
            <w:pPr>
              <w:pStyle w:val="P68B1DB1-Normal24"/>
              <w:numPr>
                <w:ilvl w:val="0"/>
                <w:numId w:val="66"/>
              </w:numPr>
              <w:spacing w:before="120" w:after="120" w:line="240" w:lineRule="auto"/>
              <w:contextualSpacing/>
              <w:jc w:val="both"/>
              <w:rPr>
                <w:rFonts w:eastAsia="Times New Roman"/>
                <w:noProof/>
                <w:lang w:val="bg-BG"/>
              </w:rPr>
            </w:pPr>
            <w:r w:rsidRPr="00782BF9">
              <w:rPr>
                <w:noProof/>
                <w:lang w:val="bg-BG"/>
              </w:rPr>
              <w:t>плановете за разгръщане на инфраструктура за алтернативни горива бяха актуализирани в съответствие с Регламент (ЕС) 2023/1804.</w:t>
            </w:r>
          </w:p>
          <w:p w14:paraId="7A97053A" w14:textId="44694513"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За списъка на мерките, посочени в предходната междинна цел № 298, Унгария публикува доклад за напредъка по изпълнението на всяка от мерките.</w:t>
            </w:r>
          </w:p>
        </w:tc>
      </w:tr>
      <w:tr w:rsidR="00CE3BAD" w:rsidRPr="00782BF9" w14:paraId="71B6A5E1"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2ED3B7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299</w:t>
            </w:r>
          </w:p>
        </w:tc>
        <w:tc>
          <w:tcPr>
            <w:tcW w:w="1705" w:type="dxa"/>
            <w:tcBorders>
              <w:top w:val="single" w:sz="4" w:space="0" w:color="auto"/>
              <w:left w:val="nil"/>
              <w:bottom w:val="single" w:sz="4" w:space="0" w:color="auto"/>
              <w:right w:val="single" w:sz="4" w:space="0" w:color="auto"/>
            </w:tcBorders>
            <w:shd w:val="clear" w:color="auto" w:fill="C6EFCE"/>
            <w:noWrap/>
          </w:tcPr>
          <w:p w14:paraId="020FF0F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C10.R10: Разработване на стратегия и план за действие за биогаза и биометана</w:t>
            </w:r>
          </w:p>
        </w:tc>
        <w:tc>
          <w:tcPr>
            <w:tcW w:w="1330" w:type="dxa"/>
            <w:tcBorders>
              <w:top w:val="single" w:sz="4" w:space="0" w:color="auto"/>
              <w:left w:val="nil"/>
              <w:bottom w:val="single" w:sz="4" w:space="0" w:color="auto"/>
              <w:right w:val="single" w:sz="4" w:space="0" w:color="auto"/>
            </w:tcBorders>
            <w:shd w:val="clear" w:color="auto" w:fill="C6EFCE"/>
            <w:noWrap/>
          </w:tcPr>
          <w:p w14:paraId="389D1E29"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7E9AD539"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Разработване на стратегия и план за действие за биогаза и биометана</w:t>
            </w:r>
          </w:p>
          <w:p w14:paraId="14F2E3BF" w14:textId="77777777" w:rsidR="00CE3BAD" w:rsidRPr="00782BF9" w:rsidRDefault="00CE3BAD">
            <w:pPr>
              <w:spacing w:before="120" w:after="120" w:line="240" w:lineRule="auto"/>
              <w:jc w:val="center"/>
              <w:rPr>
                <w:rFonts w:eastAsia="Times New Roman" w:cstheme="minorHAnsi"/>
                <w:noProof/>
                <w:sz w:val="18"/>
                <w:lang w:val="bg-BG"/>
              </w:rPr>
            </w:pPr>
          </w:p>
        </w:tc>
        <w:tc>
          <w:tcPr>
            <w:tcW w:w="1338" w:type="dxa"/>
            <w:tcBorders>
              <w:top w:val="single" w:sz="4" w:space="0" w:color="auto"/>
              <w:left w:val="nil"/>
              <w:bottom w:val="single" w:sz="4" w:space="0" w:color="auto"/>
              <w:right w:val="single" w:sz="4" w:space="0" w:color="auto"/>
            </w:tcBorders>
            <w:shd w:val="clear" w:color="auto" w:fill="C6EFCE"/>
            <w:noWrap/>
          </w:tcPr>
          <w:p w14:paraId="4517C99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Приемане от правителството на стратегия и план за действие за биогаз и биометан</w:t>
            </w:r>
          </w:p>
        </w:tc>
        <w:tc>
          <w:tcPr>
            <w:tcW w:w="1116" w:type="dxa"/>
            <w:tcBorders>
              <w:top w:val="single" w:sz="4" w:space="0" w:color="auto"/>
              <w:left w:val="nil"/>
              <w:bottom w:val="single" w:sz="4" w:space="0" w:color="auto"/>
              <w:right w:val="single" w:sz="4" w:space="0" w:color="auto"/>
            </w:tcBorders>
            <w:shd w:val="clear" w:color="auto" w:fill="C6EFCE"/>
            <w:noWrap/>
          </w:tcPr>
          <w:p w14:paraId="3C9C757A"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59538CD4"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754E941A"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6294A9A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7C3D170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4EAA2E14"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Правителството приема стратегия за биогаз и биометан и план за действие, които осигуряват стратегическа рамка за политиката в областта на биометана и биогаза, определят се цели и мерки за тяхното постигане и се разглеждат всички елементи, включени в описанието на реформата.  </w:t>
            </w:r>
          </w:p>
        </w:tc>
      </w:tr>
      <w:tr w:rsidR="00CE3BAD" w:rsidRPr="00782BF9" w14:paraId="5D59A93A"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0706A92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300</w:t>
            </w:r>
          </w:p>
        </w:tc>
        <w:tc>
          <w:tcPr>
            <w:tcW w:w="1705" w:type="dxa"/>
            <w:tcBorders>
              <w:top w:val="single" w:sz="4" w:space="0" w:color="auto"/>
              <w:left w:val="nil"/>
              <w:bottom w:val="single" w:sz="4" w:space="0" w:color="auto"/>
              <w:right w:val="single" w:sz="4" w:space="0" w:color="auto"/>
            </w:tcBorders>
            <w:shd w:val="clear" w:color="auto" w:fill="C6EFCE"/>
            <w:noWrap/>
          </w:tcPr>
          <w:p w14:paraId="259496F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C10.R11: Подобряване на регулаторната рамка за геотермална енергия  </w:t>
            </w:r>
          </w:p>
        </w:tc>
        <w:tc>
          <w:tcPr>
            <w:tcW w:w="1330" w:type="dxa"/>
            <w:tcBorders>
              <w:top w:val="single" w:sz="4" w:space="0" w:color="auto"/>
              <w:left w:val="nil"/>
              <w:bottom w:val="single" w:sz="4" w:space="0" w:color="auto"/>
              <w:right w:val="single" w:sz="4" w:space="0" w:color="auto"/>
            </w:tcBorders>
            <w:shd w:val="clear" w:color="auto" w:fill="C6EFCE"/>
            <w:noWrap/>
          </w:tcPr>
          <w:p w14:paraId="50711C82"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1E5F94B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законодателство за подобряване на регулаторната рамка за проучване и използване на геотермална енергия</w:t>
            </w:r>
          </w:p>
        </w:tc>
        <w:tc>
          <w:tcPr>
            <w:tcW w:w="1338" w:type="dxa"/>
            <w:tcBorders>
              <w:top w:val="single" w:sz="4" w:space="0" w:color="auto"/>
              <w:left w:val="nil"/>
              <w:bottom w:val="single" w:sz="4" w:space="0" w:color="auto"/>
              <w:right w:val="single" w:sz="4" w:space="0" w:color="auto"/>
            </w:tcBorders>
            <w:shd w:val="clear" w:color="auto" w:fill="C6EFCE"/>
            <w:noWrap/>
          </w:tcPr>
          <w:p w14:paraId="53D858F7" w14:textId="77777777" w:rsidR="00CE3BAD" w:rsidRPr="00782BF9" w:rsidRDefault="006B5475">
            <w:pPr>
              <w:pStyle w:val="P68B1DB1-Normal24"/>
              <w:autoSpaceDE w:val="0"/>
              <w:autoSpaceDN w:val="0"/>
              <w:adjustRightInd w:val="0"/>
              <w:spacing w:after="0" w:line="240" w:lineRule="auto"/>
              <w:jc w:val="both"/>
              <w:rPr>
                <w:rFonts w:eastAsia="Calibri"/>
                <w:noProof/>
                <w:lang w:val="bg-BG"/>
              </w:rPr>
            </w:pPr>
            <w:r w:rsidRPr="00782BF9">
              <w:rPr>
                <w:noProof/>
                <w:lang w:val="bg-BG"/>
              </w:rPr>
              <w:t>Законова разпоредба, указваща влизането в сила на законодателството</w:t>
            </w:r>
          </w:p>
          <w:p w14:paraId="2DD9CF94"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17FD1E0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w:t>
            </w:r>
          </w:p>
        </w:tc>
        <w:tc>
          <w:tcPr>
            <w:tcW w:w="877" w:type="dxa"/>
            <w:tcBorders>
              <w:top w:val="single" w:sz="4" w:space="0" w:color="auto"/>
              <w:left w:val="nil"/>
              <w:bottom w:val="single" w:sz="4" w:space="0" w:color="auto"/>
              <w:right w:val="single" w:sz="4" w:space="0" w:color="auto"/>
            </w:tcBorders>
            <w:shd w:val="clear" w:color="auto" w:fill="C6EFCE"/>
            <w:noWrap/>
          </w:tcPr>
          <w:p w14:paraId="6476EF4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w:t>
            </w:r>
          </w:p>
        </w:tc>
        <w:tc>
          <w:tcPr>
            <w:tcW w:w="1559" w:type="dxa"/>
            <w:tcBorders>
              <w:top w:val="single" w:sz="4" w:space="0" w:color="auto"/>
              <w:left w:val="nil"/>
              <w:bottom w:val="single" w:sz="4" w:space="0" w:color="auto"/>
              <w:right w:val="single" w:sz="4" w:space="0" w:color="auto"/>
            </w:tcBorders>
            <w:shd w:val="clear" w:color="auto" w:fill="C6EFCE"/>
            <w:noWrap/>
          </w:tcPr>
          <w:p w14:paraId="41C5673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w:t>
            </w:r>
          </w:p>
        </w:tc>
        <w:tc>
          <w:tcPr>
            <w:tcW w:w="850" w:type="dxa"/>
            <w:tcBorders>
              <w:top w:val="single" w:sz="4" w:space="0" w:color="auto"/>
              <w:left w:val="nil"/>
              <w:bottom w:val="single" w:sz="4" w:space="0" w:color="auto"/>
              <w:right w:val="single" w:sz="4" w:space="0" w:color="auto"/>
            </w:tcBorders>
            <w:shd w:val="clear" w:color="auto" w:fill="C6EFCE"/>
            <w:noWrap/>
          </w:tcPr>
          <w:p w14:paraId="4D161B5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noWrap/>
          </w:tcPr>
          <w:p w14:paraId="6424FCA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79FD7725"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Влизане в сила на законодателство за подобряване на регулаторните процедури за проучване и експлоатация на геотермална енергия. </w:t>
            </w:r>
          </w:p>
          <w:p w14:paraId="0BD0B68A"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До влизането в сила на закона Министерството на енергетиката има:</w:t>
            </w:r>
          </w:p>
          <w:p w14:paraId="60F7756B"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и) публикува стратегически документ, в който се очертават предвидените стъпки на политиката за подобряване на регулаторната рамка за проучването и използването на геотермална енергия. Този документ се основава на оценка на режима за лицензиране на геотермални проучвания, въведен през 2023 г.;</w:t>
            </w:r>
          </w:p>
          <w:p w14:paraId="106066EF"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II) публикува мониторингов документ относно изпълнението на политическите стъпки, очертани в горепосочения стратегически документ. Политическите стъпки, които трябва да бъдат постигнати, включват, но не се ограничават до законодателството за подобряване на регулаторната рамка за проучването и използването на геотермална енергия.</w:t>
            </w:r>
          </w:p>
        </w:tc>
      </w:tr>
      <w:tr w:rsidR="00CE3BAD" w:rsidRPr="00782BF9" w14:paraId="312DC6BD"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53BDFE1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301</w:t>
            </w:r>
          </w:p>
        </w:tc>
        <w:tc>
          <w:tcPr>
            <w:tcW w:w="1705" w:type="dxa"/>
            <w:tcBorders>
              <w:top w:val="single" w:sz="4" w:space="0" w:color="auto"/>
              <w:left w:val="nil"/>
              <w:bottom w:val="single" w:sz="4" w:space="0" w:color="auto"/>
              <w:right w:val="single" w:sz="4" w:space="0" w:color="auto"/>
            </w:tcBorders>
            <w:shd w:val="clear" w:color="auto" w:fill="C6EFCE"/>
            <w:noWrap/>
          </w:tcPr>
          <w:p w14:paraId="3AC8D6E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C10.R12: Подкрепа за заявленията на потенциалните бенефициери за финансирани от ЕС схеми за подпомагане на енергийната ефективност на жилищните сгради</w:t>
            </w:r>
          </w:p>
        </w:tc>
        <w:tc>
          <w:tcPr>
            <w:tcW w:w="1330" w:type="dxa"/>
            <w:tcBorders>
              <w:top w:val="single" w:sz="4" w:space="0" w:color="auto"/>
              <w:left w:val="nil"/>
              <w:bottom w:val="single" w:sz="4" w:space="0" w:color="auto"/>
              <w:right w:val="single" w:sz="4" w:space="0" w:color="auto"/>
            </w:tcBorders>
            <w:shd w:val="clear" w:color="auto" w:fill="C6EFCE"/>
            <w:noWrap/>
          </w:tcPr>
          <w:p w14:paraId="45E81D27"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74B3297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Влизане в сила на законодателство за създаване на рамка за подпомагане на заявленията на потенциалните бенефициери за подпомагане по финансирани от ЕС схеми за подпомагане на енергийната ефективност на жилищните сгради </w:t>
            </w:r>
          </w:p>
        </w:tc>
        <w:tc>
          <w:tcPr>
            <w:tcW w:w="1338" w:type="dxa"/>
            <w:tcBorders>
              <w:top w:val="single" w:sz="4" w:space="0" w:color="auto"/>
              <w:left w:val="nil"/>
              <w:bottom w:val="single" w:sz="4" w:space="0" w:color="auto"/>
              <w:right w:val="single" w:sz="4" w:space="0" w:color="auto"/>
            </w:tcBorders>
            <w:shd w:val="clear" w:color="auto" w:fill="C6EFCE"/>
            <w:noWrap/>
          </w:tcPr>
          <w:p w14:paraId="184AEBA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Законови разпоредби, указващи влизането в сила на законодателството </w:t>
            </w:r>
          </w:p>
        </w:tc>
        <w:tc>
          <w:tcPr>
            <w:tcW w:w="1116" w:type="dxa"/>
            <w:tcBorders>
              <w:top w:val="single" w:sz="4" w:space="0" w:color="auto"/>
              <w:left w:val="nil"/>
              <w:bottom w:val="single" w:sz="4" w:space="0" w:color="auto"/>
              <w:right w:val="single" w:sz="4" w:space="0" w:color="auto"/>
            </w:tcBorders>
            <w:shd w:val="clear" w:color="auto" w:fill="C6EFCE"/>
            <w:noWrap/>
          </w:tcPr>
          <w:p w14:paraId="0D3F910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w:t>
            </w:r>
          </w:p>
        </w:tc>
        <w:tc>
          <w:tcPr>
            <w:tcW w:w="877" w:type="dxa"/>
            <w:tcBorders>
              <w:top w:val="single" w:sz="4" w:space="0" w:color="auto"/>
              <w:left w:val="nil"/>
              <w:bottom w:val="single" w:sz="4" w:space="0" w:color="auto"/>
              <w:right w:val="single" w:sz="4" w:space="0" w:color="auto"/>
            </w:tcBorders>
            <w:shd w:val="clear" w:color="auto" w:fill="C6EFCE"/>
            <w:noWrap/>
          </w:tcPr>
          <w:p w14:paraId="5AABA33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w:t>
            </w:r>
          </w:p>
        </w:tc>
        <w:tc>
          <w:tcPr>
            <w:tcW w:w="1559" w:type="dxa"/>
            <w:tcBorders>
              <w:top w:val="single" w:sz="4" w:space="0" w:color="auto"/>
              <w:left w:val="nil"/>
              <w:bottom w:val="single" w:sz="4" w:space="0" w:color="auto"/>
              <w:right w:val="single" w:sz="4" w:space="0" w:color="auto"/>
            </w:tcBorders>
            <w:shd w:val="clear" w:color="auto" w:fill="C6EFCE"/>
            <w:noWrap/>
          </w:tcPr>
          <w:p w14:paraId="05A06CF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w:t>
            </w:r>
          </w:p>
        </w:tc>
        <w:tc>
          <w:tcPr>
            <w:tcW w:w="850" w:type="dxa"/>
            <w:tcBorders>
              <w:top w:val="single" w:sz="4" w:space="0" w:color="auto"/>
              <w:left w:val="nil"/>
              <w:bottom w:val="single" w:sz="4" w:space="0" w:color="auto"/>
              <w:right w:val="single" w:sz="4" w:space="0" w:color="auto"/>
            </w:tcBorders>
            <w:shd w:val="clear" w:color="auto" w:fill="C6EFCE"/>
            <w:noWrap/>
          </w:tcPr>
          <w:p w14:paraId="7681E5B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7057C74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728592A3"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Влизане в сила на законодателство за създаване на рамка за подкрепа на заявленията на потенциални бенефициери по финансирани от ЕС схеми за подпомагане на енергийната ефективност. В законодателството се посочват следните елементи:</w:t>
            </w:r>
          </w:p>
          <w:p w14:paraId="095763F1" w14:textId="77777777" w:rsidR="00CE3BAD" w:rsidRPr="00782BF9" w:rsidRDefault="006B5475">
            <w:pPr>
              <w:pStyle w:val="P68B1DB1-Normal24"/>
              <w:numPr>
                <w:ilvl w:val="0"/>
                <w:numId w:val="69"/>
              </w:numPr>
              <w:spacing w:before="120" w:after="120" w:line="240" w:lineRule="auto"/>
              <w:contextualSpacing/>
              <w:jc w:val="both"/>
              <w:rPr>
                <w:rFonts w:eastAsia="Calibri"/>
                <w:noProof/>
                <w:lang w:val="bg-BG"/>
              </w:rPr>
            </w:pPr>
            <w:r w:rsidRPr="00782BF9">
              <w:rPr>
                <w:noProof/>
                <w:lang w:val="bg-BG"/>
              </w:rPr>
              <w:t>кои организации или субекти отговарят на условията за предоставяне на помощ на потенциални бенефициери на финансирани от ЕС схеми за подпомагане на енергийната ефективност в съответствие с описанието на мярката;</w:t>
            </w:r>
          </w:p>
          <w:p w14:paraId="78A1B73D" w14:textId="77777777" w:rsidR="00CE3BAD" w:rsidRPr="00782BF9" w:rsidRDefault="006B5475">
            <w:pPr>
              <w:pStyle w:val="P68B1DB1-Normal24"/>
              <w:numPr>
                <w:ilvl w:val="0"/>
                <w:numId w:val="69"/>
              </w:numPr>
              <w:spacing w:before="120" w:after="120" w:line="240" w:lineRule="auto"/>
              <w:contextualSpacing/>
              <w:jc w:val="both"/>
              <w:rPr>
                <w:rFonts w:eastAsia="Calibri"/>
                <w:noProof/>
                <w:lang w:val="bg-BG"/>
              </w:rPr>
            </w:pPr>
            <w:r w:rsidRPr="00782BF9">
              <w:rPr>
                <w:noProof/>
                <w:lang w:val="bg-BG"/>
              </w:rPr>
              <w:t>конкретните стъпки, които организациите или субектите трябва да предприемат при изготвянето на заявленията на потенциалните бенефициери, в съответствие с описанието на мярката.</w:t>
            </w:r>
          </w:p>
          <w:p w14:paraId="6EFFA32E"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Домакинствата, които желаят да кандидатстват за финансова подкрепа по финансирани от ЕС схеми за подпомагане на енергийната ефективност на жилищните сгради, имат достъп до помощ от един от участниците, посочени в описанието на мярката, считано от 1 януари 2025 г.</w:t>
            </w:r>
          </w:p>
          <w:p w14:paraId="60241E02"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В законодателството се посочва, че сертификатите за енергийни характеристики (СЕХ) се издават, след като бенефициерите на финансирани от ЕС схеми за подпомагане на енергийната ефективност приключат своите инвестиции, за да се удостовери размерът на постигнатите икономии на енергия.</w:t>
            </w:r>
          </w:p>
          <w:p w14:paraId="64A02E22"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Преди влизането в сила на законодателството определението за енергийна бедност се публикува на интернет страницата на Министерството на енергетиката. </w:t>
            </w:r>
          </w:p>
          <w:p w14:paraId="7016AE68"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Унгария използва това определение, когато определя стратегията за насочване към енергийно бедните домакинства в рамките на съответните енергийни инвестиции, включително инвестиция C10.I13.</w:t>
            </w:r>
          </w:p>
        </w:tc>
      </w:tr>
      <w:tr w:rsidR="00CE3BAD" w:rsidRPr="00782BF9" w14:paraId="1A57B9E9"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42E1D5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302</w:t>
            </w:r>
          </w:p>
        </w:tc>
        <w:tc>
          <w:tcPr>
            <w:tcW w:w="1705" w:type="dxa"/>
            <w:tcBorders>
              <w:top w:val="single" w:sz="4" w:space="0" w:color="auto"/>
              <w:left w:val="nil"/>
              <w:bottom w:val="single" w:sz="4" w:space="0" w:color="auto"/>
              <w:right w:val="single" w:sz="4" w:space="0" w:color="auto"/>
            </w:tcBorders>
            <w:shd w:val="clear" w:color="auto" w:fill="C6EFCE"/>
            <w:noWrap/>
          </w:tcPr>
          <w:p w14:paraId="3828AD4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C10.R13: Национална стратегия за развитие на „зелени“ умения</w:t>
            </w:r>
          </w:p>
        </w:tc>
        <w:tc>
          <w:tcPr>
            <w:tcW w:w="1330" w:type="dxa"/>
            <w:tcBorders>
              <w:top w:val="single" w:sz="4" w:space="0" w:color="auto"/>
              <w:left w:val="nil"/>
              <w:bottom w:val="single" w:sz="4" w:space="0" w:color="auto"/>
              <w:right w:val="single" w:sz="4" w:space="0" w:color="auto"/>
            </w:tcBorders>
            <w:shd w:val="clear" w:color="auto" w:fill="C6EFCE"/>
            <w:noWrap/>
          </w:tcPr>
          <w:p w14:paraId="0B8B9339"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049BA7C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Решение на правителството относно националната стратегия за уменията за екологичния преход и плана за действие за нейното изпълнение</w:t>
            </w:r>
          </w:p>
        </w:tc>
        <w:tc>
          <w:tcPr>
            <w:tcW w:w="1338" w:type="dxa"/>
            <w:tcBorders>
              <w:top w:val="single" w:sz="4" w:space="0" w:color="auto"/>
              <w:left w:val="nil"/>
              <w:bottom w:val="single" w:sz="4" w:space="0" w:color="auto"/>
              <w:right w:val="single" w:sz="4" w:space="0" w:color="auto"/>
            </w:tcBorders>
            <w:shd w:val="clear" w:color="auto" w:fill="C6EFCE"/>
            <w:noWrap/>
          </w:tcPr>
          <w:p w14:paraId="6281693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решението на правителството относно националната стратегия за уменията за екологичния преход</w:t>
            </w:r>
          </w:p>
        </w:tc>
        <w:tc>
          <w:tcPr>
            <w:tcW w:w="1116" w:type="dxa"/>
            <w:tcBorders>
              <w:top w:val="single" w:sz="4" w:space="0" w:color="auto"/>
              <w:left w:val="nil"/>
              <w:bottom w:val="single" w:sz="4" w:space="0" w:color="auto"/>
              <w:right w:val="single" w:sz="4" w:space="0" w:color="auto"/>
            </w:tcBorders>
            <w:shd w:val="clear" w:color="auto" w:fill="C6EFCE"/>
            <w:noWrap/>
          </w:tcPr>
          <w:p w14:paraId="19AE6BF4"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5370249D"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103984FD"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09AF8B3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noWrap/>
          </w:tcPr>
          <w:p w14:paraId="2E7D9F3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2452DF92"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 xml:space="preserve">Влизане в сила на решението на правителството относно националната стратегия за уменията за екологичния преход като част от националния план в областта на енергетиката и климата на Унгария и плана за действие за периода 2025—2027 г. за изпълнението на стратегията. Стратегията предоставя стратегическа рамка за политиката за развитие на „зелени“ умения, като определя цели, мерки и показатели за наблюдение на напредъка в изпълнението на стратегията. По проекта за национална стратегия и план за действие се провежда обществена консултация с участието на всички ключови заинтересовани страни и социални партньори. Решението на правителството се публикува в Официален вестник. </w:t>
            </w:r>
          </w:p>
        </w:tc>
      </w:tr>
      <w:tr w:rsidR="00CE3BAD" w:rsidRPr="00782BF9" w14:paraId="1A6C7FA3"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3283D94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303</w:t>
            </w:r>
          </w:p>
        </w:tc>
        <w:tc>
          <w:tcPr>
            <w:tcW w:w="1705" w:type="dxa"/>
            <w:tcBorders>
              <w:top w:val="single" w:sz="4" w:space="0" w:color="auto"/>
              <w:left w:val="nil"/>
              <w:bottom w:val="single" w:sz="4" w:space="0" w:color="auto"/>
              <w:right w:val="single" w:sz="4" w:space="0" w:color="auto"/>
            </w:tcBorders>
            <w:shd w:val="clear" w:color="auto" w:fill="C6EFCE"/>
            <w:noWrap/>
          </w:tcPr>
          <w:p w14:paraId="0732D35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C10.R13:  Национална стратегия за развитие на „зелени“ умения</w:t>
            </w:r>
          </w:p>
          <w:p w14:paraId="43E21E40" w14:textId="77777777" w:rsidR="00CE3BAD" w:rsidRPr="00782BF9" w:rsidRDefault="00CE3BAD">
            <w:pPr>
              <w:spacing w:before="120" w:after="120" w:line="240" w:lineRule="auto"/>
              <w:jc w:val="center"/>
              <w:rPr>
                <w:rFonts w:eastAsia="Calibri" w:cstheme="minorHAnsi"/>
                <w:noProof/>
                <w:sz w:val="18"/>
                <w:lang w:val="bg-BG"/>
              </w:rPr>
            </w:pPr>
          </w:p>
        </w:tc>
        <w:tc>
          <w:tcPr>
            <w:tcW w:w="1330" w:type="dxa"/>
            <w:tcBorders>
              <w:top w:val="single" w:sz="4" w:space="0" w:color="auto"/>
              <w:left w:val="nil"/>
              <w:bottom w:val="single" w:sz="4" w:space="0" w:color="auto"/>
              <w:right w:val="single" w:sz="4" w:space="0" w:color="auto"/>
            </w:tcBorders>
            <w:shd w:val="clear" w:color="auto" w:fill="C6EFCE"/>
            <w:noWrap/>
          </w:tcPr>
          <w:p w14:paraId="54AF43D5"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62CA204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Доклад за напредъка по изпълнението на националната стратегия за уменията за екологичния преход и свързания с нея план за действие </w:t>
            </w:r>
          </w:p>
        </w:tc>
        <w:tc>
          <w:tcPr>
            <w:tcW w:w="1338" w:type="dxa"/>
            <w:tcBorders>
              <w:top w:val="single" w:sz="4" w:space="0" w:color="auto"/>
              <w:left w:val="nil"/>
              <w:bottom w:val="single" w:sz="4" w:space="0" w:color="auto"/>
              <w:right w:val="single" w:sz="4" w:space="0" w:color="auto"/>
            </w:tcBorders>
            <w:shd w:val="clear" w:color="auto" w:fill="C6EFCE"/>
            <w:noWrap/>
          </w:tcPr>
          <w:p w14:paraId="7F449B0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доклада на уебсайта на Министерството, отговарящо за екологичните умения</w:t>
            </w:r>
          </w:p>
        </w:tc>
        <w:tc>
          <w:tcPr>
            <w:tcW w:w="1116" w:type="dxa"/>
            <w:tcBorders>
              <w:top w:val="single" w:sz="4" w:space="0" w:color="auto"/>
              <w:left w:val="nil"/>
              <w:bottom w:val="single" w:sz="4" w:space="0" w:color="auto"/>
              <w:right w:val="single" w:sz="4" w:space="0" w:color="auto"/>
            </w:tcBorders>
            <w:shd w:val="clear" w:color="auto" w:fill="C6EFCE"/>
            <w:noWrap/>
          </w:tcPr>
          <w:p w14:paraId="05FC62F1"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3E6C73B8"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61A02E36"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5919BBB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4B42224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43291737"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 xml:space="preserve">Публикува се доклад за напредъка по изпълнението на националната стратегия за уменията за екологичния преход и свързания с нея план за действие. В доклада се оценява напредъкът към постигане на целите на политиката и показателите, определени в стратегията. </w:t>
            </w:r>
          </w:p>
        </w:tc>
      </w:tr>
      <w:tr w:rsidR="00CE3BAD" w:rsidRPr="00782BF9" w14:paraId="46326ACB"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F693DD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304</w:t>
            </w:r>
          </w:p>
        </w:tc>
        <w:tc>
          <w:tcPr>
            <w:tcW w:w="1705" w:type="dxa"/>
            <w:tcBorders>
              <w:top w:val="single" w:sz="4" w:space="0" w:color="auto"/>
              <w:left w:val="nil"/>
              <w:bottom w:val="single" w:sz="4" w:space="0" w:color="auto"/>
              <w:right w:val="single" w:sz="4" w:space="0" w:color="auto"/>
            </w:tcBorders>
            <w:shd w:val="clear" w:color="auto" w:fill="C6EFCE"/>
            <w:noWrap/>
          </w:tcPr>
          <w:p w14:paraId="13767910"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К10.И1: </w:t>
            </w:r>
          </w:p>
          <w:p w14:paraId="430F1C60"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Развитие и цифровизация на електроенергийната мрежа</w:t>
            </w:r>
          </w:p>
          <w:p w14:paraId="35C0663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В.10.I1a: Развитие на цифровите технологии на равнището на системния оператор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311F2A6C"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13AB392B"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Отправяне на покана за представяне на предложения относно развитието на цифровите технологии, свързани с мрежовата инфраструктура и експлоатацията на електроенергийната мрежа на равнището на системния оператор</w:t>
            </w:r>
          </w:p>
        </w:tc>
        <w:tc>
          <w:tcPr>
            <w:tcW w:w="1338" w:type="dxa"/>
            <w:tcBorders>
              <w:top w:val="single" w:sz="4" w:space="0" w:color="auto"/>
              <w:left w:val="nil"/>
              <w:bottom w:val="single" w:sz="4" w:space="0" w:color="auto"/>
              <w:right w:val="single" w:sz="4" w:space="0" w:color="auto"/>
            </w:tcBorders>
            <w:shd w:val="clear" w:color="auto" w:fill="C6EFCE"/>
            <w:noWrap/>
          </w:tcPr>
          <w:p w14:paraId="2ABCE87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поканата за представяне на предложения на официалния уебсайт на правителството за покани за представяне на предложения</w:t>
            </w:r>
          </w:p>
        </w:tc>
        <w:tc>
          <w:tcPr>
            <w:tcW w:w="1116" w:type="dxa"/>
            <w:tcBorders>
              <w:top w:val="single" w:sz="4" w:space="0" w:color="auto"/>
              <w:left w:val="nil"/>
              <w:bottom w:val="single" w:sz="4" w:space="0" w:color="auto"/>
              <w:right w:val="single" w:sz="4" w:space="0" w:color="auto"/>
            </w:tcBorders>
            <w:shd w:val="clear" w:color="auto" w:fill="C6EFCE"/>
            <w:noWrap/>
          </w:tcPr>
          <w:p w14:paraId="2C2FA9ED"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3B96AA83"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1E182D06"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2083F2F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010C683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5405C258"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Отправя се покана за представяне на предложения за разработване на цифрови технологии за изграждане и експлоатация на електроенергийната мрежа на равнището на системния оператор. </w:t>
            </w:r>
          </w:p>
          <w:p w14:paraId="7BFD79B1"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В поканата се описват основните елементи и дейности, свързани с разработването, които могат да получат подкрепа с цел разработване на цифрова инфраструктура, като например системата за цифрови услуги за клиентите, основната енергийна ИТ инфраструктура, информационните системи, поддържащи енергийни услуги, и системите за управление от страна на потребителите.</w:t>
            </w:r>
          </w:p>
        </w:tc>
      </w:tr>
      <w:tr w:rsidR="00CE3BAD" w:rsidRPr="00782BF9" w14:paraId="752FE37C"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737D26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305</w:t>
            </w:r>
          </w:p>
        </w:tc>
        <w:tc>
          <w:tcPr>
            <w:tcW w:w="1705" w:type="dxa"/>
            <w:tcBorders>
              <w:top w:val="single" w:sz="4" w:space="0" w:color="auto"/>
              <w:left w:val="nil"/>
              <w:bottom w:val="single" w:sz="4" w:space="0" w:color="auto"/>
              <w:right w:val="single" w:sz="4" w:space="0" w:color="auto"/>
            </w:tcBorders>
            <w:shd w:val="clear" w:color="auto" w:fill="C6EFCE"/>
            <w:noWrap/>
          </w:tcPr>
          <w:p w14:paraId="538E848A"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К10.И1: </w:t>
            </w:r>
          </w:p>
          <w:p w14:paraId="1D7F8FE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Развитие и цифровизация на електроенергийната мрежа</w:t>
            </w:r>
          </w:p>
          <w:p w14:paraId="41C06EB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В.10.I1a: Развитие на цифровите технологии на равнището на системния оператор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0E64BF4C"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p w14:paraId="4A0B8566" w14:textId="77777777" w:rsidR="00CE3BAD" w:rsidRPr="00782BF9" w:rsidRDefault="00CE3BAD">
            <w:pPr>
              <w:spacing w:before="120" w:after="120" w:line="240" w:lineRule="auto"/>
              <w:rPr>
                <w:rFonts w:eastAsia="Calibri" w:cstheme="minorHAnsi"/>
                <w:noProof/>
                <w:sz w:val="18"/>
                <w:lang w:val="bg-BG"/>
              </w:rPr>
            </w:pPr>
          </w:p>
        </w:tc>
        <w:tc>
          <w:tcPr>
            <w:tcW w:w="1458" w:type="dxa"/>
            <w:tcBorders>
              <w:top w:val="single" w:sz="4" w:space="0" w:color="auto"/>
              <w:left w:val="nil"/>
              <w:bottom w:val="single" w:sz="4" w:space="0" w:color="auto"/>
              <w:right w:val="single" w:sz="4" w:space="0" w:color="auto"/>
            </w:tcBorders>
            <w:shd w:val="clear" w:color="auto" w:fill="C6EFCE"/>
            <w:noWrap/>
          </w:tcPr>
          <w:p w14:paraId="37097C2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всички споразумения за отпускане на безвъзмездни средства за развитие на цифровите технологии, свързани с мрежовата инфраструктура и експлоатацията на електроенергийната мрежа на равнището на системния оператор</w:t>
            </w:r>
          </w:p>
        </w:tc>
        <w:tc>
          <w:tcPr>
            <w:tcW w:w="1338" w:type="dxa"/>
            <w:tcBorders>
              <w:top w:val="single" w:sz="4" w:space="0" w:color="auto"/>
              <w:left w:val="nil"/>
              <w:bottom w:val="single" w:sz="4" w:space="0" w:color="auto"/>
              <w:right w:val="single" w:sz="4" w:space="0" w:color="auto"/>
            </w:tcBorders>
            <w:shd w:val="clear" w:color="auto" w:fill="C6EFCE"/>
            <w:noWrap/>
          </w:tcPr>
          <w:p w14:paraId="01EC1BA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споразуменията за отпускане на безвъзмездни средства</w:t>
            </w:r>
          </w:p>
        </w:tc>
        <w:tc>
          <w:tcPr>
            <w:tcW w:w="1116" w:type="dxa"/>
            <w:tcBorders>
              <w:top w:val="single" w:sz="4" w:space="0" w:color="auto"/>
              <w:left w:val="nil"/>
              <w:bottom w:val="single" w:sz="4" w:space="0" w:color="auto"/>
              <w:right w:val="single" w:sz="4" w:space="0" w:color="auto"/>
            </w:tcBorders>
            <w:shd w:val="clear" w:color="auto" w:fill="C6EFCE"/>
            <w:noWrap/>
          </w:tcPr>
          <w:p w14:paraId="59ED1CA5"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7870DD60"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1CE9B140"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4C41A40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noWrap/>
          </w:tcPr>
          <w:p w14:paraId="0D3DF70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1D3AD5FC" w14:textId="19EA588A" w:rsidR="00CE3BAD" w:rsidRPr="00782BF9" w:rsidRDefault="006B5475">
            <w:pPr>
              <w:pStyle w:val="P68B1DB1-Normal24"/>
              <w:spacing w:before="120" w:after="120" w:line="240" w:lineRule="auto"/>
              <w:jc w:val="both"/>
              <w:rPr>
                <w:rFonts w:eastAsia="MS Mincho"/>
                <w:noProof/>
                <w:lang w:val="bg-BG"/>
              </w:rPr>
            </w:pPr>
            <w:r w:rsidRPr="00782BF9">
              <w:rPr>
                <w:noProof/>
                <w:lang w:val="bg-BG"/>
              </w:rPr>
              <w:t>Споразуменията за отпускане на безвъзмездни средства се подписват със системните оператори, включително техните ИТ дружества, и влизат в сила за всички проекти, избрани в рамките на поканата за представяне на предложения, посочена в етап 304.</w:t>
            </w:r>
          </w:p>
        </w:tc>
      </w:tr>
      <w:tr w:rsidR="00CE3BAD" w:rsidRPr="00782BF9" w14:paraId="3D03F8DC"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936FC1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306</w:t>
            </w:r>
          </w:p>
        </w:tc>
        <w:tc>
          <w:tcPr>
            <w:tcW w:w="1705" w:type="dxa"/>
            <w:tcBorders>
              <w:top w:val="single" w:sz="4" w:space="0" w:color="auto"/>
              <w:left w:val="nil"/>
              <w:bottom w:val="single" w:sz="4" w:space="0" w:color="auto"/>
              <w:right w:val="single" w:sz="4" w:space="0" w:color="auto"/>
            </w:tcBorders>
            <w:shd w:val="clear" w:color="auto" w:fill="C6EFCE"/>
            <w:noWrap/>
          </w:tcPr>
          <w:p w14:paraId="5D70E0E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К10.И1: </w:t>
            </w:r>
          </w:p>
          <w:p w14:paraId="4E71F29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Развитие и цифровизация на електроенергийната мрежа</w:t>
            </w:r>
          </w:p>
          <w:p w14:paraId="047536F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В.10.I1a: Развитие на цифровите технологии на равнището на системния оператор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1FC9A773"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1629AFD6"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Цифрови разработки, свързани с мрежовата инфраструктура и експлоатацията на електроенергийната мрежа на равнището на системния оператор</w:t>
            </w:r>
          </w:p>
        </w:tc>
        <w:tc>
          <w:tcPr>
            <w:tcW w:w="1338" w:type="dxa"/>
            <w:tcBorders>
              <w:top w:val="single" w:sz="4" w:space="0" w:color="auto"/>
              <w:left w:val="nil"/>
              <w:bottom w:val="single" w:sz="4" w:space="0" w:color="auto"/>
              <w:right w:val="single" w:sz="4" w:space="0" w:color="auto"/>
            </w:tcBorders>
            <w:shd w:val="clear" w:color="auto" w:fill="C6EFCE"/>
            <w:noWrap/>
          </w:tcPr>
          <w:p w14:paraId="584B5C0A"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5E16C76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2AED414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6AEDAF0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w:t>
            </w:r>
          </w:p>
        </w:tc>
        <w:tc>
          <w:tcPr>
            <w:tcW w:w="850" w:type="dxa"/>
            <w:tcBorders>
              <w:top w:val="single" w:sz="4" w:space="0" w:color="auto"/>
              <w:left w:val="nil"/>
              <w:bottom w:val="single" w:sz="4" w:space="0" w:color="auto"/>
              <w:right w:val="single" w:sz="4" w:space="0" w:color="auto"/>
            </w:tcBorders>
            <w:shd w:val="clear" w:color="auto" w:fill="C6EFCE"/>
            <w:noWrap/>
          </w:tcPr>
          <w:p w14:paraId="3B60C43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noWrap/>
          </w:tcPr>
          <w:p w14:paraId="0A55153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4111" w:type="dxa"/>
            <w:tcBorders>
              <w:top w:val="single" w:sz="4" w:space="0" w:color="auto"/>
              <w:left w:val="nil"/>
              <w:bottom w:val="single" w:sz="4" w:space="0" w:color="auto"/>
              <w:right w:val="single" w:sz="4" w:space="0" w:color="auto"/>
            </w:tcBorders>
            <w:shd w:val="clear" w:color="auto" w:fill="C6EFCE"/>
            <w:noWrap/>
          </w:tcPr>
          <w:p w14:paraId="7D1C2D54"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 xml:space="preserve"> Брой на разработките в областта на цифровите технологии, извършени от системните оператори и/или техните ИТ дружества. Цифровото развитие включва разработването и инсталирането на цифрова инфраструктура, като например: цифрова система за обслужване на клиенти, основна енергийна ИТ инфраструктура, информационни системи, поддържащи енергийни услуги, и системи за управление от страна на потребителите.</w:t>
            </w:r>
          </w:p>
        </w:tc>
      </w:tr>
      <w:tr w:rsidR="00CE3BAD" w:rsidRPr="00782BF9" w14:paraId="2596E8CE"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5C6EE7D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307</w:t>
            </w:r>
          </w:p>
        </w:tc>
        <w:tc>
          <w:tcPr>
            <w:tcW w:w="1705" w:type="dxa"/>
            <w:tcBorders>
              <w:top w:val="single" w:sz="4" w:space="0" w:color="auto"/>
              <w:left w:val="nil"/>
              <w:bottom w:val="single" w:sz="4" w:space="0" w:color="auto"/>
              <w:right w:val="single" w:sz="4" w:space="0" w:color="auto"/>
            </w:tcBorders>
            <w:shd w:val="clear" w:color="auto" w:fill="C6EFCE"/>
            <w:noWrap/>
          </w:tcPr>
          <w:p w14:paraId="25BFF2E0"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К10.И1: </w:t>
            </w:r>
          </w:p>
          <w:p w14:paraId="4FD54CD2"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Развитие и цифровизация на електроенергийната мрежа</w:t>
            </w:r>
          </w:p>
          <w:p w14:paraId="44F0FF2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В.10.I1a: Развитие на цифровите технологии на равнището на системния оператор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6C78BC4D"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p w14:paraId="6EDCC6F6" w14:textId="77777777" w:rsidR="00CE3BAD" w:rsidRPr="00782BF9" w:rsidRDefault="00CE3BAD">
            <w:pPr>
              <w:spacing w:before="120" w:after="120" w:line="240" w:lineRule="auto"/>
              <w:rPr>
                <w:rFonts w:eastAsia="Calibri" w:cstheme="minorHAnsi"/>
                <w:noProof/>
                <w:sz w:val="18"/>
                <w:lang w:val="bg-BG"/>
              </w:rPr>
            </w:pPr>
          </w:p>
        </w:tc>
        <w:tc>
          <w:tcPr>
            <w:tcW w:w="1458" w:type="dxa"/>
            <w:tcBorders>
              <w:top w:val="single" w:sz="4" w:space="0" w:color="auto"/>
              <w:left w:val="nil"/>
              <w:bottom w:val="single" w:sz="4" w:space="0" w:color="auto"/>
              <w:right w:val="single" w:sz="4" w:space="0" w:color="auto"/>
            </w:tcBorders>
            <w:shd w:val="clear" w:color="auto" w:fill="C6EFCE"/>
            <w:noWrap/>
          </w:tcPr>
          <w:p w14:paraId="26C9C846"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Цифрови разработки, свързани с мрежовата инфраструктура и експлоатацията на електроенергийната мрежа на равнището на системния оператор</w:t>
            </w:r>
          </w:p>
        </w:tc>
        <w:tc>
          <w:tcPr>
            <w:tcW w:w="1338" w:type="dxa"/>
            <w:tcBorders>
              <w:top w:val="single" w:sz="4" w:space="0" w:color="auto"/>
              <w:left w:val="nil"/>
              <w:bottom w:val="single" w:sz="4" w:space="0" w:color="auto"/>
              <w:right w:val="single" w:sz="4" w:space="0" w:color="auto"/>
            </w:tcBorders>
            <w:shd w:val="clear" w:color="auto" w:fill="C6EFCE"/>
            <w:noWrap/>
          </w:tcPr>
          <w:p w14:paraId="2614F77A"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0D66D93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3DA6E66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w:t>
            </w:r>
          </w:p>
        </w:tc>
        <w:tc>
          <w:tcPr>
            <w:tcW w:w="1559" w:type="dxa"/>
            <w:tcBorders>
              <w:top w:val="single" w:sz="4" w:space="0" w:color="auto"/>
              <w:left w:val="nil"/>
              <w:bottom w:val="single" w:sz="4" w:space="0" w:color="auto"/>
              <w:right w:val="single" w:sz="4" w:space="0" w:color="auto"/>
            </w:tcBorders>
            <w:shd w:val="clear" w:color="auto" w:fill="C6EFCE"/>
            <w:noWrap/>
          </w:tcPr>
          <w:p w14:paraId="46E28AD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6</w:t>
            </w:r>
          </w:p>
        </w:tc>
        <w:tc>
          <w:tcPr>
            <w:tcW w:w="850" w:type="dxa"/>
            <w:tcBorders>
              <w:top w:val="single" w:sz="4" w:space="0" w:color="auto"/>
              <w:left w:val="nil"/>
              <w:bottom w:val="single" w:sz="4" w:space="0" w:color="auto"/>
              <w:right w:val="single" w:sz="4" w:space="0" w:color="auto"/>
            </w:tcBorders>
            <w:shd w:val="clear" w:color="auto" w:fill="C6EFCE"/>
            <w:noWrap/>
          </w:tcPr>
          <w:p w14:paraId="7BF5FAA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269DC59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0DB2F613"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 xml:space="preserve">Брой на разработките в областта на цифровите технологии, извършени от системните оператори и/или техните ИТ дружества. Цифровото развитие включва разработването и инсталирането на цифрова инфраструктура, като например: цифрова система за обслужване на клиенти, основна енергийна ИТ инфраструктура, информационни системи, поддържащи енергийни услуги, и системи за управление от страна на потребителите. </w:t>
            </w:r>
          </w:p>
        </w:tc>
      </w:tr>
      <w:tr w:rsidR="00CE3BAD" w:rsidRPr="00782BF9" w14:paraId="52F52CC8"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96DFFA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308</w:t>
            </w:r>
          </w:p>
        </w:tc>
        <w:tc>
          <w:tcPr>
            <w:tcW w:w="1705" w:type="dxa"/>
            <w:tcBorders>
              <w:top w:val="single" w:sz="4" w:space="0" w:color="auto"/>
              <w:left w:val="nil"/>
              <w:bottom w:val="single" w:sz="4" w:space="0" w:color="auto"/>
              <w:right w:val="single" w:sz="4" w:space="0" w:color="auto"/>
            </w:tcBorders>
            <w:shd w:val="clear" w:color="auto" w:fill="C6EFCE"/>
            <w:noWrap/>
          </w:tcPr>
          <w:p w14:paraId="7BF48054"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6DEC033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C10.I1b: Подобряване на точността на прогнозата за времето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12450438"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7CBF8FB6"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Отправяне на покана за приоритетен (и) проект (и) за инсталиране на метеорологични станции с цел подобряване на точността на метеорологичните прогнози</w:t>
            </w:r>
          </w:p>
        </w:tc>
        <w:tc>
          <w:tcPr>
            <w:tcW w:w="1338" w:type="dxa"/>
            <w:tcBorders>
              <w:top w:val="single" w:sz="4" w:space="0" w:color="auto"/>
              <w:left w:val="nil"/>
              <w:bottom w:val="single" w:sz="4" w:space="0" w:color="auto"/>
              <w:right w:val="single" w:sz="4" w:space="0" w:color="auto"/>
            </w:tcBorders>
            <w:shd w:val="clear" w:color="auto" w:fill="C6EFCE"/>
            <w:noWrap/>
          </w:tcPr>
          <w:p w14:paraId="5BF9423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Публикуване на поканата за приоритетен (и) проект (и) на официалния уебсайт на правителството за покани за представяне на предложения</w:t>
            </w:r>
          </w:p>
          <w:p w14:paraId="046EE13A"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2CC310FD" w14:textId="77777777" w:rsidR="00CE3BAD" w:rsidRPr="00782BF9" w:rsidRDefault="00CE3BAD">
            <w:pPr>
              <w:spacing w:before="120" w:after="120" w:line="240" w:lineRule="auto"/>
              <w:jc w:val="center"/>
              <w:rPr>
                <w:rFonts w:eastAsia="Times New Roman"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526F861D"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1B78D5F6"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05B5068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0CC8197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7385114A"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Стартира се покана за приоритетен (и) проект (и) за проектиране, закупуване и инсталиране на подобрен инструмент за метеорологично прогнозиране. В поканата за представяне на предложения се изисква инструментът за метеорологично прогнозиране да се използва за подобряване на точността на оценките за производството на енергия от възобновяеми източници, зависима от метеорологичните условия (като слънчева и вятърна енергия). В поканата се описват основните изисквания за метеорологичните станции, които ще бъдат инсталирани. Тя изисква също така данните и прогнозите, генерирани от метеорологичните станции, да бъдат публично достъпни.</w:t>
            </w:r>
          </w:p>
        </w:tc>
      </w:tr>
      <w:tr w:rsidR="00CE3BAD" w:rsidRPr="00782BF9" w14:paraId="290B6A97"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2C3D9E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309</w:t>
            </w:r>
          </w:p>
        </w:tc>
        <w:tc>
          <w:tcPr>
            <w:tcW w:w="1705" w:type="dxa"/>
            <w:tcBorders>
              <w:top w:val="single" w:sz="4" w:space="0" w:color="auto"/>
              <w:left w:val="nil"/>
              <w:bottom w:val="single" w:sz="4" w:space="0" w:color="auto"/>
              <w:right w:val="single" w:sz="4" w:space="0" w:color="auto"/>
            </w:tcBorders>
            <w:shd w:val="clear" w:color="auto" w:fill="C6EFCE"/>
            <w:noWrap/>
          </w:tcPr>
          <w:p w14:paraId="4E8A9C2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369550F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C10.I1b: Подобряване на точността на прогнозата за времето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19501AE7"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3124DD7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всички споразумения за отпускане на безвъзмездни средства за подпомагане на инсталирането на метеорологични станции за подобряване на точността на метеорологичните прогнози</w:t>
            </w:r>
          </w:p>
        </w:tc>
        <w:tc>
          <w:tcPr>
            <w:tcW w:w="1338" w:type="dxa"/>
            <w:tcBorders>
              <w:top w:val="single" w:sz="4" w:space="0" w:color="auto"/>
              <w:left w:val="nil"/>
              <w:bottom w:val="single" w:sz="4" w:space="0" w:color="auto"/>
              <w:right w:val="single" w:sz="4" w:space="0" w:color="auto"/>
            </w:tcBorders>
            <w:shd w:val="clear" w:color="auto" w:fill="C6EFCE"/>
            <w:noWrap/>
          </w:tcPr>
          <w:p w14:paraId="6E511E5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споразуменията за отпускане на безвъзмездни средства</w:t>
            </w:r>
          </w:p>
        </w:tc>
        <w:tc>
          <w:tcPr>
            <w:tcW w:w="1116" w:type="dxa"/>
            <w:tcBorders>
              <w:top w:val="single" w:sz="4" w:space="0" w:color="auto"/>
              <w:left w:val="nil"/>
              <w:bottom w:val="single" w:sz="4" w:space="0" w:color="auto"/>
              <w:right w:val="single" w:sz="4" w:space="0" w:color="auto"/>
            </w:tcBorders>
            <w:shd w:val="clear" w:color="auto" w:fill="C6EFCE"/>
            <w:noWrap/>
          </w:tcPr>
          <w:p w14:paraId="39067A20" w14:textId="77777777" w:rsidR="00CE3BAD" w:rsidRPr="00782BF9" w:rsidRDefault="00CE3BAD">
            <w:pPr>
              <w:spacing w:before="120" w:after="120" w:line="240" w:lineRule="auto"/>
              <w:jc w:val="center"/>
              <w:rPr>
                <w:rFonts w:eastAsia="Times New Roman"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4887FB36"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23BD1B70"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28D262D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noWrap/>
          </w:tcPr>
          <w:p w14:paraId="2A26B31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29B0484D" w14:textId="05573EF8" w:rsidR="00CE3BAD" w:rsidRPr="00782BF9" w:rsidRDefault="006B5475">
            <w:pPr>
              <w:pStyle w:val="P68B1DB1-Normal24"/>
              <w:spacing w:before="120" w:after="120" w:line="240" w:lineRule="auto"/>
              <w:jc w:val="both"/>
              <w:rPr>
                <w:rFonts w:eastAsia="Calibri"/>
                <w:noProof/>
                <w:lang w:val="bg-BG"/>
              </w:rPr>
            </w:pPr>
            <w:r w:rsidRPr="00782BF9">
              <w:rPr>
                <w:noProof/>
                <w:lang w:val="bg-BG"/>
              </w:rPr>
              <w:t>Споразуменията за отпускане на безвъзмездни средства се подписват и влизат в сила за всички проекти, избрани в рамките на поканата за представяне на предложения, посочена в етап 308.</w:t>
            </w:r>
          </w:p>
          <w:p w14:paraId="6AD2837E" w14:textId="77777777" w:rsidR="00CE3BAD" w:rsidRPr="00782BF9" w:rsidRDefault="00CE3BAD">
            <w:pPr>
              <w:spacing w:before="120" w:after="120" w:line="240" w:lineRule="auto"/>
              <w:jc w:val="both"/>
              <w:rPr>
                <w:rFonts w:eastAsia="Times New Roman" w:cstheme="minorHAnsi"/>
                <w:noProof/>
                <w:sz w:val="18"/>
                <w:lang w:val="bg-BG"/>
              </w:rPr>
            </w:pPr>
          </w:p>
        </w:tc>
      </w:tr>
      <w:tr w:rsidR="00CE3BAD" w:rsidRPr="00782BF9" w14:paraId="3DB0D151"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3604F96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310</w:t>
            </w:r>
          </w:p>
        </w:tc>
        <w:tc>
          <w:tcPr>
            <w:tcW w:w="1705" w:type="dxa"/>
            <w:tcBorders>
              <w:top w:val="single" w:sz="4" w:space="0" w:color="auto"/>
              <w:left w:val="nil"/>
              <w:bottom w:val="single" w:sz="4" w:space="0" w:color="auto"/>
              <w:right w:val="single" w:sz="4" w:space="0" w:color="auto"/>
            </w:tcBorders>
            <w:shd w:val="clear" w:color="auto" w:fill="C6EFCE"/>
            <w:noWrap/>
          </w:tcPr>
          <w:p w14:paraId="77E09006"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7D022B70"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C10.I1b: Подобряване на точността на прогнозата за времето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5749723B"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37B015BB"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Метеорологични станции в експлоатация  </w:t>
            </w:r>
          </w:p>
        </w:tc>
        <w:tc>
          <w:tcPr>
            <w:tcW w:w="1338" w:type="dxa"/>
            <w:tcBorders>
              <w:top w:val="single" w:sz="4" w:space="0" w:color="auto"/>
              <w:left w:val="nil"/>
              <w:bottom w:val="single" w:sz="4" w:space="0" w:color="auto"/>
              <w:right w:val="single" w:sz="4" w:space="0" w:color="auto"/>
            </w:tcBorders>
            <w:shd w:val="clear" w:color="auto" w:fill="C6EFCE"/>
            <w:noWrap/>
          </w:tcPr>
          <w:p w14:paraId="793E67AB"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6A1C08E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508F450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23585B6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w:t>
            </w:r>
          </w:p>
        </w:tc>
        <w:tc>
          <w:tcPr>
            <w:tcW w:w="850" w:type="dxa"/>
            <w:tcBorders>
              <w:top w:val="single" w:sz="4" w:space="0" w:color="auto"/>
              <w:left w:val="nil"/>
              <w:bottom w:val="single" w:sz="4" w:space="0" w:color="auto"/>
              <w:right w:val="single" w:sz="4" w:space="0" w:color="auto"/>
            </w:tcBorders>
            <w:shd w:val="clear" w:color="auto" w:fill="C6EFCE"/>
            <w:noWrap/>
          </w:tcPr>
          <w:p w14:paraId="0FB7AFA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noWrap/>
          </w:tcPr>
          <w:p w14:paraId="14D956D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4111" w:type="dxa"/>
            <w:tcBorders>
              <w:top w:val="single" w:sz="4" w:space="0" w:color="auto"/>
              <w:left w:val="nil"/>
              <w:bottom w:val="single" w:sz="4" w:space="0" w:color="auto"/>
              <w:right w:val="single" w:sz="4" w:space="0" w:color="auto"/>
            </w:tcBorders>
            <w:shd w:val="clear" w:color="auto" w:fill="C6EFCE"/>
            <w:noWrap/>
          </w:tcPr>
          <w:p w14:paraId="70E5DF34"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Въведени в експлоатация метеорологични станции за подобряване на точността на метеорологичните прогнози. Данните и прогнозите, генерирани от метеорологичните станции, се използват за оценка на зависещото от метеорологичните условия производство на енергия от възобновяеми източници (слънчева и вятърна).</w:t>
            </w:r>
          </w:p>
        </w:tc>
      </w:tr>
      <w:tr w:rsidR="00CE3BAD" w:rsidRPr="00782BF9" w14:paraId="25D28EC1"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35ADAF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311</w:t>
            </w:r>
          </w:p>
        </w:tc>
        <w:tc>
          <w:tcPr>
            <w:tcW w:w="1705" w:type="dxa"/>
            <w:tcBorders>
              <w:top w:val="single" w:sz="4" w:space="0" w:color="auto"/>
              <w:left w:val="nil"/>
              <w:bottom w:val="single" w:sz="4" w:space="0" w:color="auto"/>
              <w:right w:val="single" w:sz="4" w:space="0" w:color="auto"/>
            </w:tcBorders>
            <w:shd w:val="clear" w:color="auto" w:fill="C6EFCE"/>
            <w:noWrap/>
          </w:tcPr>
          <w:p w14:paraId="0F8F9EC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13CA4E92"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C10.I1b: Подобряване на точността на прогнозата за времето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53350590"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34234CF0"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Метеорологични станции в експлоатация  </w:t>
            </w:r>
          </w:p>
        </w:tc>
        <w:tc>
          <w:tcPr>
            <w:tcW w:w="1338" w:type="dxa"/>
            <w:tcBorders>
              <w:top w:val="single" w:sz="4" w:space="0" w:color="auto"/>
              <w:left w:val="nil"/>
              <w:bottom w:val="single" w:sz="4" w:space="0" w:color="auto"/>
              <w:right w:val="single" w:sz="4" w:space="0" w:color="auto"/>
            </w:tcBorders>
            <w:shd w:val="clear" w:color="auto" w:fill="C6EFCE"/>
            <w:noWrap/>
          </w:tcPr>
          <w:p w14:paraId="494B750B"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6ED60960"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243294A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w:t>
            </w:r>
          </w:p>
        </w:tc>
        <w:tc>
          <w:tcPr>
            <w:tcW w:w="1559" w:type="dxa"/>
            <w:tcBorders>
              <w:top w:val="single" w:sz="4" w:space="0" w:color="auto"/>
              <w:left w:val="nil"/>
              <w:bottom w:val="single" w:sz="4" w:space="0" w:color="auto"/>
              <w:right w:val="single" w:sz="4" w:space="0" w:color="auto"/>
            </w:tcBorders>
            <w:shd w:val="clear" w:color="auto" w:fill="C6EFCE"/>
            <w:noWrap/>
          </w:tcPr>
          <w:p w14:paraId="437E5A6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13</w:t>
            </w:r>
          </w:p>
        </w:tc>
        <w:tc>
          <w:tcPr>
            <w:tcW w:w="850" w:type="dxa"/>
            <w:tcBorders>
              <w:top w:val="single" w:sz="4" w:space="0" w:color="auto"/>
              <w:left w:val="nil"/>
              <w:bottom w:val="single" w:sz="4" w:space="0" w:color="auto"/>
              <w:right w:val="single" w:sz="4" w:space="0" w:color="auto"/>
            </w:tcBorders>
            <w:shd w:val="clear" w:color="auto" w:fill="C6EFCE"/>
            <w:noWrap/>
          </w:tcPr>
          <w:p w14:paraId="616026E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40C0FF7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4715AE75"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Въведени в експлоатация метеорологични станции за подобряване на точността на метеорологичните прогнози. Данните и прогнозите, генерирани от метеорологичните станции, се използват за оценка на зависещото от метеорологичните условия производство на енергия от възобновяеми източници (слънчева и вятърна).</w:t>
            </w:r>
          </w:p>
        </w:tc>
      </w:tr>
      <w:tr w:rsidR="00CE3BAD" w:rsidRPr="00782BF9" w14:paraId="55AB280E"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9BB4A3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312</w:t>
            </w:r>
          </w:p>
        </w:tc>
        <w:tc>
          <w:tcPr>
            <w:tcW w:w="1705" w:type="dxa"/>
            <w:tcBorders>
              <w:top w:val="single" w:sz="4" w:space="0" w:color="auto"/>
              <w:left w:val="nil"/>
              <w:bottom w:val="single" w:sz="4" w:space="0" w:color="auto"/>
              <w:right w:val="single" w:sz="4" w:space="0" w:color="auto"/>
            </w:tcBorders>
            <w:shd w:val="clear" w:color="auto" w:fill="C6EFCE"/>
            <w:noWrap/>
          </w:tcPr>
          <w:p w14:paraId="411A2FF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К10.И1: Развитие и цифровизация на електроенергийната мрежа</w:t>
            </w:r>
          </w:p>
          <w:p w14:paraId="24AEDB5E" w14:textId="77777777" w:rsidR="00CE3BAD" w:rsidRPr="00782BF9" w:rsidRDefault="006B5475">
            <w:pPr>
              <w:pStyle w:val="P68B1DB1-Normal24"/>
              <w:spacing w:before="120" w:after="120" w:line="240" w:lineRule="auto"/>
              <w:jc w:val="center"/>
              <w:rPr>
                <w:rFonts w:eastAsia="MS Mincho"/>
                <w:noProof/>
                <w:lang w:val="bg-BG"/>
              </w:rPr>
            </w:pPr>
            <w:r w:rsidRPr="00782BF9">
              <w:rPr>
                <w:noProof/>
                <w:lang w:val="bg-BG"/>
              </w:rPr>
              <w:t xml:space="preserve">C10.I1c:  </w:t>
            </w:r>
            <w:r w:rsidRPr="00782BF9">
              <w:rPr>
                <w:noProof/>
                <w:lang w:val="bg-BG"/>
              </w:rPr>
              <w:br/>
              <w:t>Разширена мярка: Развитие на класическа и интелигентна мрежа за оператора на преносна система и оператора на разпределителна система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6322674F"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39E22A7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всички споразумения за отпускане на безвъзмездна финансова помощ относно условията за изпълнение и подпомагане на развитието на преносни и разпределителни мрежи</w:t>
            </w:r>
          </w:p>
        </w:tc>
        <w:tc>
          <w:tcPr>
            <w:tcW w:w="1338" w:type="dxa"/>
            <w:tcBorders>
              <w:top w:val="single" w:sz="4" w:space="0" w:color="auto"/>
              <w:left w:val="nil"/>
              <w:bottom w:val="single" w:sz="4" w:space="0" w:color="auto"/>
              <w:right w:val="single" w:sz="4" w:space="0" w:color="auto"/>
            </w:tcBorders>
            <w:shd w:val="clear" w:color="auto" w:fill="C6EFCE"/>
            <w:noWrap/>
          </w:tcPr>
          <w:p w14:paraId="34835512"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споразуменията за отпускане на безвъзмездни средства</w:t>
            </w:r>
          </w:p>
        </w:tc>
        <w:tc>
          <w:tcPr>
            <w:tcW w:w="1116" w:type="dxa"/>
            <w:tcBorders>
              <w:top w:val="single" w:sz="4" w:space="0" w:color="auto"/>
              <w:left w:val="nil"/>
              <w:bottom w:val="single" w:sz="4" w:space="0" w:color="auto"/>
              <w:right w:val="single" w:sz="4" w:space="0" w:color="auto"/>
            </w:tcBorders>
            <w:shd w:val="clear" w:color="auto" w:fill="C6EFCE"/>
            <w:noWrap/>
          </w:tcPr>
          <w:p w14:paraId="2D635E78"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582BEDA5"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2848BACB"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0932CE2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noWrap/>
          </w:tcPr>
          <w:p w14:paraId="7D1B377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182B716D"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Влизане в сила на всички споразумения за предоставяне на безвъзмездна финансова помощ относно условията за изпълнение и подпомагане на инвестицията между организациите, участващи в инвестицията (оторизирания оператор на преносна система и операторите на разпределителни системи) и управляващия орган. Тези споразумения за отпускане на безвъзмездни средства водят до създаване на възможност за интегриране на добавен капацитет от 426 MW електроенергия, произведена от възобновяеми източници, в електроенергийната мрежа чрез тази инвестиция, която е в допълнение към инвестициите, финансирани от безвъзмездната подкрепа по C10.I1c (безвъзмездни средства) в раздел J.1. и като част от инвестицията C6.I1. В споразуменията за отпускане на безвъзмездни средства се описват планираните инвестиции, които включват свързаните с развитието елементи, като изграждане и модернизиране на мрежата с високо/средно/ниско напрежение; нови инсталации на подстанции; подмяна и разширяване на трансформатора на подстанцията; конструкции и подмяна на органи за управление; и развитието на цифровизацията.</w:t>
            </w:r>
          </w:p>
        </w:tc>
      </w:tr>
      <w:tr w:rsidR="00CE3BAD" w:rsidRPr="00782BF9" w14:paraId="164944B5"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22C898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313</w:t>
            </w:r>
          </w:p>
        </w:tc>
        <w:tc>
          <w:tcPr>
            <w:tcW w:w="1705" w:type="dxa"/>
            <w:tcBorders>
              <w:top w:val="single" w:sz="4" w:space="0" w:color="auto"/>
              <w:left w:val="nil"/>
              <w:bottom w:val="single" w:sz="4" w:space="0" w:color="auto"/>
              <w:right w:val="single" w:sz="4" w:space="0" w:color="auto"/>
            </w:tcBorders>
            <w:shd w:val="clear" w:color="auto" w:fill="C6EFCE"/>
            <w:noWrap/>
          </w:tcPr>
          <w:p w14:paraId="21A52E8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318CE1C5" w14:textId="5317B448" w:rsidR="00CE3BAD" w:rsidRPr="00782BF9" w:rsidRDefault="006B5475">
            <w:pPr>
              <w:pStyle w:val="P68B1DB1-Normal24"/>
              <w:spacing w:before="120" w:after="120" w:line="240" w:lineRule="auto"/>
              <w:jc w:val="center"/>
              <w:rPr>
                <w:rFonts w:eastAsia="Calibri"/>
                <w:noProof/>
                <w:lang w:val="bg-BG"/>
              </w:rPr>
            </w:pPr>
            <w:r w:rsidRPr="00782BF9">
              <w:rPr>
                <w:noProof/>
                <w:lang w:val="bg-BG"/>
              </w:rPr>
              <w:t>C10.I1c: Разширена мярка:  Развитие на класическа и интелигентна мрежа за оператора на преносна система и оператора на разпределителна система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04BE1225"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0ACAC52D"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p w14:paraId="1FFAF783" w14:textId="77777777" w:rsidR="00CE3BAD" w:rsidRPr="00782BF9" w:rsidRDefault="00CE3BAD">
            <w:pPr>
              <w:spacing w:before="120" w:after="120" w:line="240" w:lineRule="auto"/>
              <w:jc w:val="center"/>
              <w:rPr>
                <w:rFonts w:eastAsia="Times New Roman" w:cstheme="minorHAnsi"/>
                <w:noProof/>
                <w:sz w:val="18"/>
                <w:lang w:val="bg-BG"/>
              </w:rPr>
            </w:pPr>
          </w:p>
        </w:tc>
        <w:tc>
          <w:tcPr>
            <w:tcW w:w="1338" w:type="dxa"/>
            <w:tcBorders>
              <w:top w:val="single" w:sz="4" w:space="0" w:color="auto"/>
              <w:left w:val="nil"/>
              <w:bottom w:val="single" w:sz="4" w:space="0" w:color="auto"/>
              <w:right w:val="single" w:sz="4" w:space="0" w:color="auto"/>
            </w:tcBorders>
            <w:shd w:val="clear" w:color="auto" w:fill="C6EFCE"/>
            <w:noWrap/>
          </w:tcPr>
          <w:p w14:paraId="79F61DD9" w14:textId="77777777" w:rsidR="00CE3BAD" w:rsidRPr="00782BF9" w:rsidRDefault="00CE3BAD">
            <w:pPr>
              <w:spacing w:before="120" w:after="120" w:line="240" w:lineRule="auto"/>
              <w:jc w:val="center"/>
              <w:rPr>
                <w:rFonts w:eastAsia="Times New Roman"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71E4160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MW</w:t>
            </w:r>
          </w:p>
        </w:tc>
        <w:tc>
          <w:tcPr>
            <w:tcW w:w="877" w:type="dxa"/>
            <w:tcBorders>
              <w:top w:val="single" w:sz="4" w:space="0" w:color="auto"/>
              <w:left w:val="nil"/>
              <w:bottom w:val="single" w:sz="4" w:space="0" w:color="auto"/>
              <w:right w:val="single" w:sz="4" w:space="0" w:color="auto"/>
            </w:tcBorders>
            <w:shd w:val="clear" w:color="auto" w:fill="C6EFCE"/>
            <w:noWrap/>
          </w:tcPr>
          <w:p w14:paraId="562ED34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5D6B390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105</w:t>
            </w:r>
          </w:p>
        </w:tc>
        <w:tc>
          <w:tcPr>
            <w:tcW w:w="850" w:type="dxa"/>
            <w:tcBorders>
              <w:top w:val="single" w:sz="4" w:space="0" w:color="auto"/>
              <w:left w:val="nil"/>
              <w:bottom w:val="single" w:sz="4" w:space="0" w:color="auto"/>
              <w:right w:val="single" w:sz="4" w:space="0" w:color="auto"/>
            </w:tcBorders>
            <w:shd w:val="clear" w:color="auto" w:fill="C6EFCE"/>
            <w:noWrap/>
          </w:tcPr>
          <w:p w14:paraId="7578C31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noWrap/>
          </w:tcPr>
          <w:p w14:paraId="34E271D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4111" w:type="dxa"/>
            <w:tcBorders>
              <w:top w:val="single" w:sz="4" w:space="0" w:color="auto"/>
              <w:left w:val="nil"/>
              <w:bottom w:val="single" w:sz="4" w:space="0" w:color="auto"/>
              <w:right w:val="single" w:sz="4" w:space="0" w:color="auto"/>
            </w:tcBorders>
            <w:shd w:val="clear" w:color="auto" w:fill="C6EFCE"/>
            <w:noWrap/>
          </w:tcPr>
          <w:p w14:paraId="6E358557"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Повишена способност на електроенергийната мрежа да интегрира допълнителна мощност на електроцентралата от 105 MW, използваща възобновяеми енергийни източници, чрез действия в рамките на тази инвестиция, която е в допълнение към финансираните от безвъзмездната подкрепа по C10.I1c (безвъзмездни средства) в раздел J.1. и като част от инвестицията C6.I1. Унгарският регулаторен орган за енергетиката и обществените нужди го проверява и представя доклад за валидиране, като използва методика, в която се разработват необходимите действия по мрежата, финансирани по плана за възстановяване и устойчивост, за да се интегрира енергията, произведена чрез допълнителен капацитет за производство на енергия от възобновяеми източници.</w:t>
            </w:r>
          </w:p>
        </w:tc>
      </w:tr>
      <w:tr w:rsidR="00CE3BAD" w:rsidRPr="00782BF9" w14:paraId="1E9A58C3"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3DD8F0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314</w:t>
            </w:r>
          </w:p>
        </w:tc>
        <w:tc>
          <w:tcPr>
            <w:tcW w:w="1705" w:type="dxa"/>
            <w:tcBorders>
              <w:top w:val="single" w:sz="4" w:space="0" w:color="auto"/>
              <w:left w:val="nil"/>
              <w:bottom w:val="single" w:sz="4" w:space="0" w:color="auto"/>
              <w:right w:val="single" w:sz="4" w:space="0" w:color="auto"/>
            </w:tcBorders>
            <w:shd w:val="clear" w:color="auto" w:fill="C6EFCE"/>
            <w:noWrap/>
          </w:tcPr>
          <w:p w14:paraId="35C4A6A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К10.И1: Развитие и цифровизация на електроенергийната мрежа </w:t>
            </w:r>
          </w:p>
          <w:p w14:paraId="543A4DD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C10.I1c: Разширена мярка: Развитие на класическа и интелигентна мрежа за оператора на преносна система и оператора на разпределителна система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5BC88CD7"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37CFF13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p w14:paraId="3F66A8E5" w14:textId="77777777" w:rsidR="00CE3BAD" w:rsidRPr="00782BF9" w:rsidRDefault="00CE3BAD">
            <w:pPr>
              <w:spacing w:before="120" w:after="120" w:line="240" w:lineRule="auto"/>
              <w:jc w:val="center"/>
              <w:rPr>
                <w:rFonts w:eastAsia="Times New Roman" w:cstheme="minorHAnsi"/>
                <w:noProof/>
                <w:sz w:val="18"/>
                <w:lang w:val="bg-BG"/>
              </w:rPr>
            </w:pPr>
          </w:p>
        </w:tc>
        <w:tc>
          <w:tcPr>
            <w:tcW w:w="1338" w:type="dxa"/>
            <w:tcBorders>
              <w:top w:val="single" w:sz="4" w:space="0" w:color="auto"/>
              <w:left w:val="nil"/>
              <w:bottom w:val="single" w:sz="4" w:space="0" w:color="auto"/>
              <w:right w:val="single" w:sz="4" w:space="0" w:color="auto"/>
            </w:tcBorders>
            <w:shd w:val="clear" w:color="auto" w:fill="C6EFCE"/>
            <w:noWrap/>
          </w:tcPr>
          <w:p w14:paraId="606A3D12" w14:textId="77777777" w:rsidR="00CE3BAD" w:rsidRPr="00782BF9" w:rsidRDefault="00CE3BAD">
            <w:pPr>
              <w:spacing w:before="120" w:after="120" w:line="240" w:lineRule="auto"/>
              <w:jc w:val="center"/>
              <w:rPr>
                <w:rFonts w:eastAsia="Times New Roman"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66B5BA3F"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MW</w:t>
            </w:r>
          </w:p>
        </w:tc>
        <w:tc>
          <w:tcPr>
            <w:tcW w:w="877" w:type="dxa"/>
            <w:tcBorders>
              <w:top w:val="single" w:sz="4" w:space="0" w:color="auto"/>
              <w:left w:val="nil"/>
              <w:bottom w:val="single" w:sz="4" w:space="0" w:color="auto"/>
              <w:right w:val="single" w:sz="4" w:space="0" w:color="auto"/>
            </w:tcBorders>
            <w:shd w:val="clear" w:color="auto" w:fill="C6EFCE"/>
            <w:noWrap/>
          </w:tcPr>
          <w:p w14:paraId="64B6F38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105</w:t>
            </w:r>
          </w:p>
        </w:tc>
        <w:tc>
          <w:tcPr>
            <w:tcW w:w="1559" w:type="dxa"/>
            <w:tcBorders>
              <w:top w:val="single" w:sz="4" w:space="0" w:color="auto"/>
              <w:left w:val="nil"/>
              <w:bottom w:val="single" w:sz="4" w:space="0" w:color="auto"/>
              <w:right w:val="single" w:sz="4" w:space="0" w:color="auto"/>
            </w:tcBorders>
            <w:shd w:val="clear" w:color="auto" w:fill="C6EFCE"/>
            <w:noWrap/>
          </w:tcPr>
          <w:p w14:paraId="59A875E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426</w:t>
            </w:r>
          </w:p>
        </w:tc>
        <w:tc>
          <w:tcPr>
            <w:tcW w:w="850" w:type="dxa"/>
            <w:tcBorders>
              <w:top w:val="single" w:sz="4" w:space="0" w:color="auto"/>
              <w:left w:val="nil"/>
              <w:bottom w:val="single" w:sz="4" w:space="0" w:color="auto"/>
              <w:right w:val="single" w:sz="4" w:space="0" w:color="auto"/>
            </w:tcBorders>
            <w:shd w:val="clear" w:color="auto" w:fill="C6EFCE"/>
            <w:noWrap/>
          </w:tcPr>
          <w:p w14:paraId="2EC0EBA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3A1E18E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2FAD18BA"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Повишена способност на електроенергийната мрежа да интегрира допълнителна мощност на електроцентралата от общо 426 MW, използваща възобновяеми енергийни източници, чрез действия в рамките на тази инвестиция, която е в допълнение към финансираните от безвъзмездната подкрепа по C10.I1c (безвъзмездни средства) в раздел J.1. и като част от инвестицията C6.I1. Унгарският регулаторен орган за енергетиката и обществените нужди го проверява и представя доклад за валидиране, като използва методика, в която се разработват необходимите действия по мрежата, финансирани по плана за възстановяване и устойчивост, за да се интегрира енергията, произведена чрез допълнителен капацитет за производство на енергия от възобновяеми източници.</w:t>
            </w:r>
          </w:p>
        </w:tc>
      </w:tr>
      <w:tr w:rsidR="00CE3BAD" w:rsidRPr="00782BF9" w14:paraId="5D3B840D"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24BE55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315</w:t>
            </w:r>
          </w:p>
        </w:tc>
        <w:tc>
          <w:tcPr>
            <w:tcW w:w="1705" w:type="dxa"/>
            <w:tcBorders>
              <w:top w:val="single" w:sz="4" w:space="0" w:color="auto"/>
              <w:left w:val="nil"/>
              <w:bottom w:val="single" w:sz="4" w:space="0" w:color="auto"/>
              <w:right w:val="single" w:sz="4" w:space="0" w:color="auto"/>
            </w:tcBorders>
            <w:shd w:val="clear" w:color="auto" w:fill="C6EFCE"/>
            <w:noWrap/>
          </w:tcPr>
          <w:p w14:paraId="404367F1" w14:textId="143FD1CF"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74F75C05"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C10.I1d</w:t>
            </w:r>
            <w:r w:rsidRPr="00782BF9">
              <w:rPr>
                <w:b/>
                <w:noProof/>
                <w:lang w:val="bg-BG"/>
              </w:rPr>
              <w:t xml:space="preserve"> </w:t>
            </w:r>
            <w:r w:rsidRPr="00782BF9">
              <w:rPr>
                <w:noProof/>
                <w:lang w:val="bg-BG"/>
              </w:rPr>
              <w:t>разширена мярка: Разпространение на интелигентни измервателни уреди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509212FE"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0EEF78C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Отправяне на покана за представяне на предложения за приоритетни проекти, насочени към ОРС, за закупуване и инсталиране на интелигентни измервателни уреди</w:t>
            </w:r>
          </w:p>
        </w:tc>
        <w:tc>
          <w:tcPr>
            <w:tcW w:w="1338" w:type="dxa"/>
            <w:tcBorders>
              <w:top w:val="single" w:sz="4" w:space="0" w:color="auto"/>
              <w:left w:val="nil"/>
              <w:bottom w:val="single" w:sz="4" w:space="0" w:color="auto"/>
              <w:right w:val="single" w:sz="4" w:space="0" w:color="auto"/>
            </w:tcBorders>
            <w:shd w:val="clear" w:color="auto" w:fill="C6EFCE"/>
            <w:noWrap/>
          </w:tcPr>
          <w:p w14:paraId="13F88631"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Публикуване на поканата за приоритетни проекти на официалния уебсайт на правителството за покани за представяне на предложения</w:t>
            </w:r>
          </w:p>
        </w:tc>
        <w:tc>
          <w:tcPr>
            <w:tcW w:w="1116" w:type="dxa"/>
            <w:tcBorders>
              <w:top w:val="single" w:sz="4" w:space="0" w:color="auto"/>
              <w:left w:val="nil"/>
              <w:bottom w:val="single" w:sz="4" w:space="0" w:color="auto"/>
              <w:right w:val="single" w:sz="4" w:space="0" w:color="auto"/>
            </w:tcBorders>
            <w:shd w:val="clear" w:color="auto" w:fill="C6EFCE"/>
            <w:noWrap/>
          </w:tcPr>
          <w:p w14:paraId="4040C5DD"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0FF394BE"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0E9DEE41"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5BC9F40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6DA478A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59B58804"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Отправя се покана (в допълнение към инвестицията C6.I5) за приоритетни проекти, насочени към операторите на разпределителни системи, за закупуване и инсталиране на интелигентни измервателни уреди. В поканата се описват техническите изисквания за инсталирането на интелигентни измервателни уреди. </w:t>
            </w:r>
          </w:p>
          <w:p w14:paraId="242FEA48"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Операторите на разпределителни системи получават субсидията пропорционално на броя физически обекти, необходими за инсталирането на интелигентни измервателни уреди в географските райони, в които работят.</w:t>
            </w:r>
          </w:p>
        </w:tc>
      </w:tr>
      <w:tr w:rsidR="00CE3BAD" w:rsidRPr="00782BF9" w14:paraId="70169865"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F45D3E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316</w:t>
            </w:r>
          </w:p>
        </w:tc>
        <w:tc>
          <w:tcPr>
            <w:tcW w:w="1705" w:type="dxa"/>
            <w:tcBorders>
              <w:top w:val="single" w:sz="4" w:space="0" w:color="auto"/>
              <w:left w:val="nil"/>
              <w:bottom w:val="single" w:sz="4" w:space="0" w:color="auto"/>
              <w:right w:val="single" w:sz="4" w:space="0" w:color="auto"/>
            </w:tcBorders>
            <w:shd w:val="clear" w:color="auto" w:fill="C6EFCE"/>
            <w:noWrap/>
          </w:tcPr>
          <w:p w14:paraId="3129C5BB" w14:textId="09E59ED8"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2A9352BA"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C10.I1d</w:t>
            </w:r>
            <w:r w:rsidRPr="00782BF9">
              <w:rPr>
                <w:b/>
                <w:noProof/>
                <w:u w:val="single"/>
                <w:lang w:val="bg-BG"/>
              </w:rPr>
              <w:t xml:space="preserve"> </w:t>
            </w:r>
            <w:r w:rsidRPr="00782BF9">
              <w:rPr>
                <w:noProof/>
                <w:lang w:val="bg-BG"/>
              </w:rPr>
              <w:t>разширена мярка:</w:t>
            </w:r>
            <w:r w:rsidRPr="00782BF9">
              <w:rPr>
                <w:noProof/>
                <w:u w:val="single"/>
                <w:lang w:val="bg-BG"/>
              </w:rPr>
              <w:t xml:space="preserve"> </w:t>
            </w:r>
            <w:r w:rsidRPr="00782BF9">
              <w:rPr>
                <w:noProof/>
                <w:lang w:val="bg-BG"/>
              </w:rPr>
              <w:t>Разпространение на интелигентни измервателни уреди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70D98175"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6348682D"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всички споразумения за отпускане на безвъзмездна финансова помощ за закупуване и инсталиране на интелигентни измервателни уреди</w:t>
            </w:r>
          </w:p>
        </w:tc>
        <w:tc>
          <w:tcPr>
            <w:tcW w:w="1338" w:type="dxa"/>
            <w:tcBorders>
              <w:top w:val="single" w:sz="4" w:space="0" w:color="auto"/>
              <w:left w:val="nil"/>
              <w:bottom w:val="single" w:sz="4" w:space="0" w:color="auto"/>
              <w:right w:val="single" w:sz="4" w:space="0" w:color="auto"/>
            </w:tcBorders>
            <w:shd w:val="clear" w:color="auto" w:fill="C6EFCE"/>
            <w:noWrap/>
          </w:tcPr>
          <w:p w14:paraId="6BD17E2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споразуменията за отпускане на безвъзмездни средства</w:t>
            </w:r>
          </w:p>
        </w:tc>
        <w:tc>
          <w:tcPr>
            <w:tcW w:w="1116" w:type="dxa"/>
            <w:tcBorders>
              <w:top w:val="single" w:sz="4" w:space="0" w:color="auto"/>
              <w:left w:val="nil"/>
              <w:bottom w:val="single" w:sz="4" w:space="0" w:color="auto"/>
              <w:right w:val="single" w:sz="4" w:space="0" w:color="auto"/>
            </w:tcBorders>
            <w:shd w:val="clear" w:color="auto" w:fill="C6EFCE"/>
            <w:noWrap/>
          </w:tcPr>
          <w:p w14:paraId="5EE1AF61"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1311F6FB"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333CAD63"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39D47D4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noWrap/>
          </w:tcPr>
          <w:p w14:paraId="27D66C6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680A5974" w14:textId="57F1317D"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Споразуменията за отпускане на безвъзмездни средства се подписват и влизат в сила за всички проекти, избрани в рамките на поканата за представяне на предложения, посочена в етап 315.</w:t>
            </w:r>
          </w:p>
        </w:tc>
      </w:tr>
      <w:tr w:rsidR="00CE3BAD" w:rsidRPr="00782BF9" w14:paraId="492FB014"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DE1520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317</w:t>
            </w:r>
          </w:p>
        </w:tc>
        <w:tc>
          <w:tcPr>
            <w:tcW w:w="1705" w:type="dxa"/>
            <w:tcBorders>
              <w:top w:val="single" w:sz="4" w:space="0" w:color="auto"/>
              <w:left w:val="nil"/>
              <w:bottom w:val="single" w:sz="4" w:space="0" w:color="auto"/>
              <w:right w:val="single" w:sz="4" w:space="0" w:color="auto"/>
            </w:tcBorders>
            <w:shd w:val="clear" w:color="auto" w:fill="C6EFCE"/>
            <w:noWrap/>
          </w:tcPr>
          <w:p w14:paraId="31490C73" w14:textId="5B047EA5"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5A6F5C0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C10.I1d</w:t>
            </w:r>
            <w:r w:rsidRPr="00782BF9">
              <w:rPr>
                <w:b/>
                <w:noProof/>
                <w:u w:val="single"/>
                <w:lang w:val="bg-BG"/>
              </w:rPr>
              <w:t xml:space="preserve"> </w:t>
            </w:r>
            <w:r w:rsidRPr="00782BF9">
              <w:rPr>
                <w:noProof/>
                <w:lang w:val="bg-BG"/>
              </w:rPr>
              <w:t>разширена мярка:</w:t>
            </w:r>
            <w:r w:rsidRPr="00782BF9">
              <w:rPr>
                <w:noProof/>
                <w:u w:val="single"/>
                <w:lang w:val="bg-BG"/>
              </w:rPr>
              <w:t xml:space="preserve"> </w:t>
            </w:r>
            <w:r w:rsidRPr="00782BF9">
              <w:rPr>
                <w:noProof/>
                <w:lang w:val="bg-BG"/>
              </w:rPr>
              <w:t>Разпространение на интелигентни измервателни уреди (заеми)</w:t>
            </w:r>
          </w:p>
        </w:tc>
        <w:tc>
          <w:tcPr>
            <w:tcW w:w="1330" w:type="dxa"/>
            <w:tcBorders>
              <w:top w:val="single" w:sz="4" w:space="0" w:color="auto"/>
              <w:left w:val="nil"/>
              <w:bottom w:val="single" w:sz="4" w:space="0" w:color="auto"/>
              <w:right w:val="single" w:sz="4" w:space="0" w:color="auto"/>
            </w:tcBorders>
            <w:shd w:val="clear" w:color="auto" w:fill="C6EFCE"/>
            <w:noWrap/>
          </w:tcPr>
          <w:p w14:paraId="7D2AB150"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69E1476A"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Новоинсталирани интелигентни измервателни уреди</w:t>
            </w:r>
          </w:p>
        </w:tc>
        <w:tc>
          <w:tcPr>
            <w:tcW w:w="1338" w:type="dxa"/>
            <w:tcBorders>
              <w:top w:val="single" w:sz="4" w:space="0" w:color="auto"/>
              <w:left w:val="nil"/>
              <w:bottom w:val="single" w:sz="4" w:space="0" w:color="auto"/>
              <w:right w:val="single" w:sz="4" w:space="0" w:color="auto"/>
            </w:tcBorders>
            <w:shd w:val="clear" w:color="auto" w:fill="C6EFCE"/>
            <w:noWrap/>
          </w:tcPr>
          <w:p w14:paraId="027DA95E" w14:textId="77777777" w:rsidR="00CE3BAD" w:rsidRPr="00782BF9" w:rsidRDefault="00CE3BAD">
            <w:pPr>
              <w:spacing w:before="120" w:after="120" w:line="240" w:lineRule="auto"/>
              <w:jc w:val="center"/>
              <w:rPr>
                <w:rFonts w:eastAsia="Times New Roman"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29D7384B"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4097511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080FBB67" w14:textId="66EE9125"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52</w:t>
            </w:r>
            <w:r w:rsidRPr="00782BF9">
              <w:rPr>
                <w:noProof/>
                <w:color w:val="006100"/>
                <w:lang w:val="bg-BG"/>
              </w:rPr>
              <w:t xml:space="preserve"> </w:t>
            </w:r>
            <w:r w:rsidRPr="00782BF9">
              <w:rPr>
                <w:rFonts w:cstheme="minorHAnsi"/>
                <w:noProof/>
                <w:lang w:val="bg-BG"/>
              </w:rPr>
              <w:t>520</w:t>
            </w:r>
          </w:p>
        </w:tc>
        <w:tc>
          <w:tcPr>
            <w:tcW w:w="850" w:type="dxa"/>
            <w:tcBorders>
              <w:top w:val="single" w:sz="4" w:space="0" w:color="auto"/>
              <w:left w:val="nil"/>
              <w:bottom w:val="single" w:sz="4" w:space="0" w:color="auto"/>
              <w:right w:val="single" w:sz="4" w:space="0" w:color="auto"/>
            </w:tcBorders>
            <w:shd w:val="clear" w:color="auto" w:fill="C6EFCE"/>
            <w:noWrap/>
          </w:tcPr>
          <w:p w14:paraId="5E95072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Т4 Г. </w:t>
            </w:r>
          </w:p>
        </w:tc>
        <w:tc>
          <w:tcPr>
            <w:tcW w:w="709" w:type="dxa"/>
            <w:tcBorders>
              <w:top w:val="single" w:sz="4" w:space="0" w:color="auto"/>
              <w:left w:val="nil"/>
              <w:bottom w:val="single" w:sz="4" w:space="0" w:color="auto"/>
              <w:right w:val="single" w:sz="4" w:space="0" w:color="auto"/>
            </w:tcBorders>
            <w:shd w:val="clear" w:color="auto" w:fill="C6EFCE"/>
            <w:noWrap/>
          </w:tcPr>
          <w:p w14:paraId="1641425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4111" w:type="dxa"/>
            <w:tcBorders>
              <w:top w:val="single" w:sz="4" w:space="0" w:color="auto"/>
              <w:left w:val="nil"/>
              <w:bottom w:val="single" w:sz="4" w:space="0" w:color="auto"/>
              <w:right w:val="single" w:sz="4" w:space="0" w:color="auto"/>
            </w:tcBorders>
            <w:shd w:val="clear" w:color="auto" w:fill="C6EFCE"/>
            <w:noWrap/>
          </w:tcPr>
          <w:p w14:paraId="609B844F"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Нови инсталации на еднофазни или трифазни електромери с директна връзка и комуникационен агрегат, в допълнение към тези, финансирани от безвъзмездната подкрепа по C10.I1d (безвъзмездни средства) в раздел J.1 и като част от инвестицията C6.I5.</w:t>
            </w:r>
          </w:p>
        </w:tc>
      </w:tr>
      <w:tr w:rsidR="00CE3BAD" w:rsidRPr="00782BF9" w14:paraId="1EC8A002"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582BFE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318</w:t>
            </w:r>
          </w:p>
        </w:tc>
        <w:tc>
          <w:tcPr>
            <w:tcW w:w="1705" w:type="dxa"/>
            <w:tcBorders>
              <w:top w:val="single" w:sz="4" w:space="0" w:color="auto"/>
              <w:left w:val="nil"/>
              <w:bottom w:val="single" w:sz="4" w:space="0" w:color="auto"/>
              <w:right w:val="single" w:sz="4" w:space="0" w:color="auto"/>
            </w:tcBorders>
            <w:shd w:val="clear" w:color="auto" w:fill="C6EFCE"/>
            <w:noWrap/>
          </w:tcPr>
          <w:p w14:paraId="0E4D8186" w14:textId="567B71E8"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К10.И1: Развитие и цифровизация на електроенергийната мрежа</w:t>
            </w:r>
          </w:p>
          <w:p w14:paraId="4E6EB830"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C10.I1d</w:t>
            </w:r>
            <w:r w:rsidRPr="00782BF9">
              <w:rPr>
                <w:b/>
                <w:noProof/>
                <w:lang w:val="bg-BG"/>
              </w:rPr>
              <w:t xml:space="preserve"> </w:t>
            </w:r>
            <w:r w:rsidRPr="00782BF9">
              <w:rPr>
                <w:noProof/>
                <w:lang w:val="bg-BG"/>
              </w:rPr>
              <w:t>разширена мярка: Разпространение на интелигентни измервателни уреди</w:t>
            </w:r>
          </w:p>
        </w:tc>
        <w:tc>
          <w:tcPr>
            <w:tcW w:w="1330" w:type="dxa"/>
            <w:tcBorders>
              <w:top w:val="single" w:sz="4" w:space="0" w:color="auto"/>
              <w:left w:val="nil"/>
              <w:bottom w:val="single" w:sz="4" w:space="0" w:color="auto"/>
              <w:right w:val="single" w:sz="4" w:space="0" w:color="auto"/>
            </w:tcBorders>
            <w:shd w:val="clear" w:color="auto" w:fill="C6EFCE"/>
            <w:noWrap/>
          </w:tcPr>
          <w:p w14:paraId="089CE05C"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0557D18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Новоинсталирани интелигентни измервателни уреди</w:t>
            </w:r>
          </w:p>
        </w:tc>
        <w:tc>
          <w:tcPr>
            <w:tcW w:w="1338" w:type="dxa"/>
            <w:tcBorders>
              <w:top w:val="single" w:sz="4" w:space="0" w:color="auto"/>
              <w:left w:val="nil"/>
              <w:bottom w:val="single" w:sz="4" w:space="0" w:color="auto"/>
              <w:right w:val="single" w:sz="4" w:space="0" w:color="auto"/>
            </w:tcBorders>
            <w:shd w:val="clear" w:color="auto" w:fill="C6EFCE"/>
            <w:noWrap/>
          </w:tcPr>
          <w:p w14:paraId="150D48E3" w14:textId="77777777" w:rsidR="00CE3BAD" w:rsidRPr="00782BF9" w:rsidRDefault="00CE3BAD">
            <w:pPr>
              <w:spacing w:before="120" w:after="120" w:line="240" w:lineRule="auto"/>
              <w:jc w:val="center"/>
              <w:rPr>
                <w:rFonts w:eastAsia="Times New Roman"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39B1EC14"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79BA9D45" w14:textId="51CFCFE6"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52</w:t>
            </w:r>
            <w:r w:rsidRPr="00782BF9">
              <w:rPr>
                <w:noProof/>
                <w:color w:val="006100"/>
                <w:lang w:val="bg-BG"/>
              </w:rPr>
              <w:t xml:space="preserve"> </w:t>
            </w:r>
            <w:r w:rsidRPr="00782BF9">
              <w:rPr>
                <w:rFonts w:cstheme="minorHAnsi"/>
                <w:noProof/>
                <w:lang w:val="bg-BG"/>
              </w:rPr>
              <w:t>520</w:t>
            </w:r>
          </w:p>
        </w:tc>
        <w:tc>
          <w:tcPr>
            <w:tcW w:w="1559" w:type="dxa"/>
            <w:tcBorders>
              <w:top w:val="single" w:sz="4" w:space="0" w:color="auto"/>
              <w:left w:val="nil"/>
              <w:bottom w:val="single" w:sz="4" w:space="0" w:color="auto"/>
              <w:right w:val="single" w:sz="4" w:space="0" w:color="auto"/>
            </w:tcBorders>
            <w:shd w:val="clear" w:color="auto" w:fill="C6EFCE"/>
            <w:noWrap/>
          </w:tcPr>
          <w:p w14:paraId="07305063" w14:textId="1B6B7B90"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138</w:t>
            </w:r>
            <w:r w:rsidRPr="00782BF9">
              <w:rPr>
                <w:noProof/>
                <w:color w:val="006100"/>
                <w:lang w:val="bg-BG"/>
              </w:rPr>
              <w:t xml:space="preserve"> </w:t>
            </w:r>
            <w:r w:rsidRPr="00782BF9">
              <w:rPr>
                <w:rFonts w:cstheme="minorHAnsi"/>
                <w:noProof/>
                <w:lang w:val="bg-BG"/>
              </w:rPr>
              <w:t>098</w:t>
            </w:r>
          </w:p>
        </w:tc>
        <w:tc>
          <w:tcPr>
            <w:tcW w:w="850" w:type="dxa"/>
            <w:tcBorders>
              <w:top w:val="single" w:sz="4" w:space="0" w:color="auto"/>
              <w:left w:val="nil"/>
              <w:bottom w:val="single" w:sz="4" w:space="0" w:color="auto"/>
              <w:right w:val="single" w:sz="4" w:space="0" w:color="auto"/>
            </w:tcBorders>
            <w:shd w:val="clear" w:color="auto" w:fill="C6EFCE"/>
            <w:noWrap/>
          </w:tcPr>
          <w:p w14:paraId="6388A43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0C11431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0D4803DB"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Нова инсталация на общо 138 098 еднофазни или трифазни електромера с инсталация за пряка връзка и комуникация, в допълнение към тези, финансирани от безвъзмездната подкрепа по C10.I1d (безвъзмездни средства) в раздел J.1 и като част от инвестицията C6.I5.</w:t>
            </w:r>
          </w:p>
        </w:tc>
      </w:tr>
      <w:tr w:rsidR="00CE3BAD" w:rsidRPr="00782BF9" w14:paraId="6DC7C20E"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1AF301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319</w:t>
            </w:r>
          </w:p>
        </w:tc>
        <w:tc>
          <w:tcPr>
            <w:tcW w:w="1705" w:type="dxa"/>
            <w:tcBorders>
              <w:top w:val="single" w:sz="4" w:space="0" w:color="auto"/>
              <w:left w:val="nil"/>
              <w:bottom w:val="single" w:sz="4" w:space="0" w:color="auto"/>
              <w:right w:val="single" w:sz="4" w:space="0" w:color="auto"/>
            </w:tcBorders>
            <w:shd w:val="clear" w:color="auto" w:fill="C6EFCE"/>
            <w:noWrap/>
          </w:tcPr>
          <w:p w14:paraId="08D4A12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К10.И2: Екологизиране на промишлените, научните и технологичните и логистичните паркове за енергийни цели</w:t>
            </w:r>
          </w:p>
        </w:tc>
        <w:tc>
          <w:tcPr>
            <w:tcW w:w="1330" w:type="dxa"/>
            <w:tcBorders>
              <w:top w:val="single" w:sz="4" w:space="0" w:color="auto"/>
              <w:left w:val="nil"/>
              <w:bottom w:val="single" w:sz="4" w:space="0" w:color="auto"/>
              <w:right w:val="single" w:sz="4" w:space="0" w:color="auto"/>
            </w:tcBorders>
            <w:shd w:val="clear" w:color="auto" w:fill="C6EFCE"/>
            <w:noWrap/>
          </w:tcPr>
          <w:p w14:paraId="6036EA85"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35CFE79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Отправяне на покана за представяне на предложения за екологизиране на промишлените, научните и технологичните и логистичните паркове</w:t>
            </w:r>
          </w:p>
        </w:tc>
        <w:tc>
          <w:tcPr>
            <w:tcW w:w="1338" w:type="dxa"/>
            <w:tcBorders>
              <w:top w:val="single" w:sz="4" w:space="0" w:color="auto"/>
              <w:left w:val="nil"/>
              <w:bottom w:val="single" w:sz="4" w:space="0" w:color="auto"/>
              <w:right w:val="single" w:sz="4" w:space="0" w:color="auto"/>
            </w:tcBorders>
            <w:shd w:val="clear" w:color="auto" w:fill="C6EFCE"/>
            <w:noWrap/>
          </w:tcPr>
          <w:p w14:paraId="03F4DF6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поканата за представяне на предложения на официалния уебсайт за фондовете на ЕС на правителството</w:t>
            </w:r>
          </w:p>
        </w:tc>
        <w:tc>
          <w:tcPr>
            <w:tcW w:w="1116" w:type="dxa"/>
            <w:tcBorders>
              <w:top w:val="single" w:sz="4" w:space="0" w:color="auto"/>
              <w:left w:val="nil"/>
              <w:bottom w:val="single" w:sz="4" w:space="0" w:color="auto"/>
              <w:right w:val="single" w:sz="4" w:space="0" w:color="auto"/>
            </w:tcBorders>
            <w:shd w:val="clear" w:color="auto" w:fill="C6EFCE"/>
            <w:noWrap/>
          </w:tcPr>
          <w:p w14:paraId="642A5D4F"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484A8E12"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6F39115E"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7B5C324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1B0142E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1A71716A" w14:textId="77777777" w:rsidR="00CE3BAD" w:rsidRPr="00782BF9" w:rsidRDefault="006B5475">
            <w:pPr>
              <w:pStyle w:val="P68B1DB1-Normal24"/>
              <w:spacing w:before="120" w:after="0" w:line="240" w:lineRule="auto"/>
              <w:jc w:val="both"/>
              <w:rPr>
                <w:rFonts w:eastAsia="Calibri"/>
                <w:noProof/>
                <w:lang w:val="bg-BG"/>
              </w:rPr>
            </w:pPr>
            <w:r w:rsidRPr="00782BF9">
              <w:rPr>
                <w:noProof/>
                <w:lang w:val="bg-BG"/>
              </w:rPr>
              <w:t>На официалния уебсайт за фондовете на ЕС Министерството на регионалното развитие публикува покана за представяне на предложения за екологизиране на индустриалните, научните, технологичните и логистичните паркове. Мандатът на поканата дава възможност на предприятията, общините, бизнес асоциациите и/или консорциум от тези субекти, които притежават или извършват дейност в промишлени, научни, технологични и логистични паркове, да подават заявления за една или повече от следните подпомагани дейности:</w:t>
            </w:r>
          </w:p>
          <w:p w14:paraId="0D18B7E4" w14:textId="77777777" w:rsidR="00CE3BAD" w:rsidRPr="00782BF9" w:rsidRDefault="006B5475">
            <w:pPr>
              <w:pStyle w:val="P68B1DB1-Normal24"/>
              <w:numPr>
                <w:ilvl w:val="0"/>
                <w:numId w:val="68"/>
              </w:numPr>
              <w:spacing w:before="120" w:after="0" w:line="240" w:lineRule="auto"/>
              <w:contextualSpacing/>
              <w:jc w:val="both"/>
              <w:rPr>
                <w:rFonts w:eastAsia="Times New Roman"/>
                <w:noProof/>
                <w:lang w:val="bg-BG"/>
              </w:rPr>
            </w:pPr>
            <w:r w:rsidRPr="00782BF9">
              <w:rPr>
                <w:noProof/>
                <w:lang w:val="bg-BG"/>
              </w:rPr>
              <w:t>Разработване на микромрежови мрежи, свързващи всички съоръжения за производство на електроенергия, акумулиране и потребители на даден обект, заедно с разгръщането на съоръжения за производство на енергия от възобновяеми източници (също подпомагани) или за свързване на вече съществуващи съоръжения за производство на енергия от възобновяеми източници с потребителите;</w:t>
            </w:r>
          </w:p>
          <w:p w14:paraId="08536B24" w14:textId="77777777" w:rsidR="00CE3BAD" w:rsidRPr="00782BF9" w:rsidRDefault="006B5475">
            <w:pPr>
              <w:pStyle w:val="P68B1DB1-Normal24"/>
              <w:numPr>
                <w:ilvl w:val="0"/>
                <w:numId w:val="68"/>
              </w:numPr>
              <w:spacing w:before="120" w:after="0" w:line="240" w:lineRule="auto"/>
              <w:contextualSpacing/>
              <w:jc w:val="both"/>
              <w:rPr>
                <w:rFonts w:eastAsia="Times New Roman"/>
                <w:noProof/>
                <w:lang w:val="bg-BG"/>
              </w:rPr>
            </w:pPr>
            <w:r w:rsidRPr="00782BF9">
              <w:rPr>
                <w:noProof/>
                <w:lang w:val="bg-BG"/>
              </w:rPr>
              <w:t>Разгръщането на съоръжения за производство на енергия от възобновяеми източници, в които вече съществуват микромрежови мрежи;</w:t>
            </w:r>
          </w:p>
          <w:p w14:paraId="0341F83B" w14:textId="77777777" w:rsidR="00CE3BAD" w:rsidRPr="00782BF9" w:rsidRDefault="006B5475">
            <w:pPr>
              <w:pStyle w:val="P68B1DB1-Normal24"/>
              <w:numPr>
                <w:ilvl w:val="0"/>
                <w:numId w:val="68"/>
              </w:numPr>
              <w:spacing w:before="120" w:after="0" w:line="240" w:lineRule="auto"/>
              <w:contextualSpacing/>
              <w:jc w:val="both"/>
              <w:rPr>
                <w:rFonts w:eastAsia="Times New Roman"/>
                <w:noProof/>
                <w:lang w:val="bg-BG"/>
              </w:rPr>
            </w:pPr>
            <w:r w:rsidRPr="00782BF9">
              <w:rPr>
                <w:noProof/>
                <w:lang w:val="bg-BG"/>
              </w:rPr>
              <w:t>Разработване на отоплителни мрежи, насочени към термопомпи, основани на енергия от възобновяеми източници, включително и използване на остатъчна топлина;</w:t>
            </w:r>
          </w:p>
          <w:p w14:paraId="14DCB319" w14:textId="77777777" w:rsidR="00CE3BAD" w:rsidRPr="00782BF9" w:rsidRDefault="006B5475">
            <w:pPr>
              <w:pStyle w:val="P68B1DB1-Normal24"/>
              <w:numPr>
                <w:ilvl w:val="0"/>
                <w:numId w:val="68"/>
              </w:numPr>
              <w:spacing w:before="120" w:after="0" w:line="240" w:lineRule="auto"/>
              <w:contextualSpacing/>
              <w:jc w:val="both"/>
              <w:rPr>
                <w:rFonts w:eastAsia="Times New Roman"/>
                <w:noProof/>
                <w:lang w:val="bg-BG"/>
              </w:rPr>
            </w:pPr>
            <w:r w:rsidRPr="00782BF9">
              <w:rPr>
                <w:noProof/>
                <w:lang w:val="bg-BG"/>
              </w:rPr>
              <w:t>Развитие на съхранението на електроенергия и топлинна енергия само за съхранение на енергия от възобновяеми източници;</w:t>
            </w:r>
          </w:p>
          <w:p w14:paraId="71CF7A62" w14:textId="77777777" w:rsidR="00CE3BAD" w:rsidRPr="00782BF9" w:rsidRDefault="006B5475">
            <w:pPr>
              <w:pStyle w:val="P68B1DB1-Normal24"/>
              <w:numPr>
                <w:ilvl w:val="0"/>
                <w:numId w:val="68"/>
              </w:numPr>
              <w:spacing w:before="120" w:after="0" w:line="240" w:lineRule="auto"/>
              <w:contextualSpacing/>
              <w:jc w:val="both"/>
              <w:rPr>
                <w:rFonts w:eastAsia="Times New Roman"/>
                <w:noProof/>
                <w:lang w:val="bg-BG"/>
              </w:rPr>
            </w:pPr>
            <w:r w:rsidRPr="00782BF9">
              <w:rPr>
                <w:noProof/>
                <w:lang w:val="bg-BG"/>
              </w:rPr>
              <w:t>Дейности за повишаване на енергийната ефективност на сградите и за декарбонизация на промишлените процеси във връзка с горепосочените дейности;</w:t>
            </w:r>
          </w:p>
          <w:p w14:paraId="3F96EA34" w14:textId="77777777" w:rsidR="00CE3BAD" w:rsidRPr="00782BF9" w:rsidRDefault="006B5475">
            <w:pPr>
              <w:pStyle w:val="P68B1DB1-Normal24"/>
              <w:numPr>
                <w:ilvl w:val="0"/>
                <w:numId w:val="68"/>
              </w:numPr>
              <w:spacing w:before="120" w:after="0" w:line="240" w:lineRule="auto"/>
              <w:contextualSpacing/>
              <w:jc w:val="both"/>
              <w:rPr>
                <w:rFonts w:eastAsia="Times New Roman"/>
                <w:noProof/>
                <w:lang w:val="bg-BG"/>
              </w:rPr>
            </w:pPr>
            <w:r w:rsidRPr="00782BF9">
              <w:rPr>
                <w:noProof/>
                <w:lang w:val="bg-BG"/>
              </w:rPr>
              <w:t>Инсталиране на система за енергийно управление, инвертори и/или контролни центрове във връзка с горепосочените дейности.</w:t>
            </w:r>
          </w:p>
          <w:p w14:paraId="1BA3963F"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Критериите за допустимост в поканата изискват проектите да постигат прогнозни емисии на парникови газове и да изключват определени дейности в съответствие с условията в описанието на мярката. Поканата отразява факта, че само до 10 % от общия пакет за мярката се използват за енергийна ефективност на сградите и декарбонизация на промишлените дейности, взети заедно.</w:t>
            </w:r>
          </w:p>
        </w:tc>
      </w:tr>
      <w:tr w:rsidR="00CE3BAD" w:rsidRPr="00782BF9" w14:paraId="10A53481"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36C84C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320</w:t>
            </w:r>
          </w:p>
        </w:tc>
        <w:tc>
          <w:tcPr>
            <w:tcW w:w="1705" w:type="dxa"/>
            <w:tcBorders>
              <w:top w:val="single" w:sz="4" w:space="0" w:color="auto"/>
              <w:left w:val="nil"/>
              <w:bottom w:val="single" w:sz="4" w:space="0" w:color="auto"/>
              <w:right w:val="single" w:sz="4" w:space="0" w:color="auto"/>
            </w:tcBorders>
            <w:shd w:val="clear" w:color="auto" w:fill="C6EFCE"/>
            <w:noWrap/>
          </w:tcPr>
          <w:p w14:paraId="152DA8B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К10.И2: Екологизиране на промишлените, научните и технологичните и логистичните паркове за енергийни цели</w:t>
            </w:r>
          </w:p>
        </w:tc>
        <w:tc>
          <w:tcPr>
            <w:tcW w:w="1330" w:type="dxa"/>
            <w:tcBorders>
              <w:top w:val="single" w:sz="4" w:space="0" w:color="auto"/>
              <w:left w:val="nil"/>
              <w:bottom w:val="single" w:sz="4" w:space="0" w:color="auto"/>
              <w:right w:val="single" w:sz="4" w:space="0" w:color="auto"/>
            </w:tcBorders>
            <w:shd w:val="clear" w:color="auto" w:fill="C6EFCE"/>
            <w:noWrap/>
          </w:tcPr>
          <w:p w14:paraId="13AE750F"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26CD8E9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споразуменията за отпускане на безвъзмездни средства</w:t>
            </w:r>
          </w:p>
        </w:tc>
        <w:tc>
          <w:tcPr>
            <w:tcW w:w="1338" w:type="dxa"/>
            <w:tcBorders>
              <w:top w:val="single" w:sz="4" w:space="0" w:color="auto"/>
              <w:left w:val="nil"/>
              <w:bottom w:val="single" w:sz="4" w:space="0" w:color="auto"/>
              <w:right w:val="single" w:sz="4" w:space="0" w:color="auto"/>
            </w:tcBorders>
            <w:shd w:val="clear" w:color="auto" w:fill="C6EFCE"/>
            <w:noWrap/>
          </w:tcPr>
          <w:p w14:paraId="36E46EB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споразуменията за отпускане на безвъзмездни средства</w:t>
            </w:r>
          </w:p>
        </w:tc>
        <w:tc>
          <w:tcPr>
            <w:tcW w:w="1116" w:type="dxa"/>
            <w:tcBorders>
              <w:top w:val="single" w:sz="4" w:space="0" w:color="auto"/>
              <w:left w:val="nil"/>
              <w:bottom w:val="single" w:sz="4" w:space="0" w:color="auto"/>
              <w:right w:val="single" w:sz="4" w:space="0" w:color="auto"/>
            </w:tcBorders>
            <w:shd w:val="clear" w:color="auto" w:fill="C6EFCE"/>
            <w:noWrap/>
          </w:tcPr>
          <w:p w14:paraId="7478CC07"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59382F6A"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5B7FCD8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w:t>
            </w:r>
          </w:p>
        </w:tc>
        <w:tc>
          <w:tcPr>
            <w:tcW w:w="850" w:type="dxa"/>
            <w:tcBorders>
              <w:top w:val="single" w:sz="4" w:space="0" w:color="auto"/>
              <w:left w:val="nil"/>
              <w:bottom w:val="single" w:sz="4" w:space="0" w:color="auto"/>
              <w:right w:val="single" w:sz="4" w:space="0" w:color="auto"/>
            </w:tcBorders>
            <w:shd w:val="clear" w:color="auto" w:fill="C6EFCE"/>
            <w:noWrap/>
          </w:tcPr>
          <w:p w14:paraId="50FD5E1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noWrap/>
          </w:tcPr>
          <w:p w14:paraId="2310216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3CDD4B79"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Споразуменията за отпускане на безвъзмездни средства се сключват и влизат в сила въз основа на технически оценки на Съвета за научни и иновационни, технологични, промишлени и логистични паркове, като се заделят най-малко 95 % от общия пакет за тази мярка (502 670 000 EUR).</w:t>
            </w:r>
          </w:p>
        </w:tc>
      </w:tr>
      <w:tr w:rsidR="00CE3BAD" w:rsidRPr="00782BF9" w14:paraId="38A0A9B0"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CDC00A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321</w:t>
            </w:r>
          </w:p>
        </w:tc>
        <w:tc>
          <w:tcPr>
            <w:tcW w:w="1705" w:type="dxa"/>
            <w:tcBorders>
              <w:top w:val="single" w:sz="4" w:space="0" w:color="auto"/>
              <w:left w:val="nil"/>
              <w:bottom w:val="single" w:sz="4" w:space="0" w:color="auto"/>
              <w:right w:val="single" w:sz="4" w:space="0" w:color="auto"/>
            </w:tcBorders>
            <w:shd w:val="clear" w:color="auto" w:fill="C6EFCE"/>
            <w:noWrap/>
          </w:tcPr>
          <w:p w14:paraId="0F11943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К10.И2: Екологизиране на промишлените, научните и технологичните и логистичните паркове за енергийни цели</w:t>
            </w:r>
          </w:p>
        </w:tc>
        <w:tc>
          <w:tcPr>
            <w:tcW w:w="1330" w:type="dxa"/>
            <w:tcBorders>
              <w:top w:val="single" w:sz="4" w:space="0" w:color="auto"/>
              <w:left w:val="nil"/>
              <w:bottom w:val="single" w:sz="4" w:space="0" w:color="auto"/>
              <w:right w:val="single" w:sz="4" w:space="0" w:color="auto"/>
            </w:tcBorders>
            <w:shd w:val="clear" w:color="auto" w:fill="C6EFCE"/>
            <w:noWrap/>
          </w:tcPr>
          <w:p w14:paraId="3070708E"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649AB83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Инсталиран капацитет на системите за възобновяема енергия</w:t>
            </w:r>
          </w:p>
        </w:tc>
        <w:tc>
          <w:tcPr>
            <w:tcW w:w="1338" w:type="dxa"/>
            <w:tcBorders>
              <w:top w:val="single" w:sz="4" w:space="0" w:color="auto"/>
              <w:left w:val="nil"/>
              <w:bottom w:val="single" w:sz="4" w:space="0" w:color="auto"/>
              <w:right w:val="single" w:sz="4" w:space="0" w:color="auto"/>
            </w:tcBorders>
            <w:shd w:val="clear" w:color="auto" w:fill="C6EFCE"/>
            <w:noWrap/>
          </w:tcPr>
          <w:p w14:paraId="1E9B3FBA"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44E8793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MW</w:t>
            </w:r>
          </w:p>
        </w:tc>
        <w:tc>
          <w:tcPr>
            <w:tcW w:w="877" w:type="dxa"/>
            <w:tcBorders>
              <w:top w:val="single" w:sz="4" w:space="0" w:color="auto"/>
              <w:left w:val="nil"/>
              <w:bottom w:val="single" w:sz="4" w:space="0" w:color="auto"/>
              <w:right w:val="single" w:sz="4" w:space="0" w:color="auto"/>
            </w:tcBorders>
            <w:shd w:val="clear" w:color="auto" w:fill="C6EFCE"/>
            <w:noWrap/>
          </w:tcPr>
          <w:p w14:paraId="257E369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760177B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197</w:t>
            </w:r>
          </w:p>
        </w:tc>
        <w:tc>
          <w:tcPr>
            <w:tcW w:w="850" w:type="dxa"/>
            <w:tcBorders>
              <w:top w:val="single" w:sz="4" w:space="0" w:color="auto"/>
              <w:left w:val="nil"/>
              <w:bottom w:val="single" w:sz="4" w:space="0" w:color="auto"/>
              <w:right w:val="single" w:sz="4" w:space="0" w:color="auto"/>
            </w:tcBorders>
            <w:shd w:val="clear" w:color="auto" w:fill="C6EFCE"/>
            <w:noWrap/>
          </w:tcPr>
          <w:p w14:paraId="315A125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677ED82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0836C7EE" w14:textId="1EE313CD" w:rsidR="00CE3BAD" w:rsidRPr="00782BF9" w:rsidRDefault="006B5475">
            <w:pPr>
              <w:pStyle w:val="P68B1DB1-Normal24"/>
              <w:spacing w:before="120" w:after="120" w:line="240" w:lineRule="auto"/>
              <w:jc w:val="both"/>
              <w:rPr>
                <w:rFonts w:eastAsia="Calibri"/>
                <w:noProof/>
                <w:lang w:val="bg-BG"/>
              </w:rPr>
            </w:pPr>
            <w:r w:rsidRPr="00782BF9">
              <w:rPr>
                <w:noProof/>
                <w:lang w:val="bg-BG"/>
              </w:rPr>
              <w:t>Като част от проектите, за които са сключени споразумения за отпускане на безвъзмездни средства по етап 320 по-горе, се инсталира капацитет на системата за енергия от възобновяеми източници в размер на 197 MW. Изграждането на съоръжения за акумулиране на електрическа и топлинна енергия за съхранение на енергия от възобновяеми източници с обща мощност 100 MW се завършва и се присъединява към микромрежите.</w:t>
            </w:r>
          </w:p>
        </w:tc>
      </w:tr>
      <w:tr w:rsidR="00CE3BAD" w:rsidRPr="00782BF9" w14:paraId="0461FB96"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069A8F9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322</w:t>
            </w:r>
          </w:p>
        </w:tc>
        <w:tc>
          <w:tcPr>
            <w:tcW w:w="1705" w:type="dxa"/>
            <w:tcBorders>
              <w:top w:val="single" w:sz="4" w:space="0" w:color="auto"/>
              <w:left w:val="nil"/>
              <w:bottom w:val="single" w:sz="4" w:space="0" w:color="auto"/>
              <w:right w:val="single" w:sz="4" w:space="0" w:color="auto"/>
            </w:tcBorders>
            <w:shd w:val="clear" w:color="auto" w:fill="C6EFCE"/>
            <w:noWrap/>
          </w:tcPr>
          <w:p w14:paraId="7282843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К10.И2: Екологизиране на промишлените, научните и технологичните и логистичните паркове за енергийни цели</w:t>
            </w:r>
          </w:p>
        </w:tc>
        <w:tc>
          <w:tcPr>
            <w:tcW w:w="1330" w:type="dxa"/>
            <w:tcBorders>
              <w:top w:val="single" w:sz="4" w:space="0" w:color="auto"/>
              <w:left w:val="nil"/>
              <w:bottom w:val="single" w:sz="4" w:space="0" w:color="auto"/>
              <w:right w:val="single" w:sz="4" w:space="0" w:color="auto"/>
            </w:tcBorders>
            <w:shd w:val="clear" w:color="auto" w:fill="C6EFCE"/>
            <w:noWrap/>
          </w:tcPr>
          <w:p w14:paraId="14172A51"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57BF347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 на оперативно свързаните микромрежови мрежи</w:t>
            </w:r>
          </w:p>
        </w:tc>
        <w:tc>
          <w:tcPr>
            <w:tcW w:w="1338" w:type="dxa"/>
            <w:tcBorders>
              <w:top w:val="single" w:sz="4" w:space="0" w:color="auto"/>
              <w:left w:val="nil"/>
              <w:bottom w:val="single" w:sz="4" w:space="0" w:color="auto"/>
              <w:right w:val="single" w:sz="4" w:space="0" w:color="auto"/>
            </w:tcBorders>
            <w:shd w:val="clear" w:color="auto" w:fill="C6EFCE"/>
            <w:noWrap/>
          </w:tcPr>
          <w:p w14:paraId="5D4CF7FF"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6CD2DD0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70757AB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65F22C1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50</w:t>
            </w:r>
          </w:p>
        </w:tc>
        <w:tc>
          <w:tcPr>
            <w:tcW w:w="850" w:type="dxa"/>
            <w:tcBorders>
              <w:top w:val="single" w:sz="4" w:space="0" w:color="auto"/>
              <w:left w:val="nil"/>
              <w:bottom w:val="single" w:sz="4" w:space="0" w:color="auto"/>
              <w:right w:val="single" w:sz="4" w:space="0" w:color="auto"/>
            </w:tcBorders>
            <w:shd w:val="clear" w:color="auto" w:fill="C6EFCE"/>
            <w:noWrap/>
          </w:tcPr>
          <w:p w14:paraId="1691D48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73923F8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4C9B7EF3" w14:textId="0262D554" w:rsidR="00CE3BAD" w:rsidRPr="00782BF9" w:rsidRDefault="006B5475">
            <w:pPr>
              <w:pStyle w:val="P68B1DB1-Normal24"/>
              <w:spacing w:before="120" w:after="120" w:line="240" w:lineRule="auto"/>
              <w:jc w:val="both"/>
              <w:rPr>
                <w:rFonts w:eastAsia="Calibri"/>
                <w:noProof/>
                <w:lang w:val="bg-BG"/>
              </w:rPr>
            </w:pPr>
            <w:r w:rsidRPr="00782BF9">
              <w:rPr>
                <w:noProof/>
                <w:lang w:val="bg-BG"/>
              </w:rPr>
              <w:t>Като част от проектите, за които са сключени споразумения за отпускане на безвъзмездни средства по етап 320 по-горе, се инсталират 50 микромрежови мрежи, всяка от които оперативно свързва всички съоръжения за производство на електроенергия (включително най-малко 80 % от инсталираната мощност за енергия от възобновяеми източници), съхранението и потребителските единици на даден парк с потребителите.</w:t>
            </w:r>
          </w:p>
        </w:tc>
      </w:tr>
      <w:tr w:rsidR="00CE3BAD" w:rsidRPr="00782BF9" w14:paraId="18FE5B30"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3DFD4BA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323</w:t>
            </w:r>
          </w:p>
        </w:tc>
        <w:tc>
          <w:tcPr>
            <w:tcW w:w="1705" w:type="dxa"/>
            <w:tcBorders>
              <w:top w:val="single" w:sz="4" w:space="0" w:color="auto"/>
              <w:left w:val="nil"/>
              <w:bottom w:val="single" w:sz="4" w:space="0" w:color="auto"/>
              <w:right w:val="single" w:sz="4" w:space="0" w:color="auto"/>
            </w:tcBorders>
            <w:shd w:val="clear" w:color="auto" w:fill="C6EFCE"/>
            <w:noWrap/>
          </w:tcPr>
          <w:p w14:paraId="394C65A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К10.И2: Екологизиране на промишлените, научните и технологичните и логистичните паркове за енергийни цели</w:t>
            </w:r>
          </w:p>
        </w:tc>
        <w:tc>
          <w:tcPr>
            <w:tcW w:w="1330" w:type="dxa"/>
            <w:tcBorders>
              <w:top w:val="single" w:sz="4" w:space="0" w:color="auto"/>
              <w:left w:val="nil"/>
              <w:bottom w:val="single" w:sz="4" w:space="0" w:color="auto"/>
              <w:right w:val="single" w:sz="4" w:space="0" w:color="auto"/>
            </w:tcBorders>
            <w:shd w:val="clear" w:color="auto" w:fill="C6EFCE"/>
            <w:noWrap/>
          </w:tcPr>
          <w:p w14:paraId="42E416D9"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434D6D9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Мощност на инсталираните термопомпи</w:t>
            </w:r>
          </w:p>
        </w:tc>
        <w:tc>
          <w:tcPr>
            <w:tcW w:w="1338" w:type="dxa"/>
            <w:tcBorders>
              <w:top w:val="single" w:sz="4" w:space="0" w:color="auto"/>
              <w:left w:val="nil"/>
              <w:bottom w:val="single" w:sz="4" w:space="0" w:color="auto"/>
              <w:right w:val="single" w:sz="4" w:space="0" w:color="auto"/>
            </w:tcBorders>
            <w:shd w:val="clear" w:color="auto" w:fill="C6EFCE"/>
            <w:noWrap/>
          </w:tcPr>
          <w:p w14:paraId="0C72A6EF"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257AC73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MW</w:t>
            </w:r>
          </w:p>
        </w:tc>
        <w:tc>
          <w:tcPr>
            <w:tcW w:w="877" w:type="dxa"/>
            <w:tcBorders>
              <w:top w:val="single" w:sz="4" w:space="0" w:color="auto"/>
              <w:left w:val="nil"/>
              <w:bottom w:val="single" w:sz="4" w:space="0" w:color="auto"/>
              <w:right w:val="single" w:sz="4" w:space="0" w:color="auto"/>
            </w:tcBorders>
            <w:shd w:val="clear" w:color="auto" w:fill="C6EFCE"/>
            <w:noWrap/>
          </w:tcPr>
          <w:p w14:paraId="723938C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18444C8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10</w:t>
            </w:r>
          </w:p>
        </w:tc>
        <w:tc>
          <w:tcPr>
            <w:tcW w:w="850" w:type="dxa"/>
            <w:tcBorders>
              <w:top w:val="single" w:sz="4" w:space="0" w:color="auto"/>
              <w:left w:val="nil"/>
              <w:bottom w:val="single" w:sz="4" w:space="0" w:color="auto"/>
              <w:right w:val="single" w:sz="4" w:space="0" w:color="auto"/>
            </w:tcBorders>
            <w:shd w:val="clear" w:color="auto" w:fill="C6EFCE"/>
            <w:noWrap/>
          </w:tcPr>
          <w:p w14:paraId="0F38212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775D57D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52FEEE07" w14:textId="73C27E96" w:rsidR="00CE3BAD" w:rsidRPr="00782BF9" w:rsidRDefault="006B5475">
            <w:pPr>
              <w:pStyle w:val="P68B1DB1-Normal24"/>
              <w:spacing w:before="120" w:after="120" w:line="240" w:lineRule="auto"/>
              <w:jc w:val="both"/>
              <w:rPr>
                <w:rFonts w:eastAsia="Calibri"/>
                <w:noProof/>
                <w:lang w:val="bg-BG"/>
              </w:rPr>
            </w:pPr>
            <w:r w:rsidRPr="00782BF9">
              <w:rPr>
                <w:noProof/>
                <w:lang w:val="bg-BG"/>
              </w:rPr>
              <w:t>Като част от проектите, за които са сключени споразумения за отпускане на безвъзмездна финансова помощ по етап 320 по-горе, се инсталират 10 MW електрически/геотермални термопомпи.</w:t>
            </w:r>
          </w:p>
        </w:tc>
      </w:tr>
      <w:tr w:rsidR="00CE3BAD" w:rsidRPr="00782BF9" w14:paraId="2BDA78C8"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70FCEF5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324</w:t>
            </w:r>
          </w:p>
        </w:tc>
        <w:tc>
          <w:tcPr>
            <w:tcW w:w="1705" w:type="dxa"/>
            <w:tcBorders>
              <w:top w:val="single" w:sz="4" w:space="0" w:color="auto"/>
              <w:left w:val="nil"/>
              <w:bottom w:val="single" w:sz="4" w:space="0" w:color="auto"/>
              <w:right w:val="single" w:sz="4" w:space="0" w:color="auto"/>
            </w:tcBorders>
            <w:shd w:val="clear" w:color="auto" w:fill="C6EFCE"/>
            <w:noWrap/>
          </w:tcPr>
          <w:p w14:paraId="3276D19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К10.И3: Изграждане на производствен капацитет на зелената икономика</w:t>
            </w:r>
          </w:p>
        </w:tc>
        <w:tc>
          <w:tcPr>
            <w:tcW w:w="1330" w:type="dxa"/>
            <w:tcBorders>
              <w:top w:val="single" w:sz="4" w:space="0" w:color="auto"/>
              <w:left w:val="nil"/>
              <w:bottom w:val="single" w:sz="4" w:space="0" w:color="auto"/>
              <w:right w:val="single" w:sz="4" w:space="0" w:color="auto"/>
            </w:tcBorders>
            <w:shd w:val="clear" w:color="auto" w:fill="C6EFCE"/>
            <w:noWrap/>
          </w:tcPr>
          <w:p w14:paraId="13529659"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625E92A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Обявяване на поканата за представяне на предложения за производствен капацитет на зелената икономика</w:t>
            </w:r>
          </w:p>
        </w:tc>
        <w:tc>
          <w:tcPr>
            <w:tcW w:w="1338" w:type="dxa"/>
            <w:tcBorders>
              <w:top w:val="single" w:sz="4" w:space="0" w:color="auto"/>
              <w:left w:val="nil"/>
              <w:bottom w:val="single" w:sz="4" w:space="0" w:color="auto"/>
              <w:right w:val="single" w:sz="4" w:space="0" w:color="auto"/>
            </w:tcBorders>
            <w:shd w:val="clear" w:color="auto" w:fill="C6EFCE"/>
            <w:noWrap/>
          </w:tcPr>
          <w:p w14:paraId="612DAF1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поканата за представяне на предложения на официалния уебсайт на правителството за покани за представяне на предложения</w:t>
            </w:r>
          </w:p>
        </w:tc>
        <w:tc>
          <w:tcPr>
            <w:tcW w:w="1116" w:type="dxa"/>
            <w:tcBorders>
              <w:top w:val="single" w:sz="4" w:space="0" w:color="auto"/>
              <w:left w:val="nil"/>
              <w:bottom w:val="single" w:sz="4" w:space="0" w:color="auto"/>
              <w:right w:val="single" w:sz="4" w:space="0" w:color="auto"/>
            </w:tcBorders>
            <w:shd w:val="clear" w:color="auto" w:fill="C6EFCE"/>
            <w:noWrap/>
          </w:tcPr>
          <w:p w14:paraId="30A3FB8C"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1DF6080C"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029F7434"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3A39991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4EB251D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29FB3B3E"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На уебсайта на правителството за покани за представяне на предложения се публикува покана за представяне на предложения за изграждане на производствен капацитет на зелената икономика. Мандатът на поканата дава възможност на предприятията да подават заявления за една или повече от следните подпомагани дейности:</w:t>
            </w:r>
          </w:p>
          <w:p w14:paraId="261C7698"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 xml:space="preserve">устройства за производство и използване на възобновяема енергия при производството на електрическа и топлинна енергия; </w:t>
            </w:r>
          </w:p>
          <w:p w14:paraId="2CFE5A1F"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 xml:space="preserve">оборудване и продукти за повишаване на енергийната ефективност; </w:t>
            </w:r>
          </w:p>
          <w:p w14:paraId="34D413E1"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 xml:space="preserve">технологии и оборудване за развитие на електроенергийната мрежа и намаляване на емисиите на парникови газове; </w:t>
            </w:r>
          </w:p>
          <w:p w14:paraId="470B768E"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 xml:space="preserve">дейности, свързани с производството на инвертори; </w:t>
            </w:r>
          </w:p>
          <w:p w14:paraId="1DCFFAEF"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 xml:space="preserve">приложения за управление на потреблението (напр. интелигентни измервателни уреди); </w:t>
            </w:r>
          </w:p>
          <w:p w14:paraId="4EDA5207"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 xml:space="preserve">решения за оползотворяване на остатъчната топлина; </w:t>
            </w:r>
          </w:p>
          <w:p w14:paraId="2889C105"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 xml:space="preserve">топлинни помпи; </w:t>
            </w:r>
          </w:p>
          <w:p w14:paraId="47BE9490"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 xml:space="preserve">Технологии за CCUS (включително средствата за изграждане на необходимата инфраструктура); </w:t>
            </w:r>
          </w:p>
          <w:p w14:paraId="7556378B"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 xml:space="preserve">оборудване за производство и използване на биометан и биогаз, ако е съсредоточено върху модернизирането до биометан; </w:t>
            </w:r>
          </w:p>
          <w:p w14:paraId="079DCA88"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оборудване за производство и използване на водород от възобновяеми източници и неговите производни; и че</w:t>
            </w:r>
          </w:p>
          <w:p w14:paraId="4B6F80C6"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устройства и оборудване, свързани с екологосъобразната мобилност (производство на електрически превозни средства с акумулаторни батерии, производство на тежкотоварни превозни средства с висока скорост на водородното гориво, зареждане с електроенергия и производство на оборудване за презареждане с водород).</w:t>
            </w:r>
          </w:p>
          <w:p w14:paraId="0FABFCB5"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Преквалификацията и повишаването на квалификацията за предоставяне на услуги и ИТ приложения, свързани с горепосочените подпомагани дейности, също могат да бъдат подпомагани по мярката.</w:t>
            </w:r>
          </w:p>
          <w:p w14:paraId="540A57E3"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Критериите за допустимост в поканата изискват проектите да постигат прогнозни емисии на парникови газове и да изключват определени дейности в съответствие с условията в описанието на мярката.</w:t>
            </w:r>
          </w:p>
        </w:tc>
      </w:tr>
      <w:tr w:rsidR="00CE3BAD" w:rsidRPr="00782BF9" w14:paraId="5601E0D2"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775857E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325</w:t>
            </w:r>
          </w:p>
        </w:tc>
        <w:tc>
          <w:tcPr>
            <w:tcW w:w="1705" w:type="dxa"/>
            <w:tcBorders>
              <w:top w:val="single" w:sz="4" w:space="0" w:color="auto"/>
              <w:left w:val="nil"/>
              <w:bottom w:val="single" w:sz="4" w:space="0" w:color="auto"/>
              <w:right w:val="single" w:sz="4" w:space="0" w:color="auto"/>
            </w:tcBorders>
            <w:shd w:val="clear" w:color="auto" w:fill="C6EFCE"/>
            <w:noWrap/>
          </w:tcPr>
          <w:p w14:paraId="13317BE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К10.И3: Изграждане на производствен капацитет на зелената икономика</w:t>
            </w:r>
          </w:p>
        </w:tc>
        <w:tc>
          <w:tcPr>
            <w:tcW w:w="1330" w:type="dxa"/>
            <w:tcBorders>
              <w:top w:val="single" w:sz="4" w:space="0" w:color="auto"/>
              <w:left w:val="nil"/>
              <w:bottom w:val="single" w:sz="4" w:space="0" w:color="auto"/>
              <w:right w:val="single" w:sz="4" w:space="0" w:color="auto"/>
            </w:tcBorders>
            <w:shd w:val="clear" w:color="auto" w:fill="C6EFCE"/>
            <w:noWrap/>
          </w:tcPr>
          <w:p w14:paraId="6C6A58DA"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46DF958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Влизане в сила на споразуменията за отпускане на безвъзмездни средства </w:t>
            </w:r>
          </w:p>
        </w:tc>
        <w:tc>
          <w:tcPr>
            <w:tcW w:w="1338" w:type="dxa"/>
            <w:tcBorders>
              <w:top w:val="single" w:sz="4" w:space="0" w:color="auto"/>
              <w:left w:val="nil"/>
              <w:bottom w:val="single" w:sz="4" w:space="0" w:color="auto"/>
              <w:right w:val="single" w:sz="4" w:space="0" w:color="auto"/>
            </w:tcBorders>
            <w:shd w:val="clear" w:color="auto" w:fill="C6EFCE"/>
            <w:noWrap/>
          </w:tcPr>
          <w:p w14:paraId="0A7889C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споразуменията за отпускане на безвъзмездни средства</w:t>
            </w:r>
          </w:p>
        </w:tc>
        <w:tc>
          <w:tcPr>
            <w:tcW w:w="1116" w:type="dxa"/>
            <w:tcBorders>
              <w:top w:val="single" w:sz="4" w:space="0" w:color="auto"/>
              <w:left w:val="nil"/>
              <w:bottom w:val="single" w:sz="4" w:space="0" w:color="auto"/>
              <w:right w:val="single" w:sz="4" w:space="0" w:color="auto"/>
            </w:tcBorders>
            <w:shd w:val="clear" w:color="auto" w:fill="C6EFCE"/>
            <w:noWrap/>
          </w:tcPr>
          <w:p w14:paraId="4D4B5FEE"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5FABFADC"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63C3BC1C"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6714777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Т3 Г.</w:t>
            </w:r>
          </w:p>
        </w:tc>
        <w:tc>
          <w:tcPr>
            <w:tcW w:w="709" w:type="dxa"/>
            <w:tcBorders>
              <w:top w:val="single" w:sz="4" w:space="0" w:color="auto"/>
              <w:left w:val="nil"/>
              <w:bottom w:val="single" w:sz="4" w:space="0" w:color="auto"/>
              <w:right w:val="single" w:sz="4" w:space="0" w:color="auto"/>
            </w:tcBorders>
            <w:shd w:val="clear" w:color="auto" w:fill="C6EFCE"/>
            <w:noWrap/>
          </w:tcPr>
          <w:p w14:paraId="1738867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6E8A984E" w14:textId="1F9D9240" w:rsidR="00CE3BAD" w:rsidRPr="00782BF9" w:rsidRDefault="006B5475">
            <w:pPr>
              <w:pStyle w:val="P68B1DB1-Normal24"/>
              <w:spacing w:before="120" w:after="120" w:line="240" w:lineRule="auto"/>
              <w:jc w:val="both"/>
              <w:rPr>
                <w:rFonts w:eastAsia="Calibri"/>
                <w:noProof/>
                <w:lang w:val="bg-BG"/>
              </w:rPr>
            </w:pPr>
            <w:r w:rsidRPr="00782BF9">
              <w:rPr>
                <w:noProof/>
                <w:lang w:val="bg-BG"/>
              </w:rPr>
              <w:t>Споразуменията за отпускане на безвъзмездни средства за най-малко 35 проекта се сключват и са влезли в сила, като се заделят най-малко 95 % от общия пакет за тази мярка (499 833 000 EUR).</w:t>
            </w:r>
          </w:p>
        </w:tc>
      </w:tr>
      <w:tr w:rsidR="00CE3BAD" w:rsidRPr="00782BF9" w14:paraId="1BFDB547"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11AB52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326</w:t>
            </w:r>
          </w:p>
        </w:tc>
        <w:tc>
          <w:tcPr>
            <w:tcW w:w="1705" w:type="dxa"/>
            <w:tcBorders>
              <w:top w:val="single" w:sz="4" w:space="0" w:color="auto"/>
              <w:left w:val="nil"/>
              <w:bottom w:val="single" w:sz="4" w:space="0" w:color="auto"/>
              <w:right w:val="single" w:sz="4" w:space="0" w:color="auto"/>
            </w:tcBorders>
            <w:shd w:val="clear" w:color="auto" w:fill="C6EFCE"/>
            <w:noWrap/>
          </w:tcPr>
          <w:p w14:paraId="18A3687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К10.И3: Изграждане на производствен капацитет на зелената икономика</w:t>
            </w:r>
          </w:p>
        </w:tc>
        <w:tc>
          <w:tcPr>
            <w:tcW w:w="1330" w:type="dxa"/>
            <w:tcBorders>
              <w:top w:val="single" w:sz="4" w:space="0" w:color="auto"/>
              <w:left w:val="nil"/>
              <w:bottom w:val="single" w:sz="4" w:space="0" w:color="auto"/>
              <w:right w:val="single" w:sz="4" w:space="0" w:color="auto"/>
            </w:tcBorders>
            <w:shd w:val="clear" w:color="auto" w:fill="C6EFCE"/>
            <w:noWrap/>
          </w:tcPr>
          <w:p w14:paraId="4FEC5169"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37FC065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Въвеждане в експлоатация на всички проекти</w:t>
            </w:r>
          </w:p>
        </w:tc>
        <w:tc>
          <w:tcPr>
            <w:tcW w:w="1338" w:type="dxa"/>
            <w:tcBorders>
              <w:top w:val="single" w:sz="4" w:space="0" w:color="auto"/>
              <w:left w:val="nil"/>
              <w:bottom w:val="single" w:sz="4" w:space="0" w:color="auto"/>
              <w:right w:val="single" w:sz="4" w:space="0" w:color="auto"/>
            </w:tcBorders>
            <w:shd w:val="clear" w:color="auto" w:fill="C6EFCE"/>
            <w:noWrap/>
          </w:tcPr>
          <w:p w14:paraId="5A8CA96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Въвеждане в експлоатация на проектите</w:t>
            </w:r>
          </w:p>
        </w:tc>
        <w:tc>
          <w:tcPr>
            <w:tcW w:w="1116" w:type="dxa"/>
            <w:tcBorders>
              <w:top w:val="single" w:sz="4" w:space="0" w:color="auto"/>
              <w:left w:val="nil"/>
              <w:bottom w:val="single" w:sz="4" w:space="0" w:color="auto"/>
              <w:right w:val="single" w:sz="4" w:space="0" w:color="auto"/>
            </w:tcBorders>
            <w:shd w:val="clear" w:color="auto" w:fill="C6EFCE"/>
            <w:noWrap/>
          </w:tcPr>
          <w:p w14:paraId="614B8DD0"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2A8C43A6"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620BFE09"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011D8B1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656DD9C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4249959E"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Всички проекти по схемата трябва да бъдат завършени и да са влезли в употреба.</w:t>
            </w:r>
          </w:p>
        </w:tc>
      </w:tr>
      <w:tr w:rsidR="00CE3BAD" w:rsidRPr="00782BF9" w14:paraId="46C7ED82"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6F20275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327</w:t>
            </w:r>
          </w:p>
        </w:tc>
        <w:tc>
          <w:tcPr>
            <w:tcW w:w="1705" w:type="dxa"/>
            <w:tcBorders>
              <w:top w:val="single" w:sz="4" w:space="0" w:color="auto"/>
              <w:left w:val="nil"/>
              <w:bottom w:val="single" w:sz="4" w:space="0" w:color="auto"/>
              <w:right w:val="single" w:sz="4" w:space="0" w:color="auto"/>
            </w:tcBorders>
            <w:shd w:val="clear" w:color="auto" w:fill="C6EFCE"/>
            <w:noWrap/>
          </w:tcPr>
          <w:p w14:paraId="3F91A6B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К10.И4: Прилагане на екологосъобразни технологии за декарбонизация на промишлеността</w:t>
            </w:r>
          </w:p>
        </w:tc>
        <w:tc>
          <w:tcPr>
            <w:tcW w:w="1330" w:type="dxa"/>
            <w:tcBorders>
              <w:top w:val="single" w:sz="4" w:space="0" w:color="auto"/>
              <w:left w:val="nil"/>
              <w:bottom w:val="single" w:sz="4" w:space="0" w:color="auto"/>
              <w:right w:val="single" w:sz="4" w:space="0" w:color="auto"/>
            </w:tcBorders>
            <w:shd w:val="clear" w:color="auto" w:fill="C6EFCE"/>
            <w:noWrap/>
          </w:tcPr>
          <w:p w14:paraId="51B6B026"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6890759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Отправяне на покана за представяне на предложения за декарбонизация на промишлени проекти</w:t>
            </w:r>
          </w:p>
        </w:tc>
        <w:tc>
          <w:tcPr>
            <w:tcW w:w="1338" w:type="dxa"/>
            <w:tcBorders>
              <w:top w:val="single" w:sz="4" w:space="0" w:color="auto"/>
              <w:left w:val="nil"/>
              <w:bottom w:val="single" w:sz="4" w:space="0" w:color="auto"/>
              <w:right w:val="single" w:sz="4" w:space="0" w:color="auto"/>
            </w:tcBorders>
            <w:shd w:val="clear" w:color="auto" w:fill="C6EFCE"/>
            <w:noWrap/>
          </w:tcPr>
          <w:p w14:paraId="08FB651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поканата за представяне на предложения на официалния уебсайт на правителството за покани за представяне на предложения</w:t>
            </w:r>
          </w:p>
        </w:tc>
        <w:tc>
          <w:tcPr>
            <w:tcW w:w="1116" w:type="dxa"/>
            <w:tcBorders>
              <w:top w:val="single" w:sz="4" w:space="0" w:color="auto"/>
              <w:left w:val="nil"/>
              <w:bottom w:val="single" w:sz="4" w:space="0" w:color="auto"/>
              <w:right w:val="single" w:sz="4" w:space="0" w:color="auto"/>
            </w:tcBorders>
            <w:shd w:val="clear" w:color="auto" w:fill="C6EFCE"/>
            <w:noWrap/>
          </w:tcPr>
          <w:p w14:paraId="2F61F148"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5B722D66"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46447E84"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4CB66D5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0D8D5ED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037C862C"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Покана за представяне на предложения за декарбонизация на промишлени проекти се публикува на уебсайта на правителството за покани за представяне на предложения. Мандатът на поканата дава възможност на предприятията да подават заявления за една или повече от следните подпомагани дейности: </w:t>
            </w:r>
          </w:p>
          <w:p w14:paraId="5B340992"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улавяне и съхранение на въглерод от изкопаеми горива от неизбежни технологични емисии;</w:t>
            </w:r>
          </w:p>
          <w:p w14:paraId="765FF9BB"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улавяне и съхранение на неизкопаем въглерод (био-УСВ) в съответствие с техническите насоки за ненанасяне на значителни вреди (т.е. биоенергия);</w:t>
            </w:r>
          </w:p>
          <w:p w14:paraId="5AFC7703"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проекти за промишлена декарбонизация, при които се използва водород от възобновяеми източници и деривати за дейности, които са 100 % съвместими с водорода, като по избор се включва подкрепа за производството на водород от възобновяеми източници;</w:t>
            </w:r>
          </w:p>
          <w:p w14:paraId="226EA680"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„устойчиви“ мерки за биоенергия (използване на устойчив биометан в съответствие с ДЕВИ II);</w:t>
            </w:r>
          </w:p>
          <w:p w14:paraId="09F6525F"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използване на остатъчна топлина;</w:t>
            </w:r>
          </w:p>
          <w:p w14:paraId="49C2C022"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електрификация, заменяща процесите на енергия от изкопаеми горива;</w:t>
            </w:r>
          </w:p>
          <w:p w14:paraId="4F51A5FA"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замяна на компоненти с по-енергийноефективни такива;</w:t>
            </w:r>
          </w:p>
          <w:p w14:paraId="0A59488E" w14:textId="77777777" w:rsidR="00CE3BAD" w:rsidRPr="00782BF9" w:rsidRDefault="006B5475">
            <w:pPr>
              <w:pStyle w:val="P68B1DB1-Normal24"/>
              <w:numPr>
                <w:ilvl w:val="0"/>
                <w:numId w:val="68"/>
              </w:numPr>
              <w:spacing w:before="120" w:after="120" w:line="240" w:lineRule="auto"/>
              <w:contextualSpacing/>
              <w:jc w:val="both"/>
              <w:rPr>
                <w:rFonts w:eastAsia="Calibri"/>
                <w:noProof/>
                <w:lang w:val="bg-BG"/>
              </w:rPr>
            </w:pPr>
            <w:r w:rsidRPr="00782BF9">
              <w:rPr>
                <w:noProof/>
                <w:lang w:val="bg-BG"/>
              </w:rPr>
              <w:t>ИТ приложения в подкрепа на горепосочените дейности, като например оборудване за мониторинг на емисиите.</w:t>
            </w:r>
          </w:p>
          <w:p w14:paraId="1E41362C"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Критериите за допустимост в поканата изискват проектите да постигат прогнозираните емисии на парникови газове в съответствие с условията в описанието на мярката.</w:t>
            </w:r>
          </w:p>
        </w:tc>
      </w:tr>
      <w:tr w:rsidR="00CE3BAD" w:rsidRPr="00782BF9" w14:paraId="6F2BA47F"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7EEF5E8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328</w:t>
            </w:r>
          </w:p>
        </w:tc>
        <w:tc>
          <w:tcPr>
            <w:tcW w:w="1705" w:type="dxa"/>
            <w:tcBorders>
              <w:top w:val="single" w:sz="4" w:space="0" w:color="auto"/>
              <w:left w:val="nil"/>
              <w:bottom w:val="single" w:sz="4" w:space="0" w:color="auto"/>
              <w:right w:val="single" w:sz="4" w:space="0" w:color="auto"/>
            </w:tcBorders>
            <w:shd w:val="clear" w:color="auto" w:fill="C6EFCE"/>
            <w:noWrap/>
          </w:tcPr>
          <w:p w14:paraId="400B4E9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К10.И4: Прилагане на екологосъобразни технологии за декарбонизация на промишлеността</w:t>
            </w:r>
          </w:p>
        </w:tc>
        <w:tc>
          <w:tcPr>
            <w:tcW w:w="1330" w:type="dxa"/>
            <w:tcBorders>
              <w:top w:val="single" w:sz="4" w:space="0" w:color="auto"/>
              <w:left w:val="nil"/>
              <w:bottom w:val="single" w:sz="4" w:space="0" w:color="auto"/>
              <w:right w:val="single" w:sz="4" w:space="0" w:color="auto"/>
            </w:tcBorders>
            <w:shd w:val="clear" w:color="auto" w:fill="C6EFCE"/>
            <w:noWrap/>
          </w:tcPr>
          <w:p w14:paraId="0CD3E5EF"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3828AFD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Влизане в сила на споразуменията за отпускане на безвъзмездни средства </w:t>
            </w:r>
          </w:p>
        </w:tc>
        <w:tc>
          <w:tcPr>
            <w:tcW w:w="1338" w:type="dxa"/>
            <w:tcBorders>
              <w:top w:val="single" w:sz="4" w:space="0" w:color="auto"/>
              <w:left w:val="nil"/>
              <w:bottom w:val="single" w:sz="4" w:space="0" w:color="auto"/>
              <w:right w:val="single" w:sz="4" w:space="0" w:color="auto"/>
            </w:tcBorders>
            <w:shd w:val="clear" w:color="auto" w:fill="C6EFCE"/>
            <w:noWrap/>
          </w:tcPr>
          <w:p w14:paraId="0BEE461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споразуменията за отпускане на безвъзмездни средства</w:t>
            </w:r>
          </w:p>
        </w:tc>
        <w:tc>
          <w:tcPr>
            <w:tcW w:w="1116" w:type="dxa"/>
            <w:tcBorders>
              <w:top w:val="single" w:sz="4" w:space="0" w:color="auto"/>
              <w:left w:val="nil"/>
              <w:bottom w:val="single" w:sz="4" w:space="0" w:color="auto"/>
              <w:right w:val="single" w:sz="4" w:space="0" w:color="auto"/>
            </w:tcBorders>
            <w:shd w:val="clear" w:color="auto" w:fill="C6EFCE"/>
            <w:noWrap/>
          </w:tcPr>
          <w:p w14:paraId="4F038D50"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56510F4D"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7EC4E39F"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625D451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2F31819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19446036" w14:textId="2A5FE4EE" w:rsidR="00CE3BAD" w:rsidRPr="00782BF9" w:rsidRDefault="006B5475">
            <w:pPr>
              <w:pStyle w:val="P68B1DB1-Normal24"/>
              <w:spacing w:before="120" w:after="120" w:line="240" w:lineRule="auto"/>
              <w:jc w:val="both"/>
              <w:rPr>
                <w:rFonts w:eastAsia="Calibri"/>
                <w:noProof/>
                <w:lang w:val="bg-BG"/>
              </w:rPr>
            </w:pPr>
            <w:r w:rsidRPr="00782BF9">
              <w:rPr>
                <w:noProof/>
                <w:lang w:val="bg-BG"/>
              </w:rPr>
              <w:t>Сключени и влезли са в сила споразумения за отпускане на безвъзмездна финансова помощ, с които са поети задължения за най-малко 95 % от общия пакет за тази мярка (105 963 000 EUR).</w:t>
            </w:r>
          </w:p>
        </w:tc>
      </w:tr>
      <w:tr w:rsidR="00CE3BAD" w:rsidRPr="00782BF9" w14:paraId="76DD0442"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785294C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329</w:t>
            </w:r>
          </w:p>
        </w:tc>
        <w:tc>
          <w:tcPr>
            <w:tcW w:w="1705" w:type="dxa"/>
            <w:tcBorders>
              <w:top w:val="single" w:sz="4" w:space="0" w:color="auto"/>
              <w:left w:val="nil"/>
              <w:bottom w:val="single" w:sz="4" w:space="0" w:color="auto"/>
              <w:right w:val="single" w:sz="4" w:space="0" w:color="auto"/>
            </w:tcBorders>
            <w:shd w:val="clear" w:color="auto" w:fill="C6EFCE"/>
            <w:noWrap/>
          </w:tcPr>
          <w:p w14:paraId="1322347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К10.И4: Прилагане на екологосъобразни технологии за декарбонизация на промишлеността</w:t>
            </w:r>
          </w:p>
        </w:tc>
        <w:tc>
          <w:tcPr>
            <w:tcW w:w="1330" w:type="dxa"/>
            <w:tcBorders>
              <w:top w:val="single" w:sz="4" w:space="0" w:color="auto"/>
              <w:left w:val="nil"/>
              <w:bottom w:val="single" w:sz="4" w:space="0" w:color="auto"/>
              <w:right w:val="single" w:sz="4" w:space="0" w:color="auto"/>
            </w:tcBorders>
            <w:shd w:val="clear" w:color="auto" w:fill="C6EFCE"/>
            <w:noWrap/>
          </w:tcPr>
          <w:p w14:paraId="2244810B"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3917507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Въвеждане в експлоатация на всички проекти за декарбонизация</w:t>
            </w:r>
          </w:p>
        </w:tc>
        <w:tc>
          <w:tcPr>
            <w:tcW w:w="1338" w:type="dxa"/>
            <w:tcBorders>
              <w:top w:val="single" w:sz="4" w:space="0" w:color="auto"/>
              <w:left w:val="nil"/>
              <w:bottom w:val="single" w:sz="4" w:space="0" w:color="auto"/>
              <w:right w:val="single" w:sz="4" w:space="0" w:color="auto"/>
            </w:tcBorders>
            <w:shd w:val="clear" w:color="auto" w:fill="C6EFCE"/>
            <w:noWrap/>
          </w:tcPr>
          <w:p w14:paraId="4E7704C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Въвеждане в експлоатация на проекти</w:t>
            </w:r>
          </w:p>
        </w:tc>
        <w:tc>
          <w:tcPr>
            <w:tcW w:w="1116" w:type="dxa"/>
            <w:tcBorders>
              <w:top w:val="single" w:sz="4" w:space="0" w:color="auto"/>
              <w:left w:val="nil"/>
              <w:bottom w:val="single" w:sz="4" w:space="0" w:color="auto"/>
              <w:right w:val="single" w:sz="4" w:space="0" w:color="auto"/>
            </w:tcBorders>
            <w:shd w:val="clear" w:color="auto" w:fill="C6EFCE"/>
            <w:noWrap/>
          </w:tcPr>
          <w:p w14:paraId="46FE2EF0"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205B8A53"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72D66386"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25B4EF9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29571FB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0E694086" w14:textId="55492594" w:rsidR="00CE3BAD" w:rsidRPr="00782BF9" w:rsidRDefault="006B5475">
            <w:pPr>
              <w:pStyle w:val="P68B1DB1-Normal24"/>
              <w:spacing w:before="120" w:after="120" w:line="240" w:lineRule="auto"/>
              <w:jc w:val="both"/>
              <w:rPr>
                <w:rFonts w:eastAsia="Calibri"/>
                <w:noProof/>
                <w:lang w:val="bg-BG"/>
              </w:rPr>
            </w:pPr>
            <w:r w:rsidRPr="00782BF9">
              <w:rPr>
                <w:noProof/>
                <w:lang w:val="bg-BG"/>
              </w:rPr>
              <w:t>Всички проекти по инвестицията трябва да са завършени и да са влезли в експлоатация. Всеки от проектите трябва да постигне сертифицирано прогнозно намаление на емисиите на парникови газове с най-малко 30 % на равнището на инсталацията.</w:t>
            </w:r>
          </w:p>
        </w:tc>
      </w:tr>
      <w:tr w:rsidR="00CE3BAD" w:rsidRPr="00782BF9" w14:paraId="114167D9"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7F93EEE" w14:textId="1FB820B5" w:rsidR="00CE3BAD" w:rsidRPr="00782BF9" w:rsidRDefault="006B5475">
            <w:pPr>
              <w:pStyle w:val="P68B1DB1-Normal25"/>
              <w:spacing w:before="120" w:after="120" w:line="240" w:lineRule="auto"/>
              <w:jc w:val="center"/>
              <w:rPr>
                <w:noProof/>
                <w:lang w:val="bg-BG"/>
              </w:rPr>
            </w:pPr>
            <w:r w:rsidRPr="00782BF9">
              <w:rPr>
                <w:noProof/>
                <w:lang w:val="bg-BG"/>
              </w:rPr>
              <w:t>330</w:t>
            </w:r>
          </w:p>
        </w:tc>
        <w:tc>
          <w:tcPr>
            <w:tcW w:w="1705" w:type="dxa"/>
            <w:tcBorders>
              <w:top w:val="single" w:sz="4" w:space="0" w:color="auto"/>
              <w:left w:val="nil"/>
              <w:bottom w:val="single" w:sz="4" w:space="0" w:color="auto"/>
              <w:right w:val="single" w:sz="4" w:space="0" w:color="auto"/>
            </w:tcBorders>
            <w:shd w:val="clear" w:color="auto" w:fill="C6EFCE"/>
            <w:noWrap/>
          </w:tcPr>
          <w:p w14:paraId="4FEFFA1D" w14:textId="01C2C99B"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К10.И5: Цифровизация на енергийните дружества</w:t>
            </w:r>
          </w:p>
          <w:p w14:paraId="445B1994" w14:textId="77777777" w:rsidR="00CE3BAD" w:rsidRPr="00782BF9" w:rsidRDefault="00CE3BAD">
            <w:pPr>
              <w:spacing w:before="120" w:after="120" w:line="240" w:lineRule="auto"/>
              <w:jc w:val="center"/>
              <w:rPr>
                <w:rFonts w:eastAsia="Calibri" w:cstheme="minorHAnsi"/>
                <w:noProof/>
                <w:sz w:val="18"/>
                <w:lang w:val="bg-BG"/>
              </w:rPr>
            </w:pPr>
          </w:p>
        </w:tc>
        <w:tc>
          <w:tcPr>
            <w:tcW w:w="1330" w:type="dxa"/>
            <w:tcBorders>
              <w:top w:val="single" w:sz="4" w:space="0" w:color="auto"/>
              <w:left w:val="nil"/>
              <w:bottom w:val="single" w:sz="4" w:space="0" w:color="auto"/>
              <w:right w:val="single" w:sz="4" w:space="0" w:color="auto"/>
            </w:tcBorders>
            <w:shd w:val="clear" w:color="auto" w:fill="C6EFCE"/>
            <w:noWrap/>
          </w:tcPr>
          <w:p w14:paraId="75F123F2"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p w14:paraId="3EFCEB4F" w14:textId="77777777" w:rsidR="00CE3BAD" w:rsidRPr="00782BF9" w:rsidRDefault="00CE3BAD">
            <w:pPr>
              <w:spacing w:before="120" w:after="120" w:line="240" w:lineRule="auto"/>
              <w:rPr>
                <w:rFonts w:eastAsia="Calibri" w:cstheme="minorHAnsi"/>
                <w:noProof/>
                <w:sz w:val="18"/>
                <w:lang w:val="bg-BG"/>
              </w:rPr>
            </w:pPr>
          </w:p>
        </w:tc>
        <w:tc>
          <w:tcPr>
            <w:tcW w:w="1458" w:type="dxa"/>
            <w:tcBorders>
              <w:top w:val="single" w:sz="4" w:space="0" w:color="auto"/>
              <w:left w:val="nil"/>
              <w:bottom w:val="single" w:sz="4" w:space="0" w:color="auto"/>
              <w:right w:val="single" w:sz="4" w:space="0" w:color="auto"/>
            </w:tcBorders>
            <w:shd w:val="clear" w:color="auto" w:fill="C6EFCE"/>
            <w:noWrap/>
          </w:tcPr>
          <w:p w14:paraId="07DBFADD"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Приемане на всеобхватен план за цифровизация в областта на енергетиката</w:t>
            </w:r>
          </w:p>
          <w:p w14:paraId="1D339680" w14:textId="77777777" w:rsidR="00CE3BAD" w:rsidRPr="00782BF9" w:rsidRDefault="00CE3BAD">
            <w:pPr>
              <w:spacing w:before="120" w:after="120" w:line="240" w:lineRule="auto"/>
              <w:jc w:val="center"/>
              <w:rPr>
                <w:rFonts w:eastAsia="Calibri" w:cstheme="minorHAnsi"/>
                <w:noProof/>
                <w:sz w:val="18"/>
                <w:lang w:val="bg-BG"/>
              </w:rPr>
            </w:pPr>
          </w:p>
        </w:tc>
        <w:tc>
          <w:tcPr>
            <w:tcW w:w="1338" w:type="dxa"/>
            <w:tcBorders>
              <w:top w:val="single" w:sz="4" w:space="0" w:color="auto"/>
              <w:left w:val="nil"/>
              <w:bottom w:val="single" w:sz="4" w:space="0" w:color="auto"/>
              <w:right w:val="single" w:sz="4" w:space="0" w:color="auto"/>
            </w:tcBorders>
            <w:shd w:val="clear" w:color="auto" w:fill="C6EFCE"/>
            <w:noWrap/>
          </w:tcPr>
          <w:p w14:paraId="5F21786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Приемане на всеобхватен план за цифровизация в областта на енергетиката</w:t>
            </w:r>
          </w:p>
        </w:tc>
        <w:tc>
          <w:tcPr>
            <w:tcW w:w="1116" w:type="dxa"/>
            <w:tcBorders>
              <w:top w:val="single" w:sz="4" w:space="0" w:color="auto"/>
              <w:left w:val="nil"/>
              <w:bottom w:val="single" w:sz="4" w:space="0" w:color="auto"/>
              <w:right w:val="single" w:sz="4" w:space="0" w:color="auto"/>
            </w:tcBorders>
            <w:shd w:val="clear" w:color="auto" w:fill="C6EFCE"/>
            <w:noWrap/>
          </w:tcPr>
          <w:p w14:paraId="2214E156"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16155286"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4B0B8D96"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1543821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59E29AF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655F3A03" w14:textId="77777777" w:rsidR="00CE3BAD" w:rsidRPr="00782BF9" w:rsidRDefault="006B5475">
            <w:pPr>
              <w:pStyle w:val="P68B1DB1-Normal24"/>
              <w:spacing w:before="120" w:after="0" w:line="240" w:lineRule="auto"/>
              <w:jc w:val="both"/>
              <w:rPr>
                <w:rFonts w:eastAsia="Times New Roman"/>
                <w:noProof/>
                <w:lang w:val="bg-BG"/>
              </w:rPr>
            </w:pPr>
            <w:r w:rsidRPr="00782BF9">
              <w:rPr>
                <w:noProof/>
                <w:lang w:val="bg-BG"/>
              </w:rPr>
              <w:t xml:space="preserve"> В план — под формата на диаграма и/или текстово описание — се посочва как ще се надгражда инвестицията по тази мярка и по DROP Plus за периода 2.1.1—2.3.1 г. Това включва следната информация на обобщено ниво за системите, които ще бъдат финансирани от тези два източника: системите, които трябва да бъдат внедрени, вида на събраните и/или управляваните данни (ако е приложимо), метода за събиране на данни (ако е приложимо), движението на данните между системите, които ще бъдат внедрени, и повторното използване на данните (ако е приложимо), съществуващите системи, които ще бъдат заменени или използвани заедно с нововъведените системи.</w:t>
            </w:r>
          </w:p>
        </w:tc>
      </w:tr>
      <w:tr w:rsidR="00CE3BAD" w:rsidRPr="00782BF9" w14:paraId="34BE1AD7"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539B2BF" w14:textId="28BCE406" w:rsidR="00CE3BAD" w:rsidRPr="00782BF9" w:rsidRDefault="006B5475">
            <w:pPr>
              <w:pStyle w:val="P68B1DB1-Normal24"/>
              <w:spacing w:before="120" w:after="120" w:line="240" w:lineRule="auto"/>
              <w:jc w:val="center"/>
              <w:rPr>
                <w:rFonts w:eastAsia="Calibri"/>
                <w:noProof/>
                <w:lang w:val="bg-BG"/>
              </w:rPr>
            </w:pPr>
            <w:r w:rsidRPr="00782BF9">
              <w:rPr>
                <w:noProof/>
                <w:lang w:val="bg-BG"/>
              </w:rPr>
              <w:t>331</w:t>
            </w:r>
          </w:p>
        </w:tc>
        <w:tc>
          <w:tcPr>
            <w:tcW w:w="1705" w:type="dxa"/>
            <w:tcBorders>
              <w:top w:val="single" w:sz="4" w:space="0" w:color="auto"/>
              <w:left w:val="nil"/>
              <w:bottom w:val="single" w:sz="4" w:space="0" w:color="auto"/>
              <w:right w:val="single" w:sz="4" w:space="0" w:color="auto"/>
            </w:tcBorders>
            <w:shd w:val="clear" w:color="auto" w:fill="C6EFCE"/>
            <w:noWrap/>
          </w:tcPr>
          <w:p w14:paraId="618B04B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К10.И5: Цифровизация на енергийните дружества</w:t>
            </w:r>
          </w:p>
        </w:tc>
        <w:tc>
          <w:tcPr>
            <w:tcW w:w="1330" w:type="dxa"/>
            <w:tcBorders>
              <w:top w:val="single" w:sz="4" w:space="0" w:color="auto"/>
              <w:left w:val="nil"/>
              <w:bottom w:val="single" w:sz="4" w:space="0" w:color="auto"/>
              <w:right w:val="single" w:sz="4" w:space="0" w:color="auto"/>
            </w:tcBorders>
            <w:shd w:val="clear" w:color="auto" w:fill="C6EFCE"/>
            <w:noWrap/>
          </w:tcPr>
          <w:p w14:paraId="2D414E61"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3D68ADEA"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Отправяне на покана за представяне на предложения за развитие на цифровите технологии в енергийните дружества</w:t>
            </w:r>
          </w:p>
        </w:tc>
        <w:tc>
          <w:tcPr>
            <w:tcW w:w="1338" w:type="dxa"/>
            <w:tcBorders>
              <w:top w:val="single" w:sz="4" w:space="0" w:color="auto"/>
              <w:left w:val="nil"/>
              <w:bottom w:val="single" w:sz="4" w:space="0" w:color="auto"/>
              <w:right w:val="single" w:sz="4" w:space="0" w:color="auto"/>
            </w:tcBorders>
            <w:shd w:val="clear" w:color="auto" w:fill="C6EFCE"/>
            <w:noWrap/>
          </w:tcPr>
          <w:p w14:paraId="73E4B93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поканата за представяне на предложения на официалния уебсайт на правителството за покани за представяне на предложения</w:t>
            </w:r>
          </w:p>
          <w:p w14:paraId="28A1FFDF"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69E1CAC7"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162D1A0C"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5B4D0B76"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35BD842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4284E28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7EF24A1F" w14:textId="77777777" w:rsidR="00CE3BAD" w:rsidRPr="00782BF9" w:rsidRDefault="006B5475">
            <w:pPr>
              <w:pStyle w:val="P68B1DB1-Normal24"/>
              <w:spacing w:after="120" w:line="240" w:lineRule="auto"/>
              <w:jc w:val="both"/>
              <w:rPr>
                <w:rFonts w:eastAsia="MS Mincho"/>
                <w:noProof/>
                <w:lang w:val="bg-BG"/>
              </w:rPr>
            </w:pPr>
            <w:r w:rsidRPr="00782BF9">
              <w:rPr>
                <w:noProof/>
                <w:lang w:val="bg-BG"/>
              </w:rPr>
              <w:t xml:space="preserve">Отправя се покана за представяне на предложения за развитие на цифровите технологии в енергийните дружества. </w:t>
            </w:r>
          </w:p>
          <w:p w14:paraId="3012909B" w14:textId="77777777" w:rsidR="00CE3BAD" w:rsidRPr="00782BF9" w:rsidRDefault="006B5475">
            <w:pPr>
              <w:pStyle w:val="P68B1DB1-Normal24"/>
              <w:spacing w:after="120" w:line="240" w:lineRule="auto"/>
              <w:jc w:val="both"/>
              <w:rPr>
                <w:rFonts w:eastAsia="MS Mincho"/>
                <w:noProof/>
                <w:lang w:val="bg-BG"/>
              </w:rPr>
            </w:pPr>
            <w:r w:rsidRPr="00782BF9">
              <w:rPr>
                <w:noProof/>
                <w:lang w:val="bg-BG"/>
              </w:rPr>
              <w:t>В поканата се описват основните елементи на цифровото развитие, които могат да бъдат подкрепени, като например цифрови подобрения, които подпомагат сигурността на енергийните услуги, ИТ активи, подобрения на киберсигурността, оперативни, управленски и бизнес процеси, включително управление на електроцентрали и подобрения на технологиите за контрол на производителите на електроенергия и цифровизация на обслужването на клиентите.</w:t>
            </w:r>
          </w:p>
          <w:p w14:paraId="53426233"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Критериите за допустимост в поканата изискват проектите да постигат прогнозираните емисии на парникови газове в съответствие с условията в описанието на мярката.</w:t>
            </w:r>
          </w:p>
        </w:tc>
      </w:tr>
      <w:tr w:rsidR="00CE3BAD" w:rsidRPr="00782BF9" w14:paraId="03F824B3"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7C187B8D" w14:textId="7184942B" w:rsidR="00CE3BAD" w:rsidRPr="00782BF9" w:rsidRDefault="006B5475">
            <w:pPr>
              <w:pStyle w:val="P68B1DB1-Normal24"/>
              <w:spacing w:before="120" w:after="120" w:line="240" w:lineRule="auto"/>
              <w:jc w:val="center"/>
              <w:rPr>
                <w:rFonts w:eastAsia="Calibri"/>
                <w:noProof/>
                <w:lang w:val="bg-BG"/>
              </w:rPr>
            </w:pPr>
            <w:r w:rsidRPr="00782BF9">
              <w:rPr>
                <w:noProof/>
                <w:lang w:val="bg-BG"/>
              </w:rPr>
              <w:t>332</w:t>
            </w:r>
          </w:p>
        </w:tc>
        <w:tc>
          <w:tcPr>
            <w:tcW w:w="1705" w:type="dxa"/>
            <w:tcBorders>
              <w:top w:val="single" w:sz="4" w:space="0" w:color="auto"/>
              <w:left w:val="nil"/>
              <w:bottom w:val="single" w:sz="4" w:space="0" w:color="auto"/>
              <w:right w:val="single" w:sz="4" w:space="0" w:color="auto"/>
            </w:tcBorders>
            <w:shd w:val="clear" w:color="auto" w:fill="C6EFCE"/>
            <w:noWrap/>
          </w:tcPr>
          <w:p w14:paraId="5248BB1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К10.И5: Цифровизация на енергийните дружества</w:t>
            </w:r>
          </w:p>
          <w:p w14:paraId="4B3D7C47" w14:textId="77777777" w:rsidR="00CE3BAD" w:rsidRPr="00782BF9" w:rsidRDefault="00CE3BAD">
            <w:pPr>
              <w:spacing w:before="120" w:after="120" w:line="240" w:lineRule="auto"/>
              <w:jc w:val="center"/>
              <w:rPr>
                <w:rFonts w:eastAsia="Calibri" w:cstheme="minorHAnsi"/>
                <w:noProof/>
                <w:sz w:val="18"/>
                <w:lang w:val="bg-BG"/>
              </w:rPr>
            </w:pPr>
          </w:p>
        </w:tc>
        <w:tc>
          <w:tcPr>
            <w:tcW w:w="1330" w:type="dxa"/>
            <w:tcBorders>
              <w:top w:val="single" w:sz="4" w:space="0" w:color="auto"/>
              <w:left w:val="nil"/>
              <w:bottom w:val="single" w:sz="4" w:space="0" w:color="auto"/>
              <w:right w:val="single" w:sz="4" w:space="0" w:color="auto"/>
            </w:tcBorders>
            <w:shd w:val="clear" w:color="auto" w:fill="C6EFCE"/>
            <w:noWrap/>
          </w:tcPr>
          <w:p w14:paraId="10D5885D"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 xml:space="preserve">Ключов етап </w:t>
            </w:r>
          </w:p>
        </w:tc>
        <w:tc>
          <w:tcPr>
            <w:tcW w:w="1458" w:type="dxa"/>
            <w:tcBorders>
              <w:top w:val="single" w:sz="4" w:space="0" w:color="auto"/>
              <w:left w:val="nil"/>
              <w:bottom w:val="single" w:sz="4" w:space="0" w:color="auto"/>
              <w:right w:val="single" w:sz="4" w:space="0" w:color="auto"/>
            </w:tcBorders>
            <w:shd w:val="clear" w:color="auto" w:fill="C6EFCE"/>
            <w:noWrap/>
          </w:tcPr>
          <w:p w14:paraId="6ADCFFB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всички споразумения за отпускане на безвъзмездни средства за подпомагане на развитието на цифровите технологии в енергийните предприятия</w:t>
            </w:r>
          </w:p>
        </w:tc>
        <w:tc>
          <w:tcPr>
            <w:tcW w:w="1338" w:type="dxa"/>
            <w:tcBorders>
              <w:top w:val="single" w:sz="4" w:space="0" w:color="auto"/>
              <w:left w:val="nil"/>
              <w:bottom w:val="single" w:sz="4" w:space="0" w:color="auto"/>
              <w:right w:val="single" w:sz="4" w:space="0" w:color="auto"/>
            </w:tcBorders>
            <w:shd w:val="clear" w:color="auto" w:fill="C6EFCE"/>
            <w:noWrap/>
          </w:tcPr>
          <w:p w14:paraId="3B4B2EE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споразуменията за отпускане на безвъзмездни средства</w:t>
            </w:r>
          </w:p>
        </w:tc>
        <w:tc>
          <w:tcPr>
            <w:tcW w:w="1116" w:type="dxa"/>
            <w:tcBorders>
              <w:top w:val="single" w:sz="4" w:space="0" w:color="auto"/>
              <w:left w:val="nil"/>
              <w:bottom w:val="single" w:sz="4" w:space="0" w:color="auto"/>
              <w:right w:val="single" w:sz="4" w:space="0" w:color="auto"/>
            </w:tcBorders>
            <w:shd w:val="clear" w:color="auto" w:fill="C6EFCE"/>
            <w:noWrap/>
          </w:tcPr>
          <w:p w14:paraId="4E542851"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0D9B8CB0"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2370E693"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3D4A567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67E2FA0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099DC0BF" w14:textId="4DEF3D00"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Споразуменията за отпускане на безвъзмездни средства влизат в сила за всички проекти, избрани в рамките на поканата за представяне на предложения, посочена в етап 331.</w:t>
            </w:r>
          </w:p>
        </w:tc>
      </w:tr>
      <w:tr w:rsidR="00CE3BAD" w:rsidRPr="00782BF9" w14:paraId="4020C0F8"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61A49B2D" w14:textId="06352C3D" w:rsidR="00CE3BAD" w:rsidRPr="00782BF9" w:rsidRDefault="006B5475">
            <w:pPr>
              <w:pStyle w:val="P68B1DB1-Normal24"/>
              <w:spacing w:before="120" w:after="120" w:line="240" w:lineRule="auto"/>
              <w:jc w:val="center"/>
              <w:rPr>
                <w:rFonts w:eastAsia="Calibri"/>
                <w:noProof/>
                <w:lang w:val="bg-BG"/>
              </w:rPr>
            </w:pPr>
            <w:r w:rsidRPr="00782BF9">
              <w:rPr>
                <w:noProof/>
                <w:lang w:val="bg-BG"/>
              </w:rPr>
              <w:t>333</w:t>
            </w:r>
          </w:p>
        </w:tc>
        <w:tc>
          <w:tcPr>
            <w:tcW w:w="1705" w:type="dxa"/>
            <w:tcBorders>
              <w:top w:val="single" w:sz="4" w:space="0" w:color="auto"/>
              <w:left w:val="nil"/>
              <w:bottom w:val="single" w:sz="4" w:space="0" w:color="auto"/>
              <w:right w:val="single" w:sz="4" w:space="0" w:color="auto"/>
            </w:tcBorders>
            <w:shd w:val="clear" w:color="auto" w:fill="C6EFCE"/>
            <w:noWrap/>
          </w:tcPr>
          <w:p w14:paraId="02E1F76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К10.И5: Цифровизация на енергийните дружества</w:t>
            </w:r>
          </w:p>
          <w:p w14:paraId="31DBD22D" w14:textId="77777777" w:rsidR="00CE3BAD" w:rsidRPr="00782BF9" w:rsidRDefault="00CE3BAD">
            <w:pPr>
              <w:spacing w:before="120" w:after="120" w:line="240" w:lineRule="auto"/>
              <w:jc w:val="center"/>
              <w:rPr>
                <w:rFonts w:eastAsia="Calibri" w:cstheme="minorHAnsi"/>
                <w:noProof/>
                <w:sz w:val="18"/>
                <w:lang w:val="bg-BG"/>
              </w:rPr>
            </w:pPr>
          </w:p>
        </w:tc>
        <w:tc>
          <w:tcPr>
            <w:tcW w:w="1330" w:type="dxa"/>
            <w:tcBorders>
              <w:top w:val="single" w:sz="4" w:space="0" w:color="auto"/>
              <w:left w:val="nil"/>
              <w:bottom w:val="single" w:sz="4" w:space="0" w:color="auto"/>
              <w:right w:val="single" w:sz="4" w:space="0" w:color="auto"/>
            </w:tcBorders>
            <w:shd w:val="clear" w:color="auto" w:fill="C6EFCE"/>
            <w:noWrap/>
          </w:tcPr>
          <w:p w14:paraId="591AD9F2"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7628025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Цифрови решения в подкрепа на функционирането на енергийните системи и услуги, въведени в експлоатация</w:t>
            </w:r>
          </w:p>
        </w:tc>
        <w:tc>
          <w:tcPr>
            <w:tcW w:w="1338" w:type="dxa"/>
            <w:tcBorders>
              <w:top w:val="single" w:sz="4" w:space="0" w:color="auto"/>
              <w:left w:val="nil"/>
              <w:bottom w:val="single" w:sz="4" w:space="0" w:color="auto"/>
              <w:right w:val="single" w:sz="4" w:space="0" w:color="auto"/>
            </w:tcBorders>
            <w:shd w:val="clear" w:color="auto" w:fill="C6EFCE"/>
            <w:noWrap/>
          </w:tcPr>
          <w:p w14:paraId="77EE8CE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Въвеждане в експлоатация на всички проекти</w:t>
            </w:r>
          </w:p>
        </w:tc>
        <w:tc>
          <w:tcPr>
            <w:tcW w:w="1116" w:type="dxa"/>
            <w:tcBorders>
              <w:top w:val="single" w:sz="4" w:space="0" w:color="auto"/>
              <w:left w:val="nil"/>
              <w:bottom w:val="single" w:sz="4" w:space="0" w:color="auto"/>
              <w:right w:val="single" w:sz="4" w:space="0" w:color="auto"/>
            </w:tcBorders>
            <w:shd w:val="clear" w:color="auto" w:fill="C6EFCE"/>
            <w:noWrap/>
          </w:tcPr>
          <w:p w14:paraId="159FACD2"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29B5AB5D"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397BD5AB"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5EC0D48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26A5AC2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3CCA836D" w14:textId="743F5FB8" w:rsidR="00CE3BAD" w:rsidRPr="00782BF9" w:rsidRDefault="006B5475">
            <w:pPr>
              <w:pStyle w:val="P68B1DB1-Normal24"/>
              <w:spacing w:before="120" w:after="120" w:line="240" w:lineRule="auto"/>
              <w:jc w:val="both"/>
              <w:rPr>
                <w:rFonts w:eastAsia="MS Mincho"/>
                <w:noProof/>
                <w:lang w:val="bg-BG"/>
              </w:rPr>
            </w:pPr>
            <w:r w:rsidRPr="00782BF9">
              <w:rPr>
                <w:noProof/>
                <w:lang w:val="bg-BG"/>
              </w:rPr>
              <w:t>Всички проекти в рамките на инвестицията, която се състои от най-малко 35 цифрови решения в подкрепа на функционирането на енергийните системи и услуги като част от проектите, избрани в рамките на поканата, посочена в етап 331, се пускат в действие в енергийните дружества.</w:t>
            </w:r>
          </w:p>
        </w:tc>
      </w:tr>
      <w:tr w:rsidR="00CE3BAD" w:rsidRPr="00782BF9" w14:paraId="3F093398"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397B1CD" w14:textId="40EEC1F4" w:rsidR="00CE3BAD" w:rsidRPr="00782BF9" w:rsidRDefault="006B5475">
            <w:pPr>
              <w:pStyle w:val="P68B1DB1-Normal24"/>
              <w:spacing w:before="120" w:after="120" w:line="240" w:lineRule="auto"/>
              <w:jc w:val="center"/>
              <w:rPr>
                <w:rFonts w:eastAsia="Calibri"/>
                <w:noProof/>
                <w:lang w:val="bg-BG"/>
              </w:rPr>
            </w:pPr>
            <w:r w:rsidRPr="00782BF9">
              <w:rPr>
                <w:noProof/>
                <w:lang w:val="bg-BG"/>
              </w:rPr>
              <w:t>334</w:t>
            </w:r>
          </w:p>
        </w:tc>
        <w:tc>
          <w:tcPr>
            <w:tcW w:w="1705" w:type="dxa"/>
            <w:tcBorders>
              <w:top w:val="single" w:sz="4" w:space="0" w:color="auto"/>
              <w:left w:val="nil"/>
              <w:bottom w:val="single" w:sz="4" w:space="0" w:color="auto"/>
              <w:right w:val="single" w:sz="4" w:space="0" w:color="auto"/>
            </w:tcBorders>
            <w:shd w:val="clear" w:color="auto" w:fill="C6EFCE"/>
            <w:noWrap/>
          </w:tcPr>
          <w:p w14:paraId="2D8CD8C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К10.И6: Инвестиции във водород</w:t>
            </w:r>
          </w:p>
        </w:tc>
        <w:tc>
          <w:tcPr>
            <w:tcW w:w="1330" w:type="dxa"/>
            <w:tcBorders>
              <w:top w:val="single" w:sz="4" w:space="0" w:color="auto"/>
              <w:left w:val="nil"/>
              <w:bottom w:val="single" w:sz="4" w:space="0" w:color="auto"/>
              <w:right w:val="single" w:sz="4" w:space="0" w:color="auto"/>
            </w:tcBorders>
            <w:shd w:val="clear" w:color="auto" w:fill="C6EFCE"/>
            <w:noWrap/>
          </w:tcPr>
          <w:p w14:paraId="0F65BCFD"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4D0FF633" w14:textId="77777777" w:rsidR="00CE3BAD" w:rsidRPr="00782BF9" w:rsidRDefault="006B5475">
            <w:pPr>
              <w:pStyle w:val="P68B1DB1-Normal24"/>
              <w:spacing w:before="120" w:after="120" w:line="240" w:lineRule="auto"/>
              <w:jc w:val="center"/>
              <w:rPr>
                <w:rFonts w:eastAsia="MS Mincho"/>
                <w:noProof/>
                <w:lang w:val="bg-BG"/>
              </w:rPr>
            </w:pPr>
            <w:r w:rsidRPr="00782BF9">
              <w:rPr>
                <w:noProof/>
                <w:lang w:val="bg-BG"/>
              </w:rPr>
              <w:t>Разпределение на крайните получатели на превозни средства, работещи с водород</w:t>
            </w:r>
          </w:p>
        </w:tc>
        <w:tc>
          <w:tcPr>
            <w:tcW w:w="1338" w:type="dxa"/>
            <w:tcBorders>
              <w:top w:val="single" w:sz="4" w:space="0" w:color="auto"/>
              <w:left w:val="nil"/>
              <w:bottom w:val="single" w:sz="4" w:space="0" w:color="auto"/>
              <w:right w:val="single" w:sz="4" w:space="0" w:color="auto"/>
            </w:tcBorders>
            <w:shd w:val="clear" w:color="auto" w:fill="C6EFCE"/>
            <w:noWrap/>
          </w:tcPr>
          <w:p w14:paraId="7864D685"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4F869DE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Брой </w:t>
            </w:r>
          </w:p>
        </w:tc>
        <w:tc>
          <w:tcPr>
            <w:tcW w:w="877" w:type="dxa"/>
            <w:tcBorders>
              <w:top w:val="single" w:sz="4" w:space="0" w:color="auto"/>
              <w:left w:val="nil"/>
              <w:bottom w:val="single" w:sz="4" w:space="0" w:color="auto"/>
              <w:right w:val="single" w:sz="4" w:space="0" w:color="auto"/>
            </w:tcBorders>
            <w:shd w:val="clear" w:color="auto" w:fill="C6EFCE"/>
            <w:noWrap/>
          </w:tcPr>
          <w:p w14:paraId="7A64B53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048889A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10</w:t>
            </w:r>
          </w:p>
        </w:tc>
        <w:tc>
          <w:tcPr>
            <w:tcW w:w="850" w:type="dxa"/>
            <w:tcBorders>
              <w:top w:val="single" w:sz="4" w:space="0" w:color="auto"/>
              <w:left w:val="nil"/>
              <w:bottom w:val="single" w:sz="4" w:space="0" w:color="auto"/>
              <w:right w:val="single" w:sz="4" w:space="0" w:color="auto"/>
            </w:tcBorders>
            <w:shd w:val="clear" w:color="auto" w:fill="C6EFCE"/>
            <w:noWrap/>
          </w:tcPr>
          <w:p w14:paraId="05146AD0" w14:textId="77777777" w:rsidR="00CE3BAD" w:rsidRPr="00782BF9" w:rsidRDefault="006B5475">
            <w:pPr>
              <w:pStyle w:val="P68B1DB1-Normal24"/>
              <w:spacing w:before="120" w:after="120" w:line="240" w:lineRule="auto"/>
              <w:ind w:right="60"/>
              <w:jc w:val="center"/>
              <w:rPr>
                <w:rFonts w:eastAsia="Calibri"/>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noWrap/>
          </w:tcPr>
          <w:p w14:paraId="7B525D1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4111" w:type="dxa"/>
            <w:tcBorders>
              <w:top w:val="single" w:sz="4" w:space="0" w:color="auto"/>
              <w:left w:val="nil"/>
              <w:bottom w:val="single" w:sz="4" w:space="0" w:color="auto"/>
              <w:right w:val="single" w:sz="4" w:space="0" w:color="auto"/>
            </w:tcBorders>
            <w:shd w:val="clear" w:color="auto" w:fill="C6EFCE"/>
            <w:noWrap/>
          </w:tcPr>
          <w:p w14:paraId="21C93529"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Най-малко 10 автобуса, работещи с водородно гориво (категория M3), се закупуват и разпределят на крайните получатели, избрани чрез покана за представяне на предложения.</w:t>
            </w:r>
          </w:p>
        </w:tc>
      </w:tr>
      <w:tr w:rsidR="00CE3BAD" w:rsidRPr="00782BF9" w14:paraId="5465CE5D"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5F0D35EB" w14:textId="22938469" w:rsidR="00CE3BAD" w:rsidRPr="00782BF9" w:rsidRDefault="006B5475">
            <w:pPr>
              <w:pStyle w:val="P68B1DB1-Normal24"/>
              <w:spacing w:before="120" w:after="120" w:line="240" w:lineRule="auto"/>
              <w:jc w:val="center"/>
              <w:rPr>
                <w:rFonts w:eastAsia="Calibri"/>
                <w:noProof/>
                <w:lang w:val="bg-BG"/>
              </w:rPr>
            </w:pPr>
            <w:r w:rsidRPr="00782BF9">
              <w:rPr>
                <w:noProof/>
                <w:lang w:val="bg-BG"/>
              </w:rPr>
              <w:t>335</w:t>
            </w:r>
          </w:p>
        </w:tc>
        <w:tc>
          <w:tcPr>
            <w:tcW w:w="1705" w:type="dxa"/>
            <w:tcBorders>
              <w:top w:val="single" w:sz="4" w:space="0" w:color="auto"/>
              <w:left w:val="nil"/>
              <w:bottom w:val="single" w:sz="4" w:space="0" w:color="auto"/>
              <w:right w:val="single" w:sz="4" w:space="0" w:color="auto"/>
            </w:tcBorders>
            <w:shd w:val="clear" w:color="auto" w:fill="C6EFCE"/>
            <w:noWrap/>
          </w:tcPr>
          <w:p w14:paraId="18DA613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К10.И6: Инвестиции във водород</w:t>
            </w:r>
          </w:p>
        </w:tc>
        <w:tc>
          <w:tcPr>
            <w:tcW w:w="1330" w:type="dxa"/>
            <w:tcBorders>
              <w:top w:val="single" w:sz="4" w:space="0" w:color="auto"/>
              <w:left w:val="nil"/>
              <w:bottom w:val="single" w:sz="4" w:space="0" w:color="auto"/>
              <w:right w:val="single" w:sz="4" w:space="0" w:color="auto"/>
            </w:tcBorders>
            <w:shd w:val="clear" w:color="auto" w:fill="C6EFCE"/>
            <w:noWrap/>
          </w:tcPr>
          <w:p w14:paraId="0CCF996D"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133DB168" w14:textId="77777777" w:rsidR="00CE3BAD" w:rsidRPr="00782BF9" w:rsidRDefault="006B5475">
            <w:pPr>
              <w:pStyle w:val="P68B1DB1-Normal24"/>
              <w:spacing w:before="120" w:after="120" w:line="240" w:lineRule="auto"/>
              <w:jc w:val="center"/>
              <w:rPr>
                <w:rFonts w:eastAsia="MS Mincho"/>
                <w:noProof/>
                <w:lang w:val="bg-BG"/>
              </w:rPr>
            </w:pPr>
            <w:r w:rsidRPr="00782BF9">
              <w:rPr>
                <w:noProof/>
                <w:lang w:val="bg-BG"/>
              </w:rPr>
              <w:t>Разпределение на крайните получатели на превозни средства, работещи с водород</w:t>
            </w:r>
          </w:p>
        </w:tc>
        <w:tc>
          <w:tcPr>
            <w:tcW w:w="1338" w:type="dxa"/>
            <w:tcBorders>
              <w:top w:val="single" w:sz="4" w:space="0" w:color="auto"/>
              <w:left w:val="nil"/>
              <w:bottom w:val="single" w:sz="4" w:space="0" w:color="auto"/>
              <w:right w:val="single" w:sz="4" w:space="0" w:color="auto"/>
            </w:tcBorders>
            <w:shd w:val="clear" w:color="auto" w:fill="C6EFCE"/>
            <w:noWrap/>
          </w:tcPr>
          <w:p w14:paraId="40CBAF35"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610D689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Брой </w:t>
            </w:r>
          </w:p>
        </w:tc>
        <w:tc>
          <w:tcPr>
            <w:tcW w:w="877" w:type="dxa"/>
            <w:tcBorders>
              <w:top w:val="single" w:sz="4" w:space="0" w:color="auto"/>
              <w:left w:val="nil"/>
              <w:bottom w:val="single" w:sz="4" w:space="0" w:color="auto"/>
              <w:right w:val="single" w:sz="4" w:space="0" w:color="auto"/>
            </w:tcBorders>
            <w:shd w:val="clear" w:color="auto" w:fill="C6EFCE"/>
            <w:noWrap/>
          </w:tcPr>
          <w:p w14:paraId="5A71FE4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10</w:t>
            </w:r>
          </w:p>
        </w:tc>
        <w:tc>
          <w:tcPr>
            <w:tcW w:w="1559" w:type="dxa"/>
            <w:tcBorders>
              <w:top w:val="single" w:sz="4" w:space="0" w:color="auto"/>
              <w:left w:val="nil"/>
              <w:bottom w:val="single" w:sz="4" w:space="0" w:color="auto"/>
              <w:right w:val="single" w:sz="4" w:space="0" w:color="auto"/>
            </w:tcBorders>
            <w:shd w:val="clear" w:color="auto" w:fill="C6EFCE"/>
            <w:noWrap/>
          </w:tcPr>
          <w:p w14:paraId="62350E6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47</w:t>
            </w:r>
          </w:p>
        </w:tc>
        <w:tc>
          <w:tcPr>
            <w:tcW w:w="850" w:type="dxa"/>
            <w:tcBorders>
              <w:top w:val="single" w:sz="4" w:space="0" w:color="auto"/>
              <w:left w:val="nil"/>
              <w:bottom w:val="single" w:sz="4" w:space="0" w:color="auto"/>
              <w:right w:val="single" w:sz="4" w:space="0" w:color="auto"/>
            </w:tcBorders>
            <w:shd w:val="clear" w:color="auto" w:fill="C6EFCE"/>
            <w:noWrap/>
          </w:tcPr>
          <w:p w14:paraId="2876AE7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6C0F8FF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2C124820"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Закупуват се най-малко 7 тежкотоварни и лекотоварни превозни средства, работещи с водород (категории N1/N2/N3), и допълнителни 30 автобуса, работещи с водородно гориво (категория M3), и се разпределят сред крайните получатели, избрани чрез покана за представяне на предложения.</w:t>
            </w:r>
          </w:p>
        </w:tc>
      </w:tr>
      <w:tr w:rsidR="00CE3BAD" w:rsidRPr="00782BF9" w14:paraId="61CD6B70"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60AA9E59" w14:textId="104B70A9" w:rsidR="00CE3BAD" w:rsidRPr="00782BF9" w:rsidRDefault="006B5475">
            <w:pPr>
              <w:pStyle w:val="P68B1DB1-Normal24"/>
              <w:spacing w:before="120" w:after="120" w:line="240" w:lineRule="auto"/>
              <w:jc w:val="center"/>
              <w:rPr>
                <w:rFonts w:eastAsia="Calibri"/>
                <w:noProof/>
                <w:lang w:val="bg-BG"/>
              </w:rPr>
            </w:pPr>
            <w:r w:rsidRPr="00782BF9">
              <w:rPr>
                <w:noProof/>
                <w:lang w:val="bg-BG"/>
              </w:rPr>
              <w:t>336</w:t>
            </w:r>
          </w:p>
        </w:tc>
        <w:tc>
          <w:tcPr>
            <w:tcW w:w="1705" w:type="dxa"/>
            <w:tcBorders>
              <w:top w:val="single" w:sz="4" w:space="0" w:color="auto"/>
              <w:left w:val="nil"/>
              <w:bottom w:val="single" w:sz="4" w:space="0" w:color="auto"/>
              <w:right w:val="single" w:sz="4" w:space="0" w:color="auto"/>
            </w:tcBorders>
            <w:shd w:val="clear" w:color="auto" w:fill="C6EFCE"/>
            <w:noWrap/>
          </w:tcPr>
          <w:p w14:paraId="0C89B10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К10.И6: Инвестиции във водород</w:t>
            </w:r>
          </w:p>
        </w:tc>
        <w:tc>
          <w:tcPr>
            <w:tcW w:w="1330" w:type="dxa"/>
            <w:tcBorders>
              <w:top w:val="single" w:sz="4" w:space="0" w:color="auto"/>
              <w:left w:val="nil"/>
              <w:bottom w:val="single" w:sz="4" w:space="0" w:color="auto"/>
              <w:right w:val="single" w:sz="4" w:space="0" w:color="auto"/>
            </w:tcBorders>
            <w:shd w:val="clear" w:color="auto" w:fill="C6EFCE"/>
            <w:noWrap/>
          </w:tcPr>
          <w:p w14:paraId="1957F95C"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5F060647" w14:textId="77777777" w:rsidR="00CE3BAD" w:rsidRPr="00782BF9" w:rsidRDefault="006B5475">
            <w:pPr>
              <w:pStyle w:val="P68B1DB1-Normal24"/>
              <w:spacing w:before="120" w:after="120" w:line="240" w:lineRule="auto"/>
              <w:jc w:val="center"/>
              <w:rPr>
                <w:rFonts w:eastAsia="MS Mincho"/>
                <w:noProof/>
                <w:lang w:val="bg-BG"/>
              </w:rPr>
            </w:pPr>
            <w:r w:rsidRPr="00782BF9">
              <w:rPr>
                <w:noProof/>
                <w:lang w:val="bg-BG"/>
              </w:rPr>
              <w:t xml:space="preserve">Въвеждане в експлоатация на нови станции за презареждане с водород </w:t>
            </w:r>
          </w:p>
        </w:tc>
        <w:tc>
          <w:tcPr>
            <w:tcW w:w="1338" w:type="dxa"/>
            <w:tcBorders>
              <w:top w:val="single" w:sz="4" w:space="0" w:color="auto"/>
              <w:left w:val="nil"/>
              <w:bottom w:val="single" w:sz="4" w:space="0" w:color="auto"/>
              <w:right w:val="single" w:sz="4" w:space="0" w:color="auto"/>
            </w:tcBorders>
            <w:shd w:val="clear" w:color="auto" w:fill="C6EFCE"/>
            <w:noWrap/>
          </w:tcPr>
          <w:p w14:paraId="052BB30E"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7880CAB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Брой </w:t>
            </w:r>
          </w:p>
        </w:tc>
        <w:tc>
          <w:tcPr>
            <w:tcW w:w="877" w:type="dxa"/>
            <w:tcBorders>
              <w:top w:val="single" w:sz="4" w:space="0" w:color="auto"/>
              <w:left w:val="nil"/>
              <w:bottom w:val="single" w:sz="4" w:space="0" w:color="auto"/>
              <w:right w:val="single" w:sz="4" w:space="0" w:color="auto"/>
            </w:tcBorders>
            <w:shd w:val="clear" w:color="auto" w:fill="C6EFCE"/>
            <w:noWrap/>
          </w:tcPr>
          <w:p w14:paraId="7FEDDC3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632729D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5</w:t>
            </w:r>
          </w:p>
        </w:tc>
        <w:tc>
          <w:tcPr>
            <w:tcW w:w="850" w:type="dxa"/>
            <w:tcBorders>
              <w:top w:val="single" w:sz="4" w:space="0" w:color="auto"/>
              <w:left w:val="nil"/>
              <w:bottom w:val="single" w:sz="4" w:space="0" w:color="auto"/>
              <w:right w:val="single" w:sz="4" w:space="0" w:color="auto"/>
            </w:tcBorders>
            <w:shd w:val="clear" w:color="auto" w:fill="C6EFCE"/>
            <w:noWrap/>
          </w:tcPr>
          <w:p w14:paraId="707CE58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027F919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73012465"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Въвеждат се най-малко пет станции за презареждане с водород за пътни превозни средства с нулеви емисии, които трябва да са влезли в експлоатация.</w:t>
            </w:r>
          </w:p>
          <w:p w14:paraId="0DDE2F08"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Разгърнатата инфраструктура включва:</w:t>
            </w:r>
          </w:p>
          <w:p w14:paraId="1FBF0586" w14:textId="77777777" w:rsidR="00CE3BAD" w:rsidRPr="00782BF9" w:rsidRDefault="006B5475">
            <w:pPr>
              <w:pStyle w:val="P68B1DB1-Normal24"/>
              <w:numPr>
                <w:ilvl w:val="0"/>
                <w:numId w:val="70"/>
              </w:numPr>
              <w:spacing w:before="120" w:after="120" w:line="240" w:lineRule="auto"/>
              <w:contextualSpacing/>
              <w:jc w:val="both"/>
              <w:rPr>
                <w:rFonts w:eastAsia="Calibri"/>
                <w:noProof/>
                <w:lang w:val="bg-BG"/>
              </w:rPr>
            </w:pPr>
            <w:r w:rsidRPr="00782BF9">
              <w:rPr>
                <w:noProof/>
                <w:lang w:val="bg-BG"/>
              </w:rPr>
              <w:t>по основните пътни мрежи на TEN-T се разполагат най-малко две станции за презареждане с водород, всяка от които предлага най-малко 700 бара точки за презареждане, и общо най-малко 2 тона на ден, или с доказани търговски ангажименти за увеличаване на съответния дневен капацитет, за да се изпълнят изискванията на Регламента за инфраструктурата за алтернативни горива до 2030 г.;</w:t>
            </w:r>
          </w:p>
          <w:p w14:paraId="7E43A152" w14:textId="77777777" w:rsidR="00CE3BAD" w:rsidRPr="00782BF9" w:rsidRDefault="006B5475">
            <w:pPr>
              <w:pStyle w:val="P68B1DB1-Normal24"/>
              <w:numPr>
                <w:ilvl w:val="0"/>
                <w:numId w:val="70"/>
              </w:numPr>
              <w:spacing w:before="120" w:after="120" w:line="240" w:lineRule="auto"/>
              <w:contextualSpacing/>
              <w:jc w:val="both"/>
              <w:rPr>
                <w:rFonts w:eastAsia="Calibri"/>
                <w:noProof/>
                <w:lang w:val="bg-BG"/>
              </w:rPr>
            </w:pPr>
            <w:r w:rsidRPr="00782BF9">
              <w:rPr>
                <w:noProof/>
                <w:lang w:val="bg-BG"/>
              </w:rPr>
              <w:t>на градските възли се разполагат най-малко две станции за презареждане с водород, всяка от които предлага най-малко 700 бара точки за презареждане;</w:t>
            </w:r>
          </w:p>
          <w:p w14:paraId="0390B71C" w14:textId="77777777" w:rsidR="00CE3BAD" w:rsidRPr="00782BF9" w:rsidRDefault="006B5475">
            <w:pPr>
              <w:pStyle w:val="P68B1DB1-Normal24"/>
              <w:numPr>
                <w:ilvl w:val="0"/>
                <w:numId w:val="70"/>
              </w:numPr>
              <w:spacing w:before="120" w:after="120" w:line="240" w:lineRule="auto"/>
              <w:contextualSpacing/>
              <w:jc w:val="both"/>
              <w:rPr>
                <w:rFonts w:eastAsia="MS Mincho"/>
                <w:noProof/>
                <w:lang w:val="bg-BG"/>
              </w:rPr>
            </w:pPr>
            <w:r w:rsidRPr="00782BF9">
              <w:rPr>
                <w:noProof/>
                <w:lang w:val="bg-BG"/>
              </w:rPr>
              <w:t>инфраструктура, осигуряваща най-малко 1.5 тона общ дневен капацитет за презареждане с водород, се разгръща в цяла Унгария.</w:t>
            </w:r>
          </w:p>
        </w:tc>
      </w:tr>
      <w:tr w:rsidR="00CE3BAD" w:rsidRPr="00782BF9" w14:paraId="34E15796"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09F7F5B" w14:textId="392DC5EE" w:rsidR="00CE3BAD" w:rsidRPr="00782BF9" w:rsidRDefault="006B5475">
            <w:pPr>
              <w:pStyle w:val="P68B1DB1-Normal24"/>
              <w:spacing w:before="120" w:after="120" w:line="240" w:lineRule="auto"/>
              <w:jc w:val="center"/>
              <w:rPr>
                <w:rFonts w:eastAsia="Calibri"/>
                <w:noProof/>
                <w:lang w:val="bg-BG"/>
              </w:rPr>
            </w:pPr>
            <w:r w:rsidRPr="00782BF9">
              <w:rPr>
                <w:noProof/>
                <w:lang w:val="bg-BG"/>
              </w:rPr>
              <w:t>337</w:t>
            </w:r>
          </w:p>
        </w:tc>
        <w:tc>
          <w:tcPr>
            <w:tcW w:w="1705" w:type="dxa"/>
            <w:tcBorders>
              <w:top w:val="single" w:sz="4" w:space="0" w:color="auto"/>
              <w:left w:val="nil"/>
              <w:bottom w:val="single" w:sz="4" w:space="0" w:color="auto"/>
              <w:right w:val="single" w:sz="4" w:space="0" w:color="auto"/>
            </w:tcBorders>
            <w:shd w:val="clear" w:color="auto" w:fill="C6EFCE"/>
            <w:noWrap/>
          </w:tcPr>
          <w:p w14:paraId="21E58D7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К10.И6: Инвестиции във водород</w:t>
            </w:r>
          </w:p>
        </w:tc>
        <w:tc>
          <w:tcPr>
            <w:tcW w:w="1330" w:type="dxa"/>
            <w:tcBorders>
              <w:top w:val="single" w:sz="4" w:space="0" w:color="auto"/>
              <w:left w:val="nil"/>
              <w:bottom w:val="single" w:sz="4" w:space="0" w:color="auto"/>
              <w:right w:val="single" w:sz="4" w:space="0" w:color="auto"/>
            </w:tcBorders>
            <w:shd w:val="clear" w:color="auto" w:fill="C6EFCE"/>
            <w:noWrap/>
          </w:tcPr>
          <w:p w14:paraId="7E70EC0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4D1C255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Въвеждане в експлоатация на капацитета на електролизьора</w:t>
            </w:r>
          </w:p>
        </w:tc>
        <w:tc>
          <w:tcPr>
            <w:tcW w:w="1338" w:type="dxa"/>
            <w:tcBorders>
              <w:top w:val="single" w:sz="4" w:space="0" w:color="auto"/>
              <w:left w:val="nil"/>
              <w:bottom w:val="single" w:sz="4" w:space="0" w:color="auto"/>
              <w:right w:val="single" w:sz="4" w:space="0" w:color="auto"/>
            </w:tcBorders>
            <w:shd w:val="clear" w:color="auto" w:fill="C6EFCE"/>
            <w:noWrap/>
          </w:tcPr>
          <w:p w14:paraId="4BD1F949"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51554E9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MW</w:t>
            </w:r>
          </w:p>
        </w:tc>
        <w:tc>
          <w:tcPr>
            <w:tcW w:w="877" w:type="dxa"/>
            <w:tcBorders>
              <w:top w:val="single" w:sz="4" w:space="0" w:color="auto"/>
              <w:left w:val="nil"/>
              <w:bottom w:val="single" w:sz="4" w:space="0" w:color="auto"/>
              <w:right w:val="single" w:sz="4" w:space="0" w:color="auto"/>
            </w:tcBorders>
            <w:shd w:val="clear" w:color="auto" w:fill="C6EFCE"/>
            <w:noWrap/>
          </w:tcPr>
          <w:p w14:paraId="50B403D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25042FEA"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30</w:t>
            </w:r>
          </w:p>
        </w:tc>
        <w:tc>
          <w:tcPr>
            <w:tcW w:w="850" w:type="dxa"/>
            <w:tcBorders>
              <w:top w:val="single" w:sz="4" w:space="0" w:color="auto"/>
              <w:left w:val="nil"/>
              <w:bottom w:val="single" w:sz="4" w:space="0" w:color="auto"/>
              <w:right w:val="single" w:sz="4" w:space="0" w:color="auto"/>
            </w:tcBorders>
            <w:shd w:val="clear" w:color="auto" w:fill="C6EFCE"/>
            <w:noWrap/>
          </w:tcPr>
          <w:p w14:paraId="2CAEF18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4E75D4B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196E3B30"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Трябва да са влезли в експлоатация най-малко 30 MW електролизьор за производството на водород от възобновяеми източници. Въвежда се резервоар за съхранение на водород, пряко свързан с производството на водород от възобновяеми източници.</w:t>
            </w:r>
          </w:p>
        </w:tc>
      </w:tr>
      <w:tr w:rsidR="00CE3BAD" w:rsidRPr="00782BF9" w14:paraId="54033541"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3E9E358" w14:textId="2C0F20B1" w:rsidR="00CE3BAD" w:rsidRPr="00782BF9" w:rsidRDefault="006B5475">
            <w:pPr>
              <w:pStyle w:val="P68B1DB1-Normal24"/>
              <w:spacing w:before="120" w:after="120" w:line="240" w:lineRule="auto"/>
              <w:jc w:val="center"/>
              <w:rPr>
                <w:rFonts w:eastAsia="Calibri"/>
                <w:noProof/>
                <w:lang w:val="bg-BG"/>
              </w:rPr>
            </w:pPr>
            <w:r w:rsidRPr="00782BF9">
              <w:rPr>
                <w:noProof/>
                <w:lang w:val="bg-BG"/>
              </w:rPr>
              <w:t>338</w:t>
            </w:r>
          </w:p>
        </w:tc>
        <w:tc>
          <w:tcPr>
            <w:tcW w:w="1705" w:type="dxa"/>
            <w:tcBorders>
              <w:top w:val="single" w:sz="4" w:space="0" w:color="auto"/>
              <w:left w:val="nil"/>
              <w:bottom w:val="single" w:sz="4" w:space="0" w:color="auto"/>
              <w:right w:val="single" w:sz="4" w:space="0" w:color="auto"/>
            </w:tcBorders>
            <w:shd w:val="clear" w:color="auto" w:fill="C6EFCE"/>
            <w:noWrap/>
          </w:tcPr>
          <w:p w14:paraId="7EC3763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К10.И7: Укрепване на човешките ресурси в зелената икономика</w:t>
            </w:r>
          </w:p>
          <w:p w14:paraId="2B9C091C" w14:textId="77777777" w:rsidR="00CE3BAD" w:rsidRPr="00782BF9" w:rsidRDefault="00CE3BAD">
            <w:pPr>
              <w:spacing w:before="120" w:after="120" w:line="240" w:lineRule="auto"/>
              <w:jc w:val="center"/>
              <w:rPr>
                <w:rFonts w:eastAsia="Calibri" w:cstheme="minorHAnsi"/>
                <w:noProof/>
                <w:sz w:val="18"/>
                <w:lang w:val="bg-BG"/>
              </w:rPr>
            </w:pPr>
          </w:p>
        </w:tc>
        <w:tc>
          <w:tcPr>
            <w:tcW w:w="1330" w:type="dxa"/>
            <w:tcBorders>
              <w:top w:val="single" w:sz="4" w:space="0" w:color="auto"/>
              <w:left w:val="nil"/>
              <w:bottom w:val="single" w:sz="4" w:space="0" w:color="auto"/>
              <w:right w:val="single" w:sz="4" w:space="0" w:color="auto"/>
            </w:tcBorders>
            <w:shd w:val="clear" w:color="auto" w:fill="C6EFCE"/>
            <w:noWrap/>
          </w:tcPr>
          <w:p w14:paraId="1C162FE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1A382AED" w14:textId="77777777" w:rsidR="00CE3BAD" w:rsidRPr="00782BF9" w:rsidRDefault="006B5475">
            <w:pPr>
              <w:pStyle w:val="P68B1DB1-Normal24"/>
              <w:spacing w:before="120" w:after="120" w:line="240" w:lineRule="auto"/>
              <w:jc w:val="center"/>
              <w:rPr>
                <w:rFonts w:eastAsia="MS Mincho"/>
                <w:noProof/>
                <w:lang w:val="bg-BG"/>
              </w:rPr>
            </w:pPr>
            <w:r w:rsidRPr="00782BF9">
              <w:rPr>
                <w:noProof/>
                <w:lang w:val="bg-BG"/>
              </w:rPr>
              <w:t>Анализ на търсенето и предлагането на пазара на труда за „зелени“ умения</w:t>
            </w:r>
          </w:p>
        </w:tc>
        <w:tc>
          <w:tcPr>
            <w:tcW w:w="1338" w:type="dxa"/>
            <w:tcBorders>
              <w:top w:val="single" w:sz="4" w:space="0" w:color="auto"/>
              <w:left w:val="nil"/>
              <w:bottom w:val="single" w:sz="4" w:space="0" w:color="auto"/>
              <w:right w:val="single" w:sz="4" w:space="0" w:color="auto"/>
            </w:tcBorders>
            <w:shd w:val="clear" w:color="auto" w:fill="C6EFCE"/>
            <w:noWrap/>
          </w:tcPr>
          <w:p w14:paraId="77D38B8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анализа на търсенето и предлагането</w:t>
            </w:r>
          </w:p>
        </w:tc>
        <w:tc>
          <w:tcPr>
            <w:tcW w:w="1116" w:type="dxa"/>
            <w:tcBorders>
              <w:top w:val="single" w:sz="4" w:space="0" w:color="auto"/>
              <w:left w:val="nil"/>
              <w:bottom w:val="single" w:sz="4" w:space="0" w:color="auto"/>
              <w:right w:val="single" w:sz="4" w:space="0" w:color="auto"/>
            </w:tcBorders>
            <w:shd w:val="clear" w:color="auto" w:fill="C6EFCE"/>
            <w:noWrap/>
          </w:tcPr>
          <w:p w14:paraId="099DAF0A"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0150CE34"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140363E1"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611B710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74CCDB8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720F6784" w14:textId="3F04F312" w:rsidR="00CE3BAD" w:rsidRPr="00782BF9" w:rsidRDefault="006B5475">
            <w:pPr>
              <w:pStyle w:val="P68B1DB1-Normal24"/>
              <w:spacing w:before="120" w:after="120" w:line="240" w:lineRule="auto"/>
              <w:jc w:val="both"/>
              <w:rPr>
                <w:rFonts w:eastAsia="Calibri"/>
                <w:noProof/>
                <w:lang w:val="bg-BG"/>
              </w:rPr>
            </w:pPr>
            <w:r w:rsidRPr="00782BF9">
              <w:rPr>
                <w:noProof/>
                <w:lang w:val="bg-BG"/>
              </w:rPr>
              <w:t>Публикуване на анализ на предлагането и търсенето на пазара на труда, който се извършва, за да се даде приоритет на областите на зелени умения, за които се разработват нови курсове и учебни материали, както е посочено в цел 339, и се разработват програми за обучение по микроквалификации, както е посочено в цел 340.</w:t>
            </w:r>
          </w:p>
        </w:tc>
      </w:tr>
      <w:tr w:rsidR="00CE3BAD" w:rsidRPr="00782BF9" w14:paraId="1F9DDCFA" w14:textId="77777777">
        <w:trPr>
          <w:trHeight w:val="1745"/>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A1ED3A9" w14:textId="3BEDC43E" w:rsidR="00CE3BAD" w:rsidRPr="00782BF9" w:rsidRDefault="006B5475">
            <w:pPr>
              <w:pStyle w:val="P68B1DB1-Normal24"/>
              <w:spacing w:before="120" w:after="120" w:line="240" w:lineRule="auto"/>
              <w:jc w:val="center"/>
              <w:rPr>
                <w:rFonts w:eastAsia="Calibri"/>
                <w:noProof/>
                <w:lang w:val="bg-BG"/>
              </w:rPr>
            </w:pPr>
            <w:r w:rsidRPr="00782BF9">
              <w:rPr>
                <w:noProof/>
                <w:lang w:val="bg-BG"/>
              </w:rPr>
              <w:t>339</w:t>
            </w:r>
          </w:p>
        </w:tc>
        <w:tc>
          <w:tcPr>
            <w:tcW w:w="1705" w:type="dxa"/>
            <w:tcBorders>
              <w:top w:val="single" w:sz="4" w:space="0" w:color="auto"/>
              <w:left w:val="nil"/>
              <w:bottom w:val="single" w:sz="4" w:space="0" w:color="auto"/>
              <w:right w:val="single" w:sz="4" w:space="0" w:color="auto"/>
            </w:tcBorders>
            <w:shd w:val="clear" w:color="auto" w:fill="C6EFCE"/>
            <w:noWrap/>
          </w:tcPr>
          <w:p w14:paraId="2BAAB41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К10.И7: Укрепване на човешките ресурси в зелената икономика</w:t>
            </w:r>
          </w:p>
          <w:p w14:paraId="4ECBAAF3" w14:textId="77777777" w:rsidR="00CE3BAD" w:rsidRPr="00782BF9" w:rsidRDefault="00CE3BAD">
            <w:pPr>
              <w:spacing w:before="120" w:after="120" w:line="240" w:lineRule="auto"/>
              <w:jc w:val="center"/>
              <w:rPr>
                <w:rFonts w:eastAsia="Calibri" w:cstheme="minorHAnsi"/>
                <w:noProof/>
                <w:sz w:val="18"/>
                <w:lang w:val="bg-BG"/>
              </w:rPr>
            </w:pPr>
          </w:p>
        </w:tc>
        <w:tc>
          <w:tcPr>
            <w:tcW w:w="1330" w:type="dxa"/>
            <w:tcBorders>
              <w:top w:val="single" w:sz="4" w:space="0" w:color="auto"/>
              <w:left w:val="nil"/>
              <w:bottom w:val="single" w:sz="4" w:space="0" w:color="auto"/>
              <w:right w:val="single" w:sz="4" w:space="0" w:color="auto"/>
            </w:tcBorders>
            <w:shd w:val="clear" w:color="auto" w:fill="C6EFCE"/>
            <w:noWrap/>
          </w:tcPr>
          <w:p w14:paraId="766A08E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5CE3D9C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Брой курсове, за които е разработено ново учебно съдържание за „зелени“ умения </w:t>
            </w:r>
          </w:p>
        </w:tc>
        <w:tc>
          <w:tcPr>
            <w:tcW w:w="1338" w:type="dxa"/>
            <w:tcBorders>
              <w:top w:val="single" w:sz="4" w:space="0" w:color="auto"/>
              <w:left w:val="nil"/>
              <w:bottom w:val="single" w:sz="4" w:space="0" w:color="auto"/>
              <w:right w:val="single" w:sz="4" w:space="0" w:color="auto"/>
            </w:tcBorders>
            <w:shd w:val="clear" w:color="auto" w:fill="C6EFCE"/>
            <w:noWrap/>
          </w:tcPr>
          <w:p w14:paraId="2C26CE76"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67CB418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7B9EE9B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1A79A28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40</w:t>
            </w:r>
          </w:p>
        </w:tc>
        <w:tc>
          <w:tcPr>
            <w:tcW w:w="850" w:type="dxa"/>
            <w:tcBorders>
              <w:top w:val="single" w:sz="4" w:space="0" w:color="auto"/>
              <w:left w:val="nil"/>
              <w:bottom w:val="single" w:sz="4" w:space="0" w:color="auto"/>
              <w:right w:val="single" w:sz="4" w:space="0" w:color="auto"/>
            </w:tcBorders>
            <w:shd w:val="clear" w:color="auto" w:fill="C6EFCE"/>
            <w:noWrap/>
          </w:tcPr>
          <w:p w14:paraId="475C9E4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473030E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2025</w:t>
            </w:r>
          </w:p>
        </w:tc>
        <w:tc>
          <w:tcPr>
            <w:tcW w:w="4111" w:type="dxa"/>
            <w:tcBorders>
              <w:top w:val="single" w:sz="4" w:space="0" w:color="auto"/>
              <w:left w:val="nil"/>
              <w:bottom w:val="single" w:sz="4" w:space="0" w:color="auto"/>
              <w:right w:val="single" w:sz="4" w:space="0" w:color="auto"/>
            </w:tcBorders>
            <w:shd w:val="clear" w:color="auto" w:fill="C6EFCE"/>
            <w:noWrap/>
          </w:tcPr>
          <w:p w14:paraId="1ED1E3F8"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 xml:space="preserve">Ново учебно съдържание за „зелени“ умения, включително съдържание, което да се използва за практическо обучение на учениците, се разработва за най-малко 40 различни курса, които се интегрират във формалното (акредитирано) професионално образование и обучение и програмите за висше образование. </w:t>
            </w:r>
          </w:p>
          <w:p w14:paraId="68870A2A" w14:textId="012F4EDA" w:rsidR="00CE3BAD" w:rsidRPr="00782BF9" w:rsidRDefault="006B5475">
            <w:pPr>
              <w:pStyle w:val="P68B1DB1-Normal24"/>
              <w:spacing w:before="120" w:after="120" w:line="240" w:lineRule="auto"/>
              <w:jc w:val="both"/>
              <w:rPr>
                <w:rFonts w:eastAsia="MS Mincho"/>
                <w:noProof/>
                <w:lang w:val="bg-BG"/>
              </w:rPr>
            </w:pPr>
            <w:r w:rsidRPr="00782BF9">
              <w:rPr>
                <w:noProof/>
                <w:lang w:val="bg-BG"/>
              </w:rPr>
              <w:t>Курсовете и свързаното с тях учебно съдържание се разработват въз основа на анализа на търсенето и предлагането на пазара на труда, както е посочено в ключов етап 338.</w:t>
            </w:r>
          </w:p>
        </w:tc>
      </w:tr>
      <w:tr w:rsidR="00CE3BAD" w:rsidRPr="00782BF9" w14:paraId="3193E666"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063335FF" w14:textId="0F6D9320" w:rsidR="00CE3BAD" w:rsidRPr="00782BF9" w:rsidRDefault="006B5475">
            <w:pPr>
              <w:pStyle w:val="P68B1DB1-Normal24"/>
              <w:spacing w:before="120" w:after="120" w:line="240" w:lineRule="auto"/>
              <w:jc w:val="center"/>
              <w:rPr>
                <w:rFonts w:eastAsia="Calibri"/>
                <w:noProof/>
                <w:lang w:val="bg-BG"/>
              </w:rPr>
            </w:pPr>
            <w:r w:rsidRPr="00782BF9">
              <w:rPr>
                <w:noProof/>
                <w:lang w:val="bg-BG"/>
              </w:rPr>
              <w:t>340</w:t>
            </w:r>
          </w:p>
        </w:tc>
        <w:tc>
          <w:tcPr>
            <w:tcW w:w="1705" w:type="dxa"/>
            <w:tcBorders>
              <w:top w:val="single" w:sz="4" w:space="0" w:color="auto"/>
              <w:left w:val="nil"/>
              <w:bottom w:val="single" w:sz="4" w:space="0" w:color="auto"/>
              <w:right w:val="single" w:sz="4" w:space="0" w:color="auto"/>
            </w:tcBorders>
            <w:shd w:val="clear" w:color="auto" w:fill="C6EFCE"/>
            <w:noWrap/>
          </w:tcPr>
          <w:p w14:paraId="75AB1C9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К10.И7: Укрепване на човешките ресурси в зелената икономика</w:t>
            </w:r>
          </w:p>
          <w:p w14:paraId="4074224C" w14:textId="77777777" w:rsidR="00CE3BAD" w:rsidRPr="00782BF9" w:rsidRDefault="00CE3BAD">
            <w:pPr>
              <w:spacing w:before="120" w:after="120" w:line="240" w:lineRule="auto"/>
              <w:jc w:val="center"/>
              <w:rPr>
                <w:rFonts w:eastAsia="Calibri" w:cstheme="minorHAnsi"/>
                <w:noProof/>
                <w:sz w:val="18"/>
                <w:lang w:val="bg-BG"/>
              </w:rPr>
            </w:pPr>
          </w:p>
        </w:tc>
        <w:tc>
          <w:tcPr>
            <w:tcW w:w="1330" w:type="dxa"/>
            <w:tcBorders>
              <w:top w:val="single" w:sz="4" w:space="0" w:color="auto"/>
              <w:left w:val="nil"/>
              <w:bottom w:val="single" w:sz="4" w:space="0" w:color="auto"/>
              <w:right w:val="single" w:sz="4" w:space="0" w:color="auto"/>
            </w:tcBorders>
            <w:shd w:val="clear" w:color="auto" w:fill="C6EFCE"/>
            <w:noWrap/>
          </w:tcPr>
          <w:p w14:paraId="425490DB"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4145F3D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 на специалистите, получили сертификат за микроквалификации за зелени умения</w:t>
            </w:r>
          </w:p>
        </w:tc>
        <w:tc>
          <w:tcPr>
            <w:tcW w:w="1338" w:type="dxa"/>
            <w:tcBorders>
              <w:top w:val="single" w:sz="4" w:space="0" w:color="auto"/>
              <w:left w:val="nil"/>
              <w:bottom w:val="single" w:sz="4" w:space="0" w:color="auto"/>
              <w:right w:val="single" w:sz="4" w:space="0" w:color="auto"/>
            </w:tcBorders>
            <w:shd w:val="clear" w:color="auto" w:fill="C6EFCE"/>
            <w:noWrap/>
          </w:tcPr>
          <w:p w14:paraId="33A7F6CA"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4DB3770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78E9301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24E79EB4" w14:textId="5A33A78F"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50</w:t>
            </w:r>
            <w:r w:rsidRPr="00782BF9">
              <w:rPr>
                <w:noProof/>
                <w:color w:val="006100"/>
                <w:lang w:val="bg-BG"/>
              </w:rPr>
              <w:t xml:space="preserve"> </w:t>
            </w:r>
            <w:r w:rsidRPr="00782BF9">
              <w:rPr>
                <w:rFonts w:cstheme="minorHAnsi"/>
                <w:noProof/>
                <w:lang w:val="bg-BG"/>
              </w:rPr>
              <w:t>000</w:t>
            </w:r>
          </w:p>
        </w:tc>
        <w:tc>
          <w:tcPr>
            <w:tcW w:w="850" w:type="dxa"/>
            <w:tcBorders>
              <w:top w:val="single" w:sz="4" w:space="0" w:color="auto"/>
              <w:left w:val="nil"/>
              <w:bottom w:val="single" w:sz="4" w:space="0" w:color="auto"/>
              <w:right w:val="single" w:sz="4" w:space="0" w:color="auto"/>
            </w:tcBorders>
            <w:shd w:val="clear" w:color="auto" w:fill="C6EFCE"/>
            <w:noWrap/>
          </w:tcPr>
          <w:p w14:paraId="64C0350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3CBF655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159FE153" w14:textId="5F9B954C" w:rsidR="00CE3BAD" w:rsidRPr="00782BF9" w:rsidRDefault="006B5475">
            <w:pPr>
              <w:pStyle w:val="P68B1DB1-Normal10"/>
              <w:spacing w:before="120" w:after="120" w:line="240" w:lineRule="auto"/>
              <w:jc w:val="both"/>
              <w:rPr>
                <w:rFonts w:cstheme="minorHAnsi"/>
                <w:noProof/>
                <w:lang w:val="bg-BG"/>
              </w:rPr>
            </w:pPr>
            <w:r w:rsidRPr="00782BF9">
              <w:rPr>
                <w:rFonts w:cstheme="minorHAnsi"/>
                <w:noProof/>
                <w:lang w:val="bg-BG"/>
              </w:rPr>
              <w:t>Най-малко 50</w:t>
            </w:r>
            <w:r w:rsidRPr="00782BF9">
              <w:rPr>
                <w:noProof/>
                <w:color w:val="006100"/>
                <w:lang w:val="bg-BG"/>
              </w:rPr>
              <w:t xml:space="preserve"> </w:t>
            </w:r>
            <w:r w:rsidRPr="00782BF9">
              <w:rPr>
                <w:rFonts w:cstheme="minorHAnsi"/>
                <w:noProof/>
                <w:lang w:val="bg-BG"/>
              </w:rPr>
              <w:t xml:space="preserve">000 специалисти, завършили най-много гимназиален етап на средното образование и които са участвали в курсове за обучение за възрастни за „зелени„умения, придобиват микроквалификации за „зелени“ умения. Безработните, неактивната работна сила и работниците от микро- и малки предприятия се ползват с приоритет като участници в обучението. Присъдените микроквалификации са в пълно съответствие с Препоръката на Съвета относно европейски подход към микроквалификациите с цел учене през целия живот и пригодност за заетост (2022/C 243/02). Разработването на микроквалификации се основава също така на резултатите от проекта по Инструмента за техническа помощ относно микроквалификациите и на анализа на търсенето и предлагането на пазара на труда, както е посочено в етап 338. </w:t>
            </w:r>
          </w:p>
        </w:tc>
      </w:tr>
      <w:tr w:rsidR="00CE3BAD" w:rsidRPr="00782BF9" w14:paraId="72416C31"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1FAA835" w14:textId="2C0116C8" w:rsidR="00CE3BAD" w:rsidRPr="00782BF9" w:rsidRDefault="006B5475">
            <w:pPr>
              <w:pStyle w:val="P68B1DB1-Normal24"/>
              <w:spacing w:before="120" w:after="120" w:line="240" w:lineRule="auto"/>
              <w:jc w:val="center"/>
              <w:rPr>
                <w:rFonts w:eastAsia="Calibri"/>
                <w:noProof/>
                <w:lang w:val="bg-BG"/>
              </w:rPr>
            </w:pPr>
            <w:r w:rsidRPr="00782BF9">
              <w:rPr>
                <w:noProof/>
                <w:lang w:val="bg-BG"/>
              </w:rPr>
              <w:t>341</w:t>
            </w:r>
          </w:p>
        </w:tc>
        <w:tc>
          <w:tcPr>
            <w:tcW w:w="1705" w:type="dxa"/>
            <w:tcBorders>
              <w:top w:val="single" w:sz="4" w:space="0" w:color="auto"/>
              <w:left w:val="nil"/>
              <w:bottom w:val="single" w:sz="4" w:space="0" w:color="auto"/>
              <w:right w:val="single" w:sz="4" w:space="0" w:color="auto"/>
            </w:tcBorders>
            <w:shd w:val="clear" w:color="auto" w:fill="C6EFCE"/>
            <w:noWrap/>
          </w:tcPr>
          <w:p w14:paraId="5813A1DD"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К10.И8: Инвестиции в енергийна ефективност в обществени сгради</w:t>
            </w:r>
          </w:p>
          <w:p w14:paraId="0435865D" w14:textId="77777777" w:rsidR="00CE3BAD" w:rsidRPr="00782BF9" w:rsidRDefault="00CE3BAD">
            <w:pPr>
              <w:spacing w:before="120" w:after="120" w:line="240" w:lineRule="auto"/>
              <w:jc w:val="center"/>
              <w:rPr>
                <w:rFonts w:eastAsia="Calibri" w:cstheme="minorHAnsi"/>
                <w:noProof/>
                <w:sz w:val="18"/>
                <w:lang w:val="bg-BG"/>
              </w:rPr>
            </w:pPr>
          </w:p>
        </w:tc>
        <w:tc>
          <w:tcPr>
            <w:tcW w:w="1330" w:type="dxa"/>
            <w:tcBorders>
              <w:top w:val="single" w:sz="4" w:space="0" w:color="auto"/>
              <w:left w:val="nil"/>
              <w:bottom w:val="single" w:sz="4" w:space="0" w:color="auto"/>
              <w:right w:val="single" w:sz="4" w:space="0" w:color="auto"/>
            </w:tcBorders>
            <w:shd w:val="clear" w:color="auto" w:fill="C6EFCE"/>
            <w:noWrap/>
          </w:tcPr>
          <w:p w14:paraId="1470408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316945DA"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Отправяне на покана за представяне на предложения за проекти за инвестиции в енергийна ефективност в обществени сгради</w:t>
            </w:r>
          </w:p>
        </w:tc>
        <w:tc>
          <w:tcPr>
            <w:tcW w:w="1338" w:type="dxa"/>
            <w:tcBorders>
              <w:top w:val="single" w:sz="4" w:space="0" w:color="auto"/>
              <w:left w:val="nil"/>
              <w:bottom w:val="single" w:sz="4" w:space="0" w:color="auto"/>
              <w:right w:val="single" w:sz="4" w:space="0" w:color="auto"/>
            </w:tcBorders>
            <w:shd w:val="clear" w:color="auto" w:fill="C6EFCE"/>
            <w:noWrap/>
          </w:tcPr>
          <w:p w14:paraId="2EA993D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поканата за представяне на предложения на официалния уебсайт на правителството за покани за представяне на предложения</w:t>
            </w:r>
          </w:p>
          <w:p w14:paraId="3A9A4CB1"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4C7D001C"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727A1BE5"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518D0558"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2A12E33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noWrap/>
          </w:tcPr>
          <w:p w14:paraId="31A2FA6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2023</w:t>
            </w:r>
          </w:p>
        </w:tc>
        <w:tc>
          <w:tcPr>
            <w:tcW w:w="4111" w:type="dxa"/>
            <w:tcBorders>
              <w:top w:val="single" w:sz="4" w:space="0" w:color="auto"/>
              <w:left w:val="nil"/>
              <w:bottom w:val="single" w:sz="4" w:space="0" w:color="auto"/>
              <w:right w:val="single" w:sz="4" w:space="0" w:color="auto"/>
            </w:tcBorders>
            <w:shd w:val="clear" w:color="auto" w:fill="C6EFCE"/>
            <w:noWrap/>
          </w:tcPr>
          <w:p w14:paraId="546C8028"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На уебсайта на правителството за покани за представяне на предложения се публикува покана за представяне на предложения за проекти за инвестиции в енергийна ефективност в обществени сгради. Само проекти, които постигат поне 30 % намаление на потреблението на първична енергия на сграда (в сравнение с изходното положение преди подобренията на енергийните характеристики), са допустими по поканата, със специален акцент върху региона на Будапеща. </w:t>
            </w:r>
          </w:p>
          <w:p w14:paraId="617D505A"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В поканата за представяне на предложения се посочва, че могат да бъдат подпомагани следните видове дейности, свързани с: </w:t>
            </w:r>
          </w:p>
          <w:p w14:paraId="1F807406" w14:textId="77777777" w:rsidR="00CE3BAD" w:rsidRPr="00782BF9" w:rsidRDefault="006B5475">
            <w:pPr>
              <w:pStyle w:val="P68B1DB1-Normal24"/>
              <w:numPr>
                <w:ilvl w:val="0"/>
                <w:numId w:val="64"/>
              </w:numPr>
              <w:spacing w:before="120" w:after="160" w:line="259" w:lineRule="auto"/>
              <w:ind w:left="594"/>
              <w:contextualSpacing/>
              <w:jc w:val="both"/>
              <w:rPr>
                <w:rFonts w:eastAsia="Calibri"/>
                <w:noProof/>
                <w:lang w:val="bg-BG"/>
              </w:rPr>
            </w:pPr>
            <w:r w:rsidRPr="00782BF9">
              <w:rPr>
                <w:noProof/>
                <w:lang w:val="bg-BG"/>
              </w:rPr>
              <w:t>енергийното управление на сградите:</w:t>
            </w:r>
          </w:p>
          <w:p w14:paraId="1DEFD02A" w14:textId="77777777" w:rsidR="00CE3BAD" w:rsidRPr="00782BF9" w:rsidRDefault="006B5475">
            <w:pPr>
              <w:pStyle w:val="P68B1DB1-Normal24"/>
              <w:numPr>
                <w:ilvl w:val="0"/>
                <w:numId w:val="65"/>
              </w:numPr>
              <w:spacing w:before="120" w:after="160" w:line="259" w:lineRule="auto"/>
              <w:ind w:left="877"/>
              <w:contextualSpacing/>
              <w:jc w:val="both"/>
              <w:rPr>
                <w:rFonts w:eastAsia="Calibri"/>
                <w:noProof/>
                <w:lang w:val="bg-BG"/>
              </w:rPr>
            </w:pPr>
            <w:r w:rsidRPr="00782BF9">
              <w:rPr>
                <w:noProof/>
                <w:lang w:val="bg-BG"/>
              </w:rPr>
              <w:t xml:space="preserve">Подобряване на изолацията на сградите, топлинните характеристики на сградите и намаляване на топлинните загуби </w:t>
            </w:r>
          </w:p>
          <w:p w14:paraId="1411A7C3" w14:textId="77777777" w:rsidR="00CE3BAD" w:rsidRPr="00782BF9" w:rsidRDefault="006B5475">
            <w:pPr>
              <w:pStyle w:val="P68B1DB1-Normal24"/>
              <w:numPr>
                <w:ilvl w:val="0"/>
                <w:numId w:val="65"/>
              </w:numPr>
              <w:spacing w:before="120" w:after="160" w:line="259" w:lineRule="auto"/>
              <w:ind w:left="877"/>
              <w:contextualSpacing/>
              <w:jc w:val="both"/>
              <w:rPr>
                <w:rFonts w:eastAsia="Calibri"/>
                <w:noProof/>
                <w:lang w:val="bg-BG"/>
              </w:rPr>
            </w:pPr>
            <w:r w:rsidRPr="00782BF9">
              <w:rPr>
                <w:noProof/>
                <w:lang w:val="bg-BG"/>
              </w:rPr>
              <w:t>Модернизиране на системите за отопление, охлаждане и топла вода за битови нужди в сградите;</w:t>
            </w:r>
          </w:p>
          <w:p w14:paraId="045DA8C7" w14:textId="77777777" w:rsidR="00CE3BAD" w:rsidRPr="00782BF9" w:rsidRDefault="006B5475">
            <w:pPr>
              <w:pStyle w:val="P68B1DB1-Normal24"/>
              <w:numPr>
                <w:ilvl w:val="0"/>
                <w:numId w:val="65"/>
              </w:numPr>
              <w:spacing w:before="120" w:after="160" w:line="259" w:lineRule="auto"/>
              <w:ind w:left="877"/>
              <w:contextualSpacing/>
              <w:jc w:val="both"/>
              <w:rPr>
                <w:rFonts w:eastAsia="Calibri"/>
                <w:noProof/>
                <w:lang w:val="bg-BG"/>
              </w:rPr>
            </w:pPr>
            <w:r w:rsidRPr="00782BF9">
              <w:rPr>
                <w:noProof/>
                <w:lang w:val="bg-BG"/>
              </w:rPr>
              <w:t>Внедряване на цифрови системи за управление на енергията с цел намаляване на търсенето на енергия;</w:t>
            </w:r>
          </w:p>
          <w:p w14:paraId="182091F8" w14:textId="77777777" w:rsidR="00CE3BAD" w:rsidRPr="00782BF9" w:rsidRDefault="006B5475">
            <w:pPr>
              <w:pStyle w:val="P68B1DB1-Normal24"/>
              <w:numPr>
                <w:ilvl w:val="0"/>
                <w:numId w:val="65"/>
              </w:numPr>
              <w:spacing w:before="120" w:after="160" w:line="259" w:lineRule="auto"/>
              <w:ind w:left="877"/>
              <w:contextualSpacing/>
              <w:jc w:val="both"/>
              <w:rPr>
                <w:rFonts w:eastAsia="Calibri"/>
                <w:noProof/>
                <w:lang w:val="bg-BG"/>
              </w:rPr>
            </w:pPr>
            <w:r w:rsidRPr="00782BF9">
              <w:rPr>
                <w:noProof/>
                <w:lang w:val="bg-BG"/>
              </w:rPr>
              <w:t>Енергийно ефективно модернизиране на съществуващите системи за вътрешно осветление.</w:t>
            </w:r>
          </w:p>
          <w:p w14:paraId="348C88FF" w14:textId="77777777" w:rsidR="00CE3BAD" w:rsidRPr="00782BF9" w:rsidRDefault="006B5475">
            <w:pPr>
              <w:pStyle w:val="P68B1DB1-Normal24"/>
              <w:numPr>
                <w:ilvl w:val="0"/>
                <w:numId w:val="64"/>
              </w:numPr>
              <w:spacing w:before="120" w:after="160" w:line="259" w:lineRule="auto"/>
              <w:ind w:left="594"/>
              <w:contextualSpacing/>
              <w:jc w:val="both"/>
              <w:rPr>
                <w:rFonts w:eastAsia="Calibri"/>
                <w:noProof/>
                <w:lang w:val="bg-BG"/>
              </w:rPr>
            </w:pPr>
            <w:r w:rsidRPr="00782BF9">
              <w:rPr>
                <w:noProof/>
                <w:lang w:val="bg-BG"/>
              </w:rPr>
              <w:t>Увеличаване на използването на енергия от възобновяеми източници</w:t>
            </w:r>
          </w:p>
          <w:p w14:paraId="0E70776E" w14:textId="77777777" w:rsidR="00CE3BAD" w:rsidRPr="00782BF9" w:rsidRDefault="006B5475">
            <w:pPr>
              <w:pStyle w:val="P68B1DB1-Normal24"/>
              <w:numPr>
                <w:ilvl w:val="0"/>
                <w:numId w:val="64"/>
              </w:numPr>
              <w:spacing w:before="120" w:after="160" w:line="259" w:lineRule="auto"/>
              <w:ind w:left="594"/>
              <w:contextualSpacing/>
              <w:jc w:val="both"/>
              <w:rPr>
                <w:rFonts w:eastAsia="Calibri"/>
                <w:noProof/>
                <w:lang w:val="bg-BG"/>
              </w:rPr>
            </w:pPr>
            <w:r w:rsidRPr="00782BF9">
              <w:rPr>
                <w:noProof/>
                <w:lang w:val="bg-BG"/>
              </w:rPr>
              <w:t>Дейности в подкрепа на адаптирането към изменението на климата.</w:t>
            </w:r>
          </w:p>
          <w:p w14:paraId="0BA273CE" w14:textId="77777777" w:rsidR="00CE3BAD" w:rsidRPr="00782BF9" w:rsidRDefault="006B5475">
            <w:pPr>
              <w:pStyle w:val="P68B1DB1-Normal24"/>
              <w:spacing w:before="120" w:after="120" w:line="240" w:lineRule="auto"/>
              <w:jc w:val="both"/>
              <w:rPr>
                <w:rFonts w:eastAsia="MS Mincho"/>
                <w:noProof/>
                <w:lang w:val="bg-BG"/>
              </w:rPr>
            </w:pPr>
            <w:r w:rsidRPr="00782BF9">
              <w:rPr>
                <w:noProof/>
                <w:lang w:val="bg-BG"/>
              </w:rPr>
              <w:t>Критериите за подбор на поканата гарантират, че се дава приоритет на сгради с по-висок потенциал за икономии на енергия (тези с 300 kWh/m</w:t>
            </w:r>
            <w:r w:rsidRPr="00782BF9">
              <w:rPr>
                <w:noProof/>
                <w:vertAlign w:val="superscript"/>
                <w:lang w:val="bg-BG"/>
              </w:rPr>
              <w:t xml:space="preserve">2 </w:t>
            </w:r>
            <w:r w:rsidRPr="00782BF9">
              <w:rPr>
                <w:noProof/>
                <w:lang w:val="bg-BG"/>
              </w:rPr>
              <w:t>или повече годишно потребление на първична енергия) и че не повече от 20 % от общия пакет ще се използват за подпомагане на отоплителни дейности на основата на газ.</w:t>
            </w:r>
          </w:p>
        </w:tc>
      </w:tr>
      <w:tr w:rsidR="00CE3BAD" w:rsidRPr="00782BF9" w14:paraId="626E7707"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52E08325" w14:textId="40D3BD64" w:rsidR="00CE3BAD" w:rsidRPr="00782BF9" w:rsidRDefault="006B5475">
            <w:pPr>
              <w:pStyle w:val="P68B1DB1-Normal24"/>
              <w:spacing w:before="120" w:after="120" w:line="240" w:lineRule="auto"/>
              <w:jc w:val="center"/>
              <w:rPr>
                <w:rFonts w:eastAsia="Calibri"/>
                <w:noProof/>
                <w:lang w:val="bg-BG"/>
              </w:rPr>
            </w:pPr>
            <w:r w:rsidRPr="00782BF9">
              <w:rPr>
                <w:noProof/>
                <w:lang w:val="bg-BG"/>
              </w:rPr>
              <w:t>342</w:t>
            </w:r>
          </w:p>
        </w:tc>
        <w:tc>
          <w:tcPr>
            <w:tcW w:w="1705" w:type="dxa"/>
            <w:tcBorders>
              <w:top w:val="single" w:sz="4" w:space="0" w:color="auto"/>
              <w:left w:val="nil"/>
              <w:bottom w:val="single" w:sz="4" w:space="0" w:color="auto"/>
              <w:right w:val="single" w:sz="4" w:space="0" w:color="auto"/>
            </w:tcBorders>
            <w:shd w:val="clear" w:color="auto" w:fill="C6EFCE"/>
            <w:noWrap/>
          </w:tcPr>
          <w:p w14:paraId="0A13F949"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К10.И8: Инвестиции в енергийна ефективност в обществени сгради</w:t>
            </w:r>
          </w:p>
        </w:tc>
        <w:tc>
          <w:tcPr>
            <w:tcW w:w="1330" w:type="dxa"/>
            <w:tcBorders>
              <w:top w:val="single" w:sz="4" w:space="0" w:color="auto"/>
              <w:left w:val="nil"/>
              <w:bottom w:val="single" w:sz="4" w:space="0" w:color="auto"/>
              <w:right w:val="single" w:sz="4" w:space="0" w:color="auto"/>
            </w:tcBorders>
            <w:shd w:val="clear" w:color="auto" w:fill="C6EFCE"/>
            <w:noWrap/>
          </w:tcPr>
          <w:p w14:paraId="3B4F2D00"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677E3DC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всички споразумения за отпускане на безвъзмездна финансова помощ за проекти, свързани с инвестиции в енергийна ефективност в обществени сгради</w:t>
            </w:r>
          </w:p>
        </w:tc>
        <w:tc>
          <w:tcPr>
            <w:tcW w:w="1338" w:type="dxa"/>
            <w:tcBorders>
              <w:top w:val="single" w:sz="4" w:space="0" w:color="auto"/>
              <w:left w:val="nil"/>
              <w:bottom w:val="single" w:sz="4" w:space="0" w:color="auto"/>
              <w:right w:val="single" w:sz="4" w:space="0" w:color="auto"/>
            </w:tcBorders>
            <w:shd w:val="clear" w:color="auto" w:fill="C6EFCE"/>
            <w:noWrap/>
          </w:tcPr>
          <w:p w14:paraId="7114E0E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споразуменията за отпускане на безвъзмездни средства</w:t>
            </w:r>
          </w:p>
        </w:tc>
        <w:tc>
          <w:tcPr>
            <w:tcW w:w="1116" w:type="dxa"/>
            <w:tcBorders>
              <w:top w:val="single" w:sz="4" w:space="0" w:color="auto"/>
              <w:left w:val="nil"/>
              <w:bottom w:val="single" w:sz="4" w:space="0" w:color="auto"/>
              <w:right w:val="single" w:sz="4" w:space="0" w:color="auto"/>
            </w:tcBorders>
            <w:shd w:val="clear" w:color="auto" w:fill="C6EFCE"/>
            <w:noWrap/>
          </w:tcPr>
          <w:p w14:paraId="490496B8"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5016EF7A"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1AEE04F9"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38417C4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434995F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790C282E" w14:textId="3632ADCC"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Влизане в сила на споразуменията за отпускане на безвъзмездни средства, сключени с всички избрани крайни получатели в рамките на поканата за представяне на предложения, посочена в етап 341. </w:t>
            </w:r>
          </w:p>
        </w:tc>
      </w:tr>
      <w:tr w:rsidR="00CE3BAD" w:rsidRPr="00782BF9" w14:paraId="6FA1A82A"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2D92D5F" w14:textId="16156ACA" w:rsidR="00CE3BAD" w:rsidRPr="00782BF9" w:rsidRDefault="006B5475">
            <w:pPr>
              <w:pStyle w:val="P68B1DB1-Normal24"/>
              <w:spacing w:before="120" w:after="120" w:line="240" w:lineRule="auto"/>
              <w:jc w:val="center"/>
              <w:rPr>
                <w:rFonts w:eastAsia="Calibri"/>
                <w:noProof/>
                <w:lang w:val="bg-BG"/>
              </w:rPr>
            </w:pPr>
            <w:r w:rsidRPr="00782BF9">
              <w:rPr>
                <w:noProof/>
                <w:lang w:val="bg-BG"/>
              </w:rPr>
              <w:t>343</w:t>
            </w:r>
          </w:p>
        </w:tc>
        <w:tc>
          <w:tcPr>
            <w:tcW w:w="1705" w:type="dxa"/>
            <w:tcBorders>
              <w:top w:val="single" w:sz="4" w:space="0" w:color="auto"/>
              <w:left w:val="nil"/>
              <w:bottom w:val="single" w:sz="4" w:space="0" w:color="auto"/>
              <w:right w:val="single" w:sz="4" w:space="0" w:color="auto"/>
            </w:tcBorders>
            <w:shd w:val="clear" w:color="auto" w:fill="C6EFCE"/>
            <w:noWrap/>
          </w:tcPr>
          <w:p w14:paraId="20AE6995"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К10.И8: Инвестиции в енергийна ефективност в обществени сгради</w:t>
            </w:r>
          </w:p>
        </w:tc>
        <w:tc>
          <w:tcPr>
            <w:tcW w:w="1330" w:type="dxa"/>
            <w:tcBorders>
              <w:top w:val="single" w:sz="4" w:space="0" w:color="auto"/>
              <w:left w:val="nil"/>
              <w:bottom w:val="single" w:sz="4" w:space="0" w:color="auto"/>
              <w:right w:val="single" w:sz="4" w:space="0" w:color="auto"/>
            </w:tcBorders>
            <w:shd w:val="clear" w:color="auto" w:fill="C6EFCE"/>
            <w:noWrap/>
          </w:tcPr>
          <w:p w14:paraId="5E154B53"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71F792F4"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Разгъната застроена площ на обществени сгради, които са се възползвали от подобряване на енергийната ефективност </w:t>
            </w:r>
          </w:p>
          <w:p w14:paraId="41CD98BF" w14:textId="77777777" w:rsidR="00CE3BAD" w:rsidRPr="00782BF9" w:rsidRDefault="00CE3BAD">
            <w:pPr>
              <w:spacing w:before="120" w:after="120" w:line="240" w:lineRule="auto"/>
              <w:jc w:val="center"/>
              <w:rPr>
                <w:rFonts w:eastAsia="Calibri" w:cstheme="minorHAnsi"/>
                <w:noProof/>
                <w:sz w:val="18"/>
                <w:lang w:val="bg-BG"/>
              </w:rPr>
            </w:pPr>
          </w:p>
        </w:tc>
        <w:tc>
          <w:tcPr>
            <w:tcW w:w="1338" w:type="dxa"/>
            <w:tcBorders>
              <w:top w:val="single" w:sz="4" w:space="0" w:color="auto"/>
              <w:left w:val="nil"/>
              <w:bottom w:val="single" w:sz="4" w:space="0" w:color="auto"/>
              <w:right w:val="single" w:sz="4" w:space="0" w:color="auto"/>
            </w:tcBorders>
            <w:shd w:val="clear" w:color="auto" w:fill="C6EFCE"/>
            <w:noWrap/>
          </w:tcPr>
          <w:p w14:paraId="0769A5D7"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7B0BE365"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121FA60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Квадратни метри</w:t>
            </w:r>
          </w:p>
        </w:tc>
        <w:tc>
          <w:tcPr>
            <w:tcW w:w="1559" w:type="dxa"/>
            <w:tcBorders>
              <w:top w:val="single" w:sz="4" w:space="0" w:color="auto"/>
              <w:left w:val="nil"/>
              <w:bottom w:val="single" w:sz="4" w:space="0" w:color="auto"/>
              <w:right w:val="single" w:sz="4" w:space="0" w:color="auto"/>
            </w:tcBorders>
            <w:shd w:val="clear" w:color="auto" w:fill="C6EFCE"/>
            <w:noWrap/>
          </w:tcPr>
          <w:p w14:paraId="633162FC" w14:textId="347F2891"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1</w:t>
            </w:r>
            <w:r w:rsidRPr="00782BF9">
              <w:rPr>
                <w:noProof/>
                <w:color w:val="006100"/>
                <w:lang w:val="bg-BG"/>
              </w:rPr>
              <w:t xml:space="preserve"> </w:t>
            </w:r>
            <w:r w:rsidRPr="00782BF9">
              <w:rPr>
                <w:rFonts w:cstheme="minorHAnsi"/>
                <w:noProof/>
                <w:lang w:val="bg-BG"/>
              </w:rPr>
              <w:t>442</w:t>
            </w:r>
            <w:r w:rsidRPr="00782BF9">
              <w:rPr>
                <w:noProof/>
                <w:color w:val="006100"/>
                <w:lang w:val="bg-BG"/>
              </w:rPr>
              <w:t xml:space="preserve"> </w:t>
            </w:r>
            <w:r w:rsidRPr="00782BF9">
              <w:rPr>
                <w:rFonts w:cstheme="minorHAnsi"/>
                <w:noProof/>
                <w:lang w:val="bg-BG"/>
              </w:rPr>
              <w:t>000</w:t>
            </w:r>
          </w:p>
        </w:tc>
        <w:tc>
          <w:tcPr>
            <w:tcW w:w="850" w:type="dxa"/>
            <w:tcBorders>
              <w:top w:val="single" w:sz="4" w:space="0" w:color="auto"/>
              <w:left w:val="nil"/>
              <w:bottom w:val="single" w:sz="4" w:space="0" w:color="auto"/>
              <w:right w:val="single" w:sz="4" w:space="0" w:color="auto"/>
            </w:tcBorders>
            <w:shd w:val="clear" w:color="auto" w:fill="C6EFCE"/>
            <w:noWrap/>
          </w:tcPr>
          <w:p w14:paraId="78AF54D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79564FC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7F40AFB5" w14:textId="77E7129E" w:rsidR="00CE3BAD" w:rsidRPr="00782BF9" w:rsidRDefault="006B5475">
            <w:pPr>
              <w:pStyle w:val="P68B1DB1-Normal10"/>
              <w:spacing w:before="120" w:after="120" w:line="240" w:lineRule="auto"/>
              <w:jc w:val="both"/>
              <w:rPr>
                <w:rFonts w:eastAsia="Calibri" w:cstheme="minorHAnsi"/>
                <w:noProof/>
                <w:lang w:val="bg-BG"/>
              </w:rPr>
            </w:pPr>
            <w:r w:rsidRPr="00782BF9">
              <w:rPr>
                <w:rFonts w:cstheme="minorHAnsi"/>
                <w:noProof/>
                <w:lang w:val="bg-BG"/>
              </w:rPr>
              <w:t>Най-малко 1</w:t>
            </w:r>
            <w:r w:rsidRPr="00782BF9">
              <w:rPr>
                <w:noProof/>
                <w:color w:val="006100"/>
                <w:lang w:val="bg-BG"/>
              </w:rPr>
              <w:t xml:space="preserve"> </w:t>
            </w:r>
            <w:r w:rsidRPr="00782BF9">
              <w:rPr>
                <w:rFonts w:cstheme="minorHAnsi"/>
                <w:noProof/>
                <w:lang w:val="bg-BG"/>
              </w:rPr>
              <w:t>442</w:t>
            </w:r>
            <w:r w:rsidRPr="00782BF9">
              <w:rPr>
                <w:noProof/>
                <w:color w:val="006100"/>
                <w:lang w:val="bg-BG"/>
              </w:rPr>
              <w:t xml:space="preserve"> </w:t>
            </w:r>
            <w:r w:rsidRPr="00782BF9">
              <w:rPr>
                <w:rFonts w:cstheme="minorHAnsi"/>
                <w:noProof/>
                <w:lang w:val="bg-BG"/>
              </w:rPr>
              <w:t>000 квадратни метра разгъната застроена площ на обществените сгради трябва да са се възползвали от подобрения на енергийната ефективност. Потреблението на първична енергия на съответните обществени сгради трябва да бъде намалено с 30 % за всяка сграда.  Оценката на икономиите на първична енергия за всяка сграда се извършва от регистрирани независими енергийни одитори, експерти или регистрирани доставчици на услуги за енергийно сертифициране. Тези органи издават сертификат за енергийни характеристики, в който се оценяват постигнатите икономии на енергия.</w:t>
            </w:r>
          </w:p>
        </w:tc>
      </w:tr>
      <w:tr w:rsidR="00CE3BAD" w:rsidRPr="00782BF9" w14:paraId="765AE6C3"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7BD4560" w14:textId="4EAE8978" w:rsidR="00CE3BAD" w:rsidRPr="00782BF9" w:rsidRDefault="006B5475">
            <w:pPr>
              <w:pStyle w:val="P68B1DB1-Normal24"/>
              <w:spacing w:before="120" w:after="120" w:line="240" w:lineRule="auto"/>
              <w:jc w:val="center"/>
              <w:rPr>
                <w:rFonts w:eastAsia="Calibri"/>
                <w:noProof/>
                <w:lang w:val="bg-BG"/>
              </w:rPr>
            </w:pPr>
            <w:r w:rsidRPr="00782BF9">
              <w:rPr>
                <w:noProof/>
                <w:lang w:val="bg-BG"/>
              </w:rPr>
              <w:t>344</w:t>
            </w:r>
          </w:p>
        </w:tc>
        <w:tc>
          <w:tcPr>
            <w:tcW w:w="1705" w:type="dxa"/>
            <w:tcBorders>
              <w:top w:val="single" w:sz="4" w:space="0" w:color="auto"/>
              <w:left w:val="nil"/>
              <w:bottom w:val="single" w:sz="4" w:space="0" w:color="auto"/>
              <w:right w:val="single" w:sz="4" w:space="0" w:color="auto"/>
            </w:tcBorders>
            <w:shd w:val="clear" w:color="auto" w:fill="C6EFCE"/>
            <w:noWrap/>
          </w:tcPr>
          <w:p w14:paraId="231B3FEE"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К10.И9: Електрификация на железопътни участъци</w:t>
            </w:r>
          </w:p>
        </w:tc>
        <w:tc>
          <w:tcPr>
            <w:tcW w:w="1330" w:type="dxa"/>
            <w:tcBorders>
              <w:top w:val="single" w:sz="4" w:space="0" w:color="auto"/>
              <w:left w:val="nil"/>
              <w:bottom w:val="single" w:sz="4" w:space="0" w:color="auto"/>
              <w:right w:val="single" w:sz="4" w:space="0" w:color="auto"/>
            </w:tcBorders>
            <w:shd w:val="clear" w:color="auto" w:fill="C6EFCE"/>
            <w:noWrap/>
          </w:tcPr>
          <w:p w14:paraId="67704EF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5A9190AD"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Приключване на електрификацията на железопътната линия за отсечка „Сегед-Рьоске — граница на страната“ и свързване на железопътни линии 136 и 140</w:t>
            </w:r>
          </w:p>
        </w:tc>
        <w:tc>
          <w:tcPr>
            <w:tcW w:w="1338" w:type="dxa"/>
            <w:tcBorders>
              <w:top w:val="single" w:sz="4" w:space="0" w:color="auto"/>
              <w:left w:val="nil"/>
              <w:bottom w:val="single" w:sz="4" w:space="0" w:color="auto"/>
              <w:right w:val="single" w:sz="4" w:space="0" w:color="auto"/>
            </w:tcBorders>
            <w:shd w:val="clear" w:color="auto" w:fill="C6EFCE"/>
            <w:noWrap/>
          </w:tcPr>
          <w:p w14:paraId="1D6812DE"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3CA8963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километър</w:t>
            </w:r>
          </w:p>
        </w:tc>
        <w:tc>
          <w:tcPr>
            <w:tcW w:w="877" w:type="dxa"/>
            <w:tcBorders>
              <w:top w:val="single" w:sz="4" w:space="0" w:color="auto"/>
              <w:left w:val="nil"/>
              <w:bottom w:val="single" w:sz="4" w:space="0" w:color="auto"/>
              <w:right w:val="single" w:sz="4" w:space="0" w:color="auto"/>
            </w:tcBorders>
            <w:shd w:val="clear" w:color="auto" w:fill="C6EFCE"/>
            <w:noWrap/>
          </w:tcPr>
          <w:p w14:paraId="2A9734A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05CB32B3" w14:textId="77777777" w:rsidR="00CE3BAD" w:rsidRPr="00782BF9" w:rsidRDefault="006B5475">
            <w:pPr>
              <w:pStyle w:val="P68B1DB1-Normal24"/>
              <w:spacing w:before="120" w:after="120" w:line="240" w:lineRule="auto"/>
              <w:jc w:val="center"/>
              <w:rPr>
                <w:rFonts w:eastAsia="Calibri"/>
                <w:noProof/>
                <w:highlight w:val="yellow"/>
                <w:lang w:val="bg-BG"/>
              </w:rPr>
            </w:pPr>
            <w:r w:rsidRPr="00782BF9">
              <w:rPr>
                <w:noProof/>
                <w:lang w:val="bg-BG"/>
              </w:rPr>
              <w:t>14.5</w:t>
            </w:r>
          </w:p>
        </w:tc>
        <w:tc>
          <w:tcPr>
            <w:tcW w:w="850" w:type="dxa"/>
            <w:tcBorders>
              <w:top w:val="single" w:sz="4" w:space="0" w:color="auto"/>
              <w:left w:val="nil"/>
              <w:bottom w:val="single" w:sz="4" w:space="0" w:color="auto"/>
              <w:right w:val="single" w:sz="4" w:space="0" w:color="auto"/>
            </w:tcBorders>
            <w:shd w:val="clear" w:color="auto" w:fill="C6EFCE"/>
            <w:noWrap/>
          </w:tcPr>
          <w:p w14:paraId="5F64BC9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36A2E1B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21B9F78F"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Железопътният участък „Сегед-Ренцьо — Рьоске — граница на страната“ ще бъде електрифициран, а железопътни линии 136 и 140 ще бъдат свързани с нов електрифициран коловоз делта. Трябва да се докаже съответствие с целите на кръговата икономика за настоящия раздел, както е посочено в описанието на мярката.</w:t>
            </w:r>
          </w:p>
        </w:tc>
      </w:tr>
      <w:tr w:rsidR="00CE3BAD" w:rsidRPr="00782BF9" w14:paraId="11A82626"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853C16D" w14:textId="18DCA261" w:rsidR="00CE3BAD" w:rsidRPr="00782BF9" w:rsidRDefault="006B5475">
            <w:pPr>
              <w:pStyle w:val="P68B1DB1-Normal24"/>
              <w:spacing w:before="120" w:after="120" w:line="240" w:lineRule="auto"/>
              <w:jc w:val="center"/>
              <w:rPr>
                <w:rFonts w:eastAsia="Calibri"/>
                <w:noProof/>
                <w:lang w:val="bg-BG"/>
              </w:rPr>
            </w:pPr>
            <w:r w:rsidRPr="00782BF9">
              <w:rPr>
                <w:noProof/>
                <w:lang w:val="bg-BG"/>
              </w:rPr>
              <w:t>345</w:t>
            </w:r>
          </w:p>
        </w:tc>
        <w:tc>
          <w:tcPr>
            <w:tcW w:w="1705" w:type="dxa"/>
            <w:tcBorders>
              <w:top w:val="single" w:sz="4" w:space="0" w:color="auto"/>
              <w:left w:val="nil"/>
              <w:bottom w:val="single" w:sz="4" w:space="0" w:color="auto"/>
              <w:right w:val="single" w:sz="4" w:space="0" w:color="auto"/>
            </w:tcBorders>
            <w:shd w:val="clear" w:color="auto" w:fill="C6EFCE"/>
            <w:noWrap/>
          </w:tcPr>
          <w:p w14:paraId="60302C5E"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 К10.И9: Електрификация на железопътни участъци</w:t>
            </w:r>
          </w:p>
        </w:tc>
        <w:tc>
          <w:tcPr>
            <w:tcW w:w="1330" w:type="dxa"/>
            <w:tcBorders>
              <w:top w:val="single" w:sz="4" w:space="0" w:color="auto"/>
              <w:left w:val="nil"/>
              <w:bottom w:val="single" w:sz="4" w:space="0" w:color="auto"/>
              <w:right w:val="single" w:sz="4" w:space="0" w:color="auto"/>
            </w:tcBorders>
            <w:shd w:val="clear" w:color="auto" w:fill="C6EFCE"/>
            <w:noWrap/>
          </w:tcPr>
          <w:p w14:paraId="3322EDB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5E06379B"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Изграждане или реконструкция на електрически подстанции за железопътна мрежа </w:t>
            </w:r>
          </w:p>
        </w:tc>
        <w:tc>
          <w:tcPr>
            <w:tcW w:w="1338" w:type="dxa"/>
            <w:tcBorders>
              <w:top w:val="single" w:sz="4" w:space="0" w:color="auto"/>
              <w:left w:val="nil"/>
              <w:bottom w:val="single" w:sz="4" w:space="0" w:color="auto"/>
              <w:right w:val="single" w:sz="4" w:space="0" w:color="auto"/>
            </w:tcBorders>
            <w:shd w:val="clear" w:color="auto" w:fill="C6EFCE"/>
            <w:noWrap/>
          </w:tcPr>
          <w:p w14:paraId="2F902301"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479BB434"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 на подстанциите</w:t>
            </w:r>
          </w:p>
        </w:tc>
        <w:tc>
          <w:tcPr>
            <w:tcW w:w="877" w:type="dxa"/>
            <w:tcBorders>
              <w:top w:val="single" w:sz="4" w:space="0" w:color="auto"/>
              <w:left w:val="nil"/>
              <w:bottom w:val="single" w:sz="4" w:space="0" w:color="auto"/>
              <w:right w:val="single" w:sz="4" w:space="0" w:color="auto"/>
            </w:tcBorders>
            <w:shd w:val="clear" w:color="auto" w:fill="C6EFCE"/>
            <w:noWrap/>
          </w:tcPr>
          <w:p w14:paraId="3B5D1CB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7E243D12"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7</w:t>
            </w:r>
          </w:p>
        </w:tc>
        <w:tc>
          <w:tcPr>
            <w:tcW w:w="850" w:type="dxa"/>
            <w:tcBorders>
              <w:top w:val="single" w:sz="4" w:space="0" w:color="auto"/>
              <w:left w:val="nil"/>
              <w:bottom w:val="single" w:sz="4" w:space="0" w:color="auto"/>
              <w:right w:val="single" w:sz="4" w:space="0" w:color="auto"/>
            </w:tcBorders>
            <w:shd w:val="clear" w:color="auto" w:fill="C6EFCE"/>
            <w:noWrap/>
          </w:tcPr>
          <w:p w14:paraId="4F47E781" w14:textId="4E7259A2" w:rsidR="00CE3BAD" w:rsidRPr="00782BF9" w:rsidRDefault="006B5475">
            <w:pPr>
              <w:pStyle w:val="P68B1DB1-Normal24"/>
              <w:spacing w:before="120" w:after="120" w:line="240" w:lineRule="auto"/>
              <w:jc w:val="center"/>
              <w:rPr>
                <w:rFonts w:eastAsia="Calibri"/>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14892565"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6C6C4BE3"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Трябва да бъдат изградени или реконструирани седем електрически подстанции, включително пълното обновяване на трансформаторите и комутационните апарати. Въпросните подстанции са Tatabánya, Kimle, Szabadegyháza, Füzesabony, Nyékládháza, rmező, Kisvárda</w:t>
            </w:r>
          </w:p>
        </w:tc>
      </w:tr>
      <w:tr w:rsidR="00CE3BAD" w:rsidRPr="00782BF9" w14:paraId="413FBD8A"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7ACC3BD2" w14:textId="634E1849" w:rsidR="00CE3BAD" w:rsidRPr="00782BF9" w:rsidRDefault="006B5475">
            <w:pPr>
              <w:pStyle w:val="P68B1DB1-Normal24"/>
              <w:spacing w:before="120" w:after="120" w:line="240" w:lineRule="auto"/>
              <w:jc w:val="center"/>
              <w:rPr>
                <w:rFonts w:eastAsia="Calibri"/>
                <w:noProof/>
                <w:lang w:val="bg-BG"/>
              </w:rPr>
            </w:pPr>
            <w:r w:rsidRPr="00782BF9">
              <w:rPr>
                <w:noProof/>
                <w:lang w:val="bg-BG"/>
              </w:rPr>
              <w:t>346</w:t>
            </w:r>
          </w:p>
        </w:tc>
        <w:tc>
          <w:tcPr>
            <w:tcW w:w="1705" w:type="dxa"/>
            <w:tcBorders>
              <w:top w:val="single" w:sz="4" w:space="0" w:color="auto"/>
              <w:left w:val="nil"/>
              <w:bottom w:val="single" w:sz="4" w:space="0" w:color="auto"/>
              <w:right w:val="single" w:sz="4" w:space="0" w:color="auto"/>
            </w:tcBorders>
            <w:shd w:val="clear" w:color="auto" w:fill="C6EFCE"/>
            <w:noWrap/>
          </w:tcPr>
          <w:p w14:paraId="081FD417"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К10.И10: Насърчаване на навлизането на електрически превозни средства с акумулаторни батерии в частния сектор (BEV)</w:t>
            </w:r>
          </w:p>
          <w:p w14:paraId="48181FF1" w14:textId="77777777" w:rsidR="00CE3BAD" w:rsidRPr="00782BF9" w:rsidRDefault="00CE3BAD">
            <w:pPr>
              <w:spacing w:before="120" w:after="120" w:line="240" w:lineRule="auto"/>
              <w:jc w:val="both"/>
              <w:rPr>
                <w:rFonts w:eastAsia="Times New Roman" w:cstheme="minorHAnsi"/>
                <w:noProof/>
                <w:sz w:val="18"/>
                <w:lang w:val="bg-BG"/>
              </w:rPr>
            </w:pPr>
          </w:p>
        </w:tc>
        <w:tc>
          <w:tcPr>
            <w:tcW w:w="1330" w:type="dxa"/>
            <w:tcBorders>
              <w:top w:val="single" w:sz="4" w:space="0" w:color="auto"/>
              <w:left w:val="nil"/>
              <w:bottom w:val="single" w:sz="4" w:space="0" w:color="auto"/>
              <w:right w:val="single" w:sz="4" w:space="0" w:color="auto"/>
            </w:tcBorders>
            <w:shd w:val="clear" w:color="auto" w:fill="C6EFCE"/>
            <w:noWrap/>
          </w:tcPr>
          <w:p w14:paraId="608E331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4A4C0C8B"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Обявяване на покана за представяне на предложения за проекти за закупуване на електрически превозни средства, задвижвани с акумулаторни батерии</w:t>
            </w:r>
          </w:p>
        </w:tc>
        <w:tc>
          <w:tcPr>
            <w:tcW w:w="1338" w:type="dxa"/>
            <w:tcBorders>
              <w:top w:val="single" w:sz="4" w:space="0" w:color="auto"/>
              <w:left w:val="nil"/>
              <w:bottom w:val="single" w:sz="4" w:space="0" w:color="auto"/>
              <w:right w:val="single" w:sz="4" w:space="0" w:color="auto"/>
            </w:tcBorders>
            <w:shd w:val="clear" w:color="auto" w:fill="C6EFCE"/>
            <w:noWrap/>
          </w:tcPr>
          <w:p w14:paraId="628A19F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Публикуване на поканата за представяне на предложения на официалния уебсайт на правителството</w:t>
            </w:r>
          </w:p>
        </w:tc>
        <w:tc>
          <w:tcPr>
            <w:tcW w:w="1116" w:type="dxa"/>
            <w:tcBorders>
              <w:top w:val="single" w:sz="4" w:space="0" w:color="auto"/>
              <w:left w:val="nil"/>
              <w:bottom w:val="single" w:sz="4" w:space="0" w:color="auto"/>
              <w:right w:val="single" w:sz="4" w:space="0" w:color="auto"/>
            </w:tcBorders>
            <w:shd w:val="clear" w:color="auto" w:fill="C6EFCE"/>
            <w:noWrap/>
          </w:tcPr>
          <w:p w14:paraId="67141BE2"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097E9B8D" w14:textId="77777777" w:rsidR="00CE3BAD" w:rsidRPr="00782BF9" w:rsidRDefault="00CE3BAD">
            <w:pPr>
              <w:spacing w:before="120" w:after="120" w:line="240" w:lineRule="auto"/>
              <w:jc w:val="center"/>
              <w:rPr>
                <w:rFonts w:eastAsia="Calibri"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592219A8" w14:textId="77777777" w:rsidR="00CE3BAD" w:rsidRPr="00782BF9" w:rsidRDefault="00CE3BAD">
            <w:pPr>
              <w:spacing w:before="120" w:after="120" w:line="240" w:lineRule="auto"/>
              <w:jc w:val="center"/>
              <w:rPr>
                <w:rFonts w:eastAsia="Calibri"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0C3F2D0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noWrap/>
          </w:tcPr>
          <w:p w14:paraId="6EAF4E11"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5652CAED"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На уебсайта на правителството се публикува покана за представяне на предложения за закупуване и пускане в експлоатация на електрически превозни средства, задвижвани с акумулаторни батерии. Дружествата, които отговарят на условията за кандидатстване, са операторите за съвместно ползване на автомобили и дружествата за превоз на пътници. Допустимите превозни средства, които се закупуват от крайните получатели, включват електрически автомобили, задвижвани с акумулаторни батерии, леки търговски превозни средства и микробуси. В поканата се посочва, че крайните получатели закупуват само задвижвани с акумулаторни батерии електрически превозни средства.</w:t>
            </w:r>
          </w:p>
        </w:tc>
      </w:tr>
      <w:tr w:rsidR="00CE3BAD" w:rsidRPr="00782BF9" w14:paraId="7C78F39D"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5572FFF" w14:textId="46069970"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347</w:t>
            </w:r>
          </w:p>
        </w:tc>
        <w:tc>
          <w:tcPr>
            <w:tcW w:w="1705" w:type="dxa"/>
            <w:tcBorders>
              <w:top w:val="single" w:sz="4" w:space="0" w:color="auto"/>
              <w:left w:val="nil"/>
              <w:bottom w:val="single" w:sz="4" w:space="0" w:color="auto"/>
              <w:right w:val="single" w:sz="4" w:space="0" w:color="auto"/>
            </w:tcBorders>
            <w:shd w:val="clear" w:color="auto" w:fill="C6EFCE"/>
            <w:noWrap/>
          </w:tcPr>
          <w:p w14:paraId="3CD933D0"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К10.И10: Насърчаване на навлизането на електрически превозни средства с акумулаторни батерии в частния сектор (BEV)</w:t>
            </w:r>
          </w:p>
        </w:tc>
        <w:tc>
          <w:tcPr>
            <w:tcW w:w="1330" w:type="dxa"/>
            <w:tcBorders>
              <w:top w:val="single" w:sz="4" w:space="0" w:color="auto"/>
              <w:left w:val="nil"/>
              <w:bottom w:val="single" w:sz="4" w:space="0" w:color="auto"/>
              <w:right w:val="single" w:sz="4" w:space="0" w:color="auto"/>
            </w:tcBorders>
            <w:shd w:val="clear" w:color="auto" w:fill="C6EFCE"/>
            <w:noWrap/>
          </w:tcPr>
          <w:p w14:paraId="73A574C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2D7EA5D4"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Електрически превозни средства, задвижвани с акумулаторни батерии, закупени и пуснати в експлоатация</w:t>
            </w:r>
          </w:p>
        </w:tc>
        <w:tc>
          <w:tcPr>
            <w:tcW w:w="1338" w:type="dxa"/>
            <w:tcBorders>
              <w:top w:val="single" w:sz="4" w:space="0" w:color="auto"/>
              <w:left w:val="nil"/>
              <w:bottom w:val="single" w:sz="4" w:space="0" w:color="auto"/>
              <w:right w:val="single" w:sz="4" w:space="0" w:color="auto"/>
            </w:tcBorders>
            <w:shd w:val="clear" w:color="auto" w:fill="C6EFCE"/>
            <w:noWrap/>
          </w:tcPr>
          <w:p w14:paraId="6EAC8942" w14:textId="77777777" w:rsidR="00CE3BAD" w:rsidRPr="00782BF9" w:rsidRDefault="00CE3BAD">
            <w:pPr>
              <w:spacing w:before="120" w:after="120" w:line="240" w:lineRule="auto"/>
              <w:jc w:val="center"/>
              <w:rPr>
                <w:rFonts w:eastAsia="Calibri"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6C1AA19C"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54B6C898"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033A50DB" w14:textId="129FAEEC" w:rsidR="00CE3BAD" w:rsidRPr="00782BF9" w:rsidRDefault="006B5475">
            <w:pPr>
              <w:pStyle w:val="P68B1DB1-Normal10"/>
              <w:spacing w:before="120" w:after="120" w:line="240" w:lineRule="auto"/>
              <w:jc w:val="center"/>
              <w:rPr>
                <w:rFonts w:eastAsia="Calibri" w:cstheme="minorHAnsi"/>
                <w:noProof/>
                <w:lang w:val="bg-BG"/>
              </w:rPr>
            </w:pPr>
            <w:r w:rsidRPr="00782BF9">
              <w:rPr>
                <w:rFonts w:cstheme="minorHAnsi"/>
                <w:noProof/>
                <w:lang w:val="bg-BG"/>
              </w:rPr>
              <w:t>12</w:t>
            </w:r>
            <w:r w:rsidRPr="00782BF9">
              <w:rPr>
                <w:noProof/>
                <w:color w:val="006100"/>
                <w:lang w:val="bg-BG"/>
              </w:rPr>
              <w:t xml:space="preserve"> </w:t>
            </w:r>
            <w:r w:rsidRPr="00782BF9">
              <w:rPr>
                <w:rFonts w:cstheme="minorHAnsi"/>
                <w:noProof/>
                <w:lang w:val="bg-BG"/>
              </w:rPr>
              <w:t>500</w:t>
            </w:r>
          </w:p>
        </w:tc>
        <w:tc>
          <w:tcPr>
            <w:tcW w:w="850" w:type="dxa"/>
            <w:tcBorders>
              <w:top w:val="single" w:sz="4" w:space="0" w:color="auto"/>
              <w:left w:val="nil"/>
              <w:bottom w:val="single" w:sz="4" w:space="0" w:color="auto"/>
              <w:right w:val="single" w:sz="4" w:space="0" w:color="auto"/>
            </w:tcBorders>
            <w:shd w:val="clear" w:color="auto" w:fill="C6EFCE"/>
            <w:noWrap/>
          </w:tcPr>
          <w:p w14:paraId="6F3C88AB"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0054014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31C20CFC" w14:textId="72D57510" w:rsidR="00CE3BAD" w:rsidRPr="00782BF9" w:rsidRDefault="006B5475">
            <w:pPr>
              <w:pStyle w:val="P68B1DB1-Normal10"/>
              <w:spacing w:before="120" w:after="120" w:line="240" w:lineRule="auto"/>
              <w:jc w:val="both"/>
              <w:rPr>
                <w:rFonts w:eastAsia="Calibri" w:cstheme="minorHAnsi"/>
                <w:noProof/>
                <w:lang w:val="bg-BG"/>
              </w:rPr>
            </w:pPr>
            <w:r w:rsidRPr="00782BF9">
              <w:rPr>
                <w:rFonts w:cstheme="minorHAnsi"/>
                <w:noProof/>
                <w:lang w:val="bg-BG"/>
              </w:rPr>
              <w:t>Най-малко 12</w:t>
            </w:r>
            <w:r w:rsidRPr="00782BF9">
              <w:rPr>
                <w:noProof/>
                <w:color w:val="006100"/>
                <w:lang w:val="bg-BG"/>
              </w:rPr>
              <w:t xml:space="preserve"> </w:t>
            </w:r>
            <w:r w:rsidRPr="00782BF9">
              <w:rPr>
                <w:rFonts w:cstheme="minorHAnsi"/>
                <w:noProof/>
                <w:lang w:val="bg-BG"/>
              </w:rPr>
              <w:t>500 нови задвижвани с акумулаторни батерии електрически превозни средства (автомобили, леки търговски превозни средства и микробуси) се закупуват и пускат в експлоатация от крайни получатели, които са получили подпомагане с безвъзмездни средства по тази мярка.</w:t>
            </w:r>
          </w:p>
        </w:tc>
      </w:tr>
      <w:tr w:rsidR="00CE3BAD" w:rsidRPr="00782BF9" w14:paraId="3779993D"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726D4FB" w14:textId="06392D44"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348</w:t>
            </w:r>
          </w:p>
        </w:tc>
        <w:tc>
          <w:tcPr>
            <w:tcW w:w="1705" w:type="dxa"/>
            <w:tcBorders>
              <w:top w:val="single" w:sz="4" w:space="0" w:color="auto"/>
              <w:left w:val="nil"/>
              <w:bottom w:val="single" w:sz="4" w:space="0" w:color="auto"/>
              <w:right w:val="single" w:sz="4" w:space="0" w:color="auto"/>
            </w:tcBorders>
            <w:shd w:val="clear" w:color="auto" w:fill="C6EFCE"/>
            <w:noWrap/>
          </w:tcPr>
          <w:p w14:paraId="37C58045"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К10.И11: Подкрепа за проучване на геотермална енергия </w:t>
            </w:r>
          </w:p>
        </w:tc>
        <w:tc>
          <w:tcPr>
            <w:tcW w:w="1330" w:type="dxa"/>
            <w:tcBorders>
              <w:top w:val="single" w:sz="4" w:space="0" w:color="auto"/>
              <w:left w:val="nil"/>
              <w:bottom w:val="single" w:sz="4" w:space="0" w:color="auto"/>
              <w:right w:val="single" w:sz="4" w:space="0" w:color="auto"/>
            </w:tcBorders>
            <w:shd w:val="clear" w:color="auto" w:fill="C6EFCE"/>
            <w:noWrap/>
          </w:tcPr>
          <w:p w14:paraId="2ED69DCD"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7A7086EE"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Влизане в сила на споразуменията за отпускане на безвъзмездна финансова помощ за геотермални проучвателни дейности</w:t>
            </w:r>
          </w:p>
        </w:tc>
        <w:tc>
          <w:tcPr>
            <w:tcW w:w="1338" w:type="dxa"/>
            <w:tcBorders>
              <w:top w:val="single" w:sz="4" w:space="0" w:color="auto"/>
              <w:left w:val="nil"/>
              <w:bottom w:val="single" w:sz="4" w:space="0" w:color="auto"/>
              <w:right w:val="single" w:sz="4" w:space="0" w:color="auto"/>
            </w:tcBorders>
            <w:shd w:val="clear" w:color="auto" w:fill="C6EFCE"/>
            <w:noWrap/>
          </w:tcPr>
          <w:p w14:paraId="49F540E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Влизане в сила на споразуменията за отпускане на безвъзмездни средства</w:t>
            </w:r>
          </w:p>
        </w:tc>
        <w:tc>
          <w:tcPr>
            <w:tcW w:w="1116" w:type="dxa"/>
            <w:tcBorders>
              <w:top w:val="single" w:sz="4" w:space="0" w:color="auto"/>
              <w:left w:val="nil"/>
              <w:bottom w:val="single" w:sz="4" w:space="0" w:color="auto"/>
              <w:right w:val="single" w:sz="4" w:space="0" w:color="auto"/>
            </w:tcBorders>
            <w:shd w:val="clear" w:color="auto" w:fill="C6EFCE"/>
            <w:noWrap/>
          </w:tcPr>
          <w:p w14:paraId="60C80C93" w14:textId="77777777" w:rsidR="00CE3BAD" w:rsidRPr="00782BF9" w:rsidRDefault="00CE3BAD">
            <w:pPr>
              <w:spacing w:before="120" w:after="120" w:line="240" w:lineRule="auto"/>
              <w:jc w:val="center"/>
              <w:rPr>
                <w:rFonts w:eastAsia="Times New Roman"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75974CC0" w14:textId="77777777" w:rsidR="00CE3BAD" w:rsidRPr="00782BF9" w:rsidRDefault="00CE3BAD">
            <w:pPr>
              <w:spacing w:before="120" w:after="120" w:line="240" w:lineRule="auto"/>
              <w:jc w:val="center"/>
              <w:rPr>
                <w:rFonts w:eastAsia="Times New Roman"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48684A6D" w14:textId="77777777" w:rsidR="00CE3BAD" w:rsidRPr="00782BF9" w:rsidRDefault="00CE3BAD">
            <w:pPr>
              <w:spacing w:before="120" w:after="120" w:line="240" w:lineRule="auto"/>
              <w:jc w:val="center"/>
              <w:rPr>
                <w:rFonts w:eastAsia="Times New Roman"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63FC07F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Т4 Г.</w:t>
            </w:r>
          </w:p>
        </w:tc>
        <w:tc>
          <w:tcPr>
            <w:tcW w:w="709" w:type="dxa"/>
            <w:tcBorders>
              <w:top w:val="single" w:sz="4" w:space="0" w:color="auto"/>
              <w:left w:val="nil"/>
              <w:bottom w:val="single" w:sz="4" w:space="0" w:color="auto"/>
              <w:right w:val="single" w:sz="4" w:space="0" w:color="auto"/>
            </w:tcBorders>
            <w:shd w:val="clear" w:color="auto" w:fill="C6EFCE"/>
            <w:noWrap/>
          </w:tcPr>
          <w:p w14:paraId="56CB97A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5B85CF96"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След отправянето на покана за подаване на заявления за получаване на подкрепа за геотермални проучвателни дейности по тази мярка, с успешните кандидати се подписват най-малко 20 споразумения за отпускане на безвъзмездна финансова помощ. В поканата за представяне на кандидатури се изисква проектите да постигат прогнозираните емисии на парникови газове в съответствие с условията в описанието на мярката. Подборът на успешните кандидати се основава на открит, прозрачен и недискриминационен процес. Организация, независима от правителството и с широко признат експертен опит в геотермалния сектор, удостоверява, че подборът отговаря на горепосочените критерии и че оценката на заявленията е извършена въз основа на критериите за допустимост и подбор, посочени в поканата.  </w:t>
            </w:r>
          </w:p>
        </w:tc>
      </w:tr>
      <w:tr w:rsidR="00CE3BAD" w:rsidRPr="00782BF9" w14:paraId="0DCEBC74"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EF89AA4" w14:textId="5A8A396E"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349</w:t>
            </w:r>
          </w:p>
        </w:tc>
        <w:tc>
          <w:tcPr>
            <w:tcW w:w="1705" w:type="dxa"/>
            <w:tcBorders>
              <w:top w:val="single" w:sz="4" w:space="0" w:color="auto"/>
              <w:left w:val="nil"/>
              <w:bottom w:val="single" w:sz="4" w:space="0" w:color="auto"/>
              <w:right w:val="single" w:sz="4" w:space="0" w:color="auto"/>
            </w:tcBorders>
            <w:shd w:val="clear" w:color="auto" w:fill="C6EFCE"/>
            <w:noWrap/>
          </w:tcPr>
          <w:p w14:paraId="32516B7B"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 xml:space="preserve">К10.И11: Подкрепа за проучване на геотермална енергия </w:t>
            </w:r>
          </w:p>
        </w:tc>
        <w:tc>
          <w:tcPr>
            <w:tcW w:w="1330" w:type="dxa"/>
            <w:tcBorders>
              <w:top w:val="single" w:sz="4" w:space="0" w:color="auto"/>
              <w:left w:val="nil"/>
              <w:bottom w:val="single" w:sz="4" w:space="0" w:color="auto"/>
              <w:right w:val="single" w:sz="4" w:space="0" w:color="auto"/>
            </w:tcBorders>
            <w:shd w:val="clear" w:color="auto" w:fill="C6EFCE"/>
            <w:noWrap/>
          </w:tcPr>
          <w:p w14:paraId="789528B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0D480F49"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Брой завършени геотермални проучвателни дейности</w:t>
            </w:r>
          </w:p>
        </w:tc>
        <w:tc>
          <w:tcPr>
            <w:tcW w:w="1338" w:type="dxa"/>
            <w:tcBorders>
              <w:top w:val="single" w:sz="4" w:space="0" w:color="auto"/>
              <w:left w:val="nil"/>
              <w:bottom w:val="single" w:sz="4" w:space="0" w:color="auto"/>
              <w:right w:val="single" w:sz="4" w:space="0" w:color="auto"/>
            </w:tcBorders>
            <w:shd w:val="clear" w:color="auto" w:fill="C6EFCE"/>
            <w:noWrap/>
          </w:tcPr>
          <w:p w14:paraId="207F217D" w14:textId="77777777" w:rsidR="00CE3BAD" w:rsidRPr="00782BF9" w:rsidRDefault="00CE3BAD">
            <w:pPr>
              <w:spacing w:before="120" w:after="120" w:line="240" w:lineRule="auto"/>
              <w:jc w:val="center"/>
              <w:rPr>
                <w:rFonts w:eastAsia="Times New Roman"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48347434"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Брой</w:t>
            </w:r>
          </w:p>
        </w:tc>
        <w:tc>
          <w:tcPr>
            <w:tcW w:w="877" w:type="dxa"/>
            <w:tcBorders>
              <w:top w:val="single" w:sz="4" w:space="0" w:color="auto"/>
              <w:left w:val="nil"/>
              <w:bottom w:val="single" w:sz="4" w:space="0" w:color="auto"/>
              <w:right w:val="single" w:sz="4" w:space="0" w:color="auto"/>
            </w:tcBorders>
            <w:shd w:val="clear" w:color="auto" w:fill="C6EFCE"/>
            <w:noWrap/>
          </w:tcPr>
          <w:p w14:paraId="1F5AC6C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7888C2F7" w14:textId="27F5B93E"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13</w:t>
            </w:r>
          </w:p>
        </w:tc>
        <w:tc>
          <w:tcPr>
            <w:tcW w:w="850" w:type="dxa"/>
            <w:tcBorders>
              <w:top w:val="single" w:sz="4" w:space="0" w:color="auto"/>
              <w:left w:val="nil"/>
              <w:bottom w:val="single" w:sz="4" w:space="0" w:color="auto"/>
              <w:right w:val="single" w:sz="4" w:space="0" w:color="auto"/>
            </w:tcBorders>
            <w:shd w:val="clear" w:color="auto" w:fill="C6EFCE"/>
            <w:noWrap/>
          </w:tcPr>
          <w:p w14:paraId="31AC758B" w14:textId="18D0389F"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40261A0E" w14:textId="0718EEFA"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10C26CA5" w14:textId="62949DAC"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Трябва да бъдат завършени най-малко 13 геотермални проучвателни дейности. Резултатите и подробностите за извършените дейности се публикуват на интернет страницата на Министерството на енергетиката.  </w:t>
            </w:r>
          </w:p>
        </w:tc>
      </w:tr>
      <w:tr w:rsidR="00CE3BAD" w:rsidRPr="00782BF9" w14:paraId="7A1F6E21"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4F205EB2" w14:textId="03CA25DA"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350</w:t>
            </w:r>
          </w:p>
        </w:tc>
        <w:tc>
          <w:tcPr>
            <w:tcW w:w="1705" w:type="dxa"/>
            <w:tcBorders>
              <w:top w:val="single" w:sz="4" w:space="0" w:color="auto"/>
              <w:left w:val="nil"/>
              <w:bottom w:val="single" w:sz="4" w:space="0" w:color="auto"/>
              <w:right w:val="single" w:sz="4" w:space="0" w:color="auto"/>
            </w:tcBorders>
            <w:shd w:val="clear" w:color="auto" w:fill="C6EFCE"/>
            <w:noWrap/>
          </w:tcPr>
          <w:p w14:paraId="27DDA11E" w14:textId="77777777" w:rsidR="00CE3BAD" w:rsidRPr="00782BF9" w:rsidRDefault="006B5475">
            <w:pPr>
              <w:pStyle w:val="P68B1DB1-Normal24"/>
              <w:spacing w:before="120" w:after="120" w:line="240" w:lineRule="auto"/>
              <w:jc w:val="both"/>
              <w:rPr>
                <w:rFonts w:eastAsia="Calibri"/>
                <w:noProof/>
                <w:highlight w:val="yellow"/>
                <w:lang w:val="bg-BG"/>
              </w:rPr>
            </w:pPr>
            <w:r w:rsidRPr="00782BF9">
              <w:rPr>
                <w:noProof/>
                <w:lang w:val="bg-BG"/>
              </w:rPr>
              <w:t>К10.И12: Създаване на финансов инструмент за подобряване на енергийната ефективност на дружествата</w:t>
            </w:r>
          </w:p>
        </w:tc>
        <w:tc>
          <w:tcPr>
            <w:tcW w:w="1330" w:type="dxa"/>
            <w:tcBorders>
              <w:top w:val="single" w:sz="4" w:space="0" w:color="auto"/>
              <w:left w:val="nil"/>
              <w:bottom w:val="single" w:sz="4" w:space="0" w:color="auto"/>
              <w:right w:val="single" w:sz="4" w:space="0" w:color="auto"/>
            </w:tcBorders>
            <w:shd w:val="clear" w:color="auto" w:fill="C6EFCE"/>
            <w:noWrap/>
          </w:tcPr>
          <w:p w14:paraId="7C7AB630" w14:textId="77777777" w:rsidR="00CE3BAD" w:rsidRPr="00782BF9" w:rsidRDefault="006B5475">
            <w:pPr>
              <w:pStyle w:val="P68B1DB1-Normal24"/>
              <w:spacing w:before="120" w:after="120" w:line="240" w:lineRule="auto"/>
              <w:jc w:val="center"/>
              <w:rPr>
                <w:rFonts w:eastAsia="Times New Roman"/>
                <w:noProof/>
                <w:highlight w:val="yellow"/>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0AAC5BC8" w14:textId="77777777" w:rsidR="00CE3BAD" w:rsidRPr="00782BF9" w:rsidRDefault="006B5475">
            <w:pPr>
              <w:pStyle w:val="P68B1DB1-Normal24"/>
              <w:spacing w:before="120" w:after="120" w:line="240" w:lineRule="auto"/>
              <w:jc w:val="both"/>
              <w:rPr>
                <w:rFonts w:eastAsia="Times New Roman"/>
                <w:noProof/>
                <w:highlight w:val="yellow"/>
                <w:lang w:val="bg-BG"/>
              </w:rPr>
            </w:pPr>
            <w:r w:rsidRPr="00782BF9">
              <w:rPr>
                <w:noProof/>
                <w:lang w:val="bg-BG"/>
              </w:rPr>
              <w:t>Споразумение за изпълнение</w:t>
            </w:r>
          </w:p>
        </w:tc>
        <w:tc>
          <w:tcPr>
            <w:tcW w:w="1338" w:type="dxa"/>
            <w:tcBorders>
              <w:top w:val="single" w:sz="4" w:space="0" w:color="auto"/>
              <w:left w:val="nil"/>
              <w:bottom w:val="single" w:sz="4" w:space="0" w:color="auto"/>
              <w:right w:val="single" w:sz="4" w:space="0" w:color="auto"/>
            </w:tcBorders>
            <w:shd w:val="clear" w:color="auto" w:fill="C6EFCE"/>
            <w:noWrap/>
          </w:tcPr>
          <w:p w14:paraId="1149C361" w14:textId="77777777" w:rsidR="00CE3BAD" w:rsidRPr="00782BF9" w:rsidRDefault="006B5475">
            <w:pPr>
              <w:pStyle w:val="P68B1DB1-Normal24"/>
              <w:spacing w:before="120" w:after="120" w:line="240" w:lineRule="auto"/>
              <w:jc w:val="center"/>
              <w:rPr>
                <w:rFonts w:eastAsia="Times New Roman"/>
                <w:noProof/>
                <w:highlight w:val="yellow"/>
                <w:lang w:val="bg-BG"/>
              </w:rPr>
            </w:pPr>
            <w:r w:rsidRPr="00782BF9">
              <w:rPr>
                <w:noProof/>
                <w:lang w:val="bg-BG"/>
              </w:rPr>
              <w:t>Влизане в сила на споразумението за прилагане</w:t>
            </w:r>
          </w:p>
        </w:tc>
        <w:tc>
          <w:tcPr>
            <w:tcW w:w="1116" w:type="dxa"/>
            <w:tcBorders>
              <w:top w:val="single" w:sz="4" w:space="0" w:color="auto"/>
              <w:left w:val="nil"/>
              <w:bottom w:val="single" w:sz="4" w:space="0" w:color="auto"/>
              <w:right w:val="single" w:sz="4" w:space="0" w:color="auto"/>
            </w:tcBorders>
            <w:shd w:val="clear" w:color="auto" w:fill="C6EFCE"/>
            <w:noWrap/>
          </w:tcPr>
          <w:p w14:paraId="55D90AC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877" w:type="dxa"/>
            <w:tcBorders>
              <w:top w:val="single" w:sz="4" w:space="0" w:color="auto"/>
              <w:left w:val="nil"/>
              <w:bottom w:val="single" w:sz="4" w:space="0" w:color="auto"/>
              <w:right w:val="single" w:sz="4" w:space="0" w:color="auto"/>
            </w:tcBorders>
            <w:shd w:val="clear" w:color="auto" w:fill="C6EFCE"/>
            <w:noWrap/>
          </w:tcPr>
          <w:p w14:paraId="0280148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1559" w:type="dxa"/>
            <w:tcBorders>
              <w:top w:val="single" w:sz="4" w:space="0" w:color="auto"/>
              <w:left w:val="nil"/>
              <w:bottom w:val="single" w:sz="4" w:space="0" w:color="auto"/>
              <w:right w:val="single" w:sz="4" w:space="0" w:color="auto"/>
            </w:tcBorders>
            <w:shd w:val="clear" w:color="auto" w:fill="C6EFCE"/>
            <w:noWrap/>
          </w:tcPr>
          <w:p w14:paraId="06A0E99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850" w:type="dxa"/>
            <w:tcBorders>
              <w:top w:val="single" w:sz="4" w:space="0" w:color="auto"/>
              <w:left w:val="nil"/>
              <w:bottom w:val="single" w:sz="4" w:space="0" w:color="auto"/>
              <w:right w:val="single" w:sz="4" w:space="0" w:color="auto"/>
            </w:tcBorders>
            <w:shd w:val="clear" w:color="auto" w:fill="C6EFCE"/>
            <w:noWrap/>
          </w:tcPr>
          <w:p w14:paraId="662D4E0C" w14:textId="77777777" w:rsidR="00CE3BAD" w:rsidRPr="00782BF9" w:rsidRDefault="006B5475">
            <w:pPr>
              <w:pStyle w:val="P68B1DB1-Normal24"/>
              <w:spacing w:before="120" w:after="120" w:line="240" w:lineRule="auto"/>
              <w:jc w:val="center"/>
              <w:rPr>
                <w:rFonts w:eastAsia="Times New Roman"/>
                <w:noProof/>
                <w:highlight w:val="yellow"/>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7318022E" w14:textId="77777777" w:rsidR="00CE3BAD" w:rsidRPr="00782BF9" w:rsidRDefault="006B5475">
            <w:pPr>
              <w:pStyle w:val="P68B1DB1-Normal24"/>
              <w:spacing w:before="120" w:after="120" w:line="240" w:lineRule="auto"/>
              <w:jc w:val="center"/>
              <w:rPr>
                <w:rFonts w:eastAsia="Times New Roman"/>
                <w:noProof/>
                <w:highlight w:val="yellow"/>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7B189BD7" w14:textId="77777777" w:rsidR="00CE3BAD" w:rsidRPr="00782BF9" w:rsidRDefault="006B5475">
            <w:pPr>
              <w:pStyle w:val="P68B1DB1-Normal24"/>
              <w:spacing w:before="120" w:after="120" w:line="240" w:lineRule="auto"/>
              <w:jc w:val="both"/>
              <w:rPr>
                <w:rFonts w:eastAsia="Times New Roman"/>
                <w:noProof/>
                <w:highlight w:val="yellow"/>
                <w:lang w:val="bg-BG"/>
              </w:rPr>
            </w:pPr>
            <w:r w:rsidRPr="00782BF9">
              <w:rPr>
                <w:noProof/>
                <w:lang w:val="bg-BG"/>
              </w:rPr>
              <w:t>Влизане в сила на споразумението за изпълнение между Унгария и Унгарската банка за развитие (Magyar Fejlesztési Bank Zrt. — MFB).</w:t>
            </w:r>
          </w:p>
        </w:tc>
      </w:tr>
      <w:tr w:rsidR="00CE3BAD" w:rsidRPr="00782BF9" w14:paraId="1E57EB40"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2D0DEE7" w14:textId="7D1ADD74"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351</w:t>
            </w:r>
          </w:p>
        </w:tc>
        <w:tc>
          <w:tcPr>
            <w:tcW w:w="1705" w:type="dxa"/>
            <w:tcBorders>
              <w:top w:val="single" w:sz="4" w:space="0" w:color="auto"/>
              <w:left w:val="nil"/>
              <w:bottom w:val="single" w:sz="4" w:space="0" w:color="auto"/>
              <w:right w:val="single" w:sz="4" w:space="0" w:color="auto"/>
            </w:tcBorders>
            <w:shd w:val="clear" w:color="auto" w:fill="C6EFCE"/>
            <w:noWrap/>
          </w:tcPr>
          <w:p w14:paraId="42040196"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К10.И12: Създаване на финансов инструмент за подобряване на енергийната ефективност на дружествата</w:t>
            </w:r>
          </w:p>
        </w:tc>
        <w:tc>
          <w:tcPr>
            <w:tcW w:w="1330" w:type="dxa"/>
            <w:tcBorders>
              <w:top w:val="single" w:sz="4" w:space="0" w:color="auto"/>
              <w:left w:val="nil"/>
              <w:bottom w:val="single" w:sz="4" w:space="0" w:color="auto"/>
              <w:right w:val="single" w:sz="4" w:space="0" w:color="auto"/>
            </w:tcBorders>
            <w:shd w:val="clear" w:color="auto" w:fill="C6EFCE"/>
            <w:noWrap/>
          </w:tcPr>
          <w:p w14:paraId="2EBD9DC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3B5A9D4E"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Правни споразумения, подписани с крайните бенефициери</w:t>
            </w:r>
          </w:p>
        </w:tc>
        <w:tc>
          <w:tcPr>
            <w:tcW w:w="1338" w:type="dxa"/>
            <w:tcBorders>
              <w:top w:val="single" w:sz="4" w:space="0" w:color="auto"/>
              <w:left w:val="nil"/>
              <w:bottom w:val="single" w:sz="4" w:space="0" w:color="auto"/>
              <w:right w:val="single" w:sz="4" w:space="0" w:color="auto"/>
            </w:tcBorders>
            <w:shd w:val="clear" w:color="auto" w:fill="C6EFCE"/>
            <w:noWrap/>
          </w:tcPr>
          <w:p w14:paraId="1E519427" w14:textId="77777777" w:rsidR="00CE3BAD" w:rsidRPr="00782BF9" w:rsidRDefault="00CE3BAD">
            <w:pPr>
              <w:spacing w:before="120" w:after="120" w:line="240" w:lineRule="auto"/>
              <w:jc w:val="center"/>
              <w:rPr>
                <w:rFonts w:eastAsia="Times New Roman"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3AAD5557"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w:t>
            </w:r>
          </w:p>
        </w:tc>
        <w:tc>
          <w:tcPr>
            <w:tcW w:w="877" w:type="dxa"/>
            <w:tcBorders>
              <w:top w:val="single" w:sz="4" w:space="0" w:color="auto"/>
              <w:left w:val="nil"/>
              <w:bottom w:val="single" w:sz="4" w:space="0" w:color="auto"/>
              <w:right w:val="single" w:sz="4" w:space="0" w:color="auto"/>
            </w:tcBorders>
            <w:shd w:val="clear" w:color="auto" w:fill="C6EFCE"/>
            <w:noWrap/>
          </w:tcPr>
          <w:p w14:paraId="26AFB4C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3DB7561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100</w:t>
            </w:r>
          </w:p>
        </w:tc>
        <w:tc>
          <w:tcPr>
            <w:tcW w:w="850" w:type="dxa"/>
            <w:tcBorders>
              <w:top w:val="single" w:sz="4" w:space="0" w:color="auto"/>
              <w:left w:val="nil"/>
              <w:bottom w:val="single" w:sz="4" w:space="0" w:color="auto"/>
              <w:right w:val="single" w:sz="4" w:space="0" w:color="auto"/>
            </w:tcBorders>
            <w:shd w:val="clear" w:color="auto" w:fill="C6EFCE"/>
            <w:noWrap/>
          </w:tcPr>
          <w:p w14:paraId="3D6F813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79BDA772"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7BCDB9A5"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ЗМФ е сключил правни споразумения за финансиране с крайни бенефициери за сума, необходима за използване на 100 % от инвестициите по МВУ в Механизма (като се вземат предвид таксите за управление). 100 % от това финансиране допринася за постигането на целите в областта на климата, като се използва методиката в приложение VI към Регламента за МВУ.</w:t>
            </w:r>
          </w:p>
        </w:tc>
      </w:tr>
      <w:tr w:rsidR="00CE3BAD" w:rsidRPr="00782BF9" w14:paraId="53C07112"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DE8B6EA" w14:textId="0AAEB35D"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352</w:t>
            </w:r>
          </w:p>
        </w:tc>
        <w:tc>
          <w:tcPr>
            <w:tcW w:w="1705" w:type="dxa"/>
            <w:tcBorders>
              <w:top w:val="single" w:sz="4" w:space="0" w:color="auto"/>
              <w:left w:val="nil"/>
              <w:bottom w:val="single" w:sz="4" w:space="0" w:color="auto"/>
              <w:right w:val="single" w:sz="4" w:space="0" w:color="auto"/>
            </w:tcBorders>
            <w:shd w:val="clear" w:color="auto" w:fill="C6EFCE"/>
            <w:noWrap/>
          </w:tcPr>
          <w:p w14:paraId="53BDFF7B"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К10.И12: Създаване на финансов инструмент за подобряване на енергийната ефективност на дружествата</w:t>
            </w:r>
          </w:p>
        </w:tc>
        <w:tc>
          <w:tcPr>
            <w:tcW w:w="1330" w:type="dxa"/>
            <w:tcBorders>
              <w:top w:val="single" w:sz="4" w:space="0" w:color="auto"/>
              <w:left w:val="nil"/>
              <w:bottom w:val="single" w:sz="4" w:space="0" w:color="auto"/>
              <w:right w:val="single" w:sz="4" w:space="0" w:color="auto"/>
            </w:tcBorders>
            <w:shd w:val="clear" w:color="auto" w:fill="C6EFCE"/>
            <w:noWrap/>
          </w:tcPr>
          <w:p w14:paraId="3AFEEEA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6116FFEB"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MFB е завършила инвестицията</w:t>
            </w:r>
          </w:p>
        </w:tc>
        <w:tc>
          <w:tcPr>
            <w:tcW w:w="1338" w:type="dxa"/>
            <w:tcBorders>
              <w:top w:val="single" w:sz="4" w:space="0" w:color="auto"/>
              <w:left w:val="nil"/>
              <w:bottom w:val="single" w:sz="4" w:space="0" w:color="auto"/>
              <w:right w:val="single" w:sz="4" w:space="0" w:color="auto"/>
            </w:tcBorders>
            <w:shd w:val="clear" w:color="auto" w:fill="C6EFCE"/>
            <w:noWrap/>
          </w:tcPr>
          <w:p w14:paraId="4A64C67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Удостоверение за прехвърляне </w:t>
            </w:r>
          </w:p>
        </w:tc>
        <w:tc>
          <w:tcPr>
            <w:tcW w:w="1116" w:type="dxa"/>
            <w:tcBorders>
              <w:top w:val="single" w:sz="4" w:space="0" w:color="auto"/>
              <w:left w:val="nil"/>
              <w:bottom w:val="single" w:sz="4" w:space="0" w:color="auto"/>
              <w:right w:val="single" w:sz="4" w:space="0" w:color="auto"/>
            </w:tcBorders>
            <w:shd w:val="clear" w:color="auto" w:fill="C6EFCE"/>
            <w:noWrap/>
          </w:tcPr>
          <w:p w14:paraId="171FADBD"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3558D698" w14:textId="77777777" w:rsidR="00CE3BAD" w:rsidRPr="00782BF9" w:rsidRDefault="00CE3BAD">
            <w:pPr>
              <w:spacing w:before="120" w:after="120" w:line="240" w:lineRule="auto"/>
              <w:jc w:val="center"/>
              <w:rPr>
                <w:rFonts w:eastAsia="Times New Roman"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2C2D6222" w14:textId="77777777" w:rsidR="00CE3BAD" w:rsidRPr="00782BF9" w:rsidRDefault="00CE3BAD">
            <w:pPr>
              <w:spacing w:before="120" w:after="120" w:line="240" w:lineRule="auto"/>
              <w:jc w:val="center"/>
              <w:rPr>
                <w:rFonts w:eastAsia="Times New Roman"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641A6ED1"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651A382B"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39E9A735" w14:textId="0201712C"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MFB прехвърля най-малко 405 703 312 EUR на финансови посредници за механизма. Освен това 55 323 179 EUR се прехвърлят на MFB като максимален таван за плащането на такси за управление на партньора по изпълнението и на финансовите посредници.</w:t>
            </w:r>
          </w:p>
        </w:tc>
      </w:tr>
      <w:tr w:rsidR="00CE3BAD" w:rsidRPr="00782BF9" w14:paraId="426838DE"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8BEB10F" w14:textId="6B23B2F3"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353</w:t>
            </w:r>
          </w:p>
        </w:tc>
        <w:tc>
          <w:tcPr>
            <w:tcW w:w="1705" w:type="dxa"/>
            <w:tcBorders>
              <w:top w:val="single" w:sz="4" w:space="0" w:color="auto"/>
              <w:left w:val="nil"/>
              <w:bottom w:val="single" w:sz="4" w:space="0" w:color="auto"/>
              <w:right w:val="single" w:sz="4" w:space="0" w:color="auto"/>
            </w:tcBorders>
            <w:shd w:val="clear" w:color="auto" w:fill="C6EFCE"/>
            <w:noWrap/>
          </w:tcPr>
          <w:p w14:paraId="669B470B"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К10.И13: Създаване на финансов инструмент за подобряване на енергийната ефективност на жилищните сгради и справяне с енергийната бедност</w:t>
            </w:r>
          </w:p>
        </w:tc>
        <w:tc>
          <w:tcPr>
            <w:tcW w:w="1330" w:type="dxa"/>
            <w:tcBorders>
              <w:top w:val="single" w:sz="4" w:space="0" w:color="auto"/>
              <w:left w:val="nil"/>
              <w:bottom w:val="single" w:sz="4" w:space="0" w:color="auto"/>
              <w:right w:val="single" w:sz="4" w:space="0" w:color="auto"/>
            </w:tcBorders>
            <w:shd w:val="clear" w:color="auto" w:fill="C6EFCE"/>
            <w:noWrap/>
          </w:tcPr>
          <w:p w14:paraId="6E014C7B"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42E00292"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Споразумение за изпълнение</w:t>
            </w:r>
          </w:p>
        </w:tc>
        <w:tc>
          <w:tcPr>
            <w:tcW w:w="1338" w:type="dxa"/>
            <w:tcBorders>
              <w:top w:val="single" w:sz="4" w:space="0" w:color="auto"/>
              <w:left w:val="nil"/>
              <w:bottom w:val="single" w:sz="4" w:space="0" w:color="auto"/>
              <w:right w:val="single" w:sz="4" w:space="0" w:color="auto"/>
            </w:tcBorders>
            <w:shd w:val="clear" w:color="auto" w:fill="C6EFCE"/>
            <w:noWrap/>
          </w:tcPr>
          <w:p w14:paraId="26CF667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споразумението за прилагане</w:t>
            </w:r>
          </w:p>
        </w:tc>
        <w:tc>
          <w:tcPr>
            <w:tcW w:w="1116" w:type="dxa"/>
            <w:tcBorders>
              <w:top w:val="single" w:sz="4" w:space="0" w:color="auto"/>
              <w:left w:val="nil"/>
              <w:bottom w:val="single" w:sz="4" w:space="0" w:color="auto"/>
              <w:right w:val="single" w:sz="4" w:space="0" w:color="auto"/>
            </w:tcBorders>
            <w:shd w:val="clear" w:color="auto" w:fill="C6EFCE"/>
            <w:noWrap/>
          </w:tcPr>
          <w:p w14:paraId="7D9BC63D"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w:t>
            </w:r>
          </w:p>
        </w:tc>
        <w:tc>
          <w:tcPr>
            <w:tcW w:w="877" w:type="dxa"/>
            <w:tcBorders>
              <w:top w:val="single" w:sz="4" w:space="0" w:color="auto"/>
              <w:left w:val="nil"/>
              <w:bottom w:val="single" w:sz="4" w:space="0" w:color="auto"/>
              <w:right w:val="single" w:sz="4" w:space="0" w:color="auto"/>
            </w:tcBorders>
            <w:shd w:val="clear" w:color="auto" w:fill="C6EFCE"/>
            <w:noWrap/>
          </w:tcPr>
          <w:p w14:paraId="5C110386"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1559" w:type="dxa"/>
            <w:tcBorders>
              <w:top w:val="single" w:sz="4" w:space="0" w:color="auto"/>
              <w:left w:val="nil"/>
              <w:bottom w:val="single" w:sz="4" w:space="0" w:color="auto"/>
              <w:right w:val="single" w:sz="4" w:space="0" w:color="auto"/>
            </w:tcBorders>
            <w:shd w:val="clear" w:color="auto" w:fill="C6EFCE"/>
            <w:noWrap/>
          </w:tcPr>
          <w:p w14:paraId="13C12524"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850" w:type="dxa"/>
            <w:tcBorders>
              <w:top w:val="single" w:sz="4" w:space="0" w:color="auto"/>
              <w:left w:val="nil"/>
              <w:bottom w:val="single" w:sz="4" w:space="0" w:color="auto"/>
              <w:right w:val="single" w:sz="4" w:space="0" w:color="auto"/>
            </w:tcBorders>
            <w:shd w:val="clear" w:color="auto" w:fill="C6EFCE"/>
            <w:noWrap/>
          </w:tcPr>
          <w:p w14:paraId="73BA9A6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58C2A12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3DAD74D7"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Влизане в сила на споразумението за изпълнение между Унгария и Унгарската банка за развитие (Magyar Fejlesztési Bank Zrt. — MFB).</w:t>
            </w:r>
          </w:p>
        </w:tc>
      </w:tr>
      <w:tr w:rsidR="00CE3BAD" w:rsidRPr="00782BF9" w14:paraId="415CCAD9"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335A718B" w14:textId="53950F02"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354</w:t>
            </w:r>
          </w:p>
        </w:tc>
        <w:tc>
          <w:tcPr>
            <w:tcW w:w="1705" w:type="dxa"/>
            <w:tcBorders>
              <w:top w:val="single" w:sz="4" w:space="0" w:color="auto"/>
              <w:left w:val="nil"/>
              <w:bottom w:val="single" w:sz="4" w:space="0" w:color="auto"/>
              <w:right w:val="single" w:sz="4" w:space="0" w:color="auto"/>
            </w:tcBorders>
            <w:shd w:val="clear" w:color="auto" w:fill="C6EFCE"/>
            <w:noWrap/>
          </w:tcPr>
          <w:p w14:paraId="2FC2B39E"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К10.И13: Създаване на финансов инструмент за подобряване на енергийната ефективност на жилищните сгради и справяне с енергийната бедност</w:t>
            </w:r>
          </w:p>
        </w:tc>
        <w:tc>
          <w:tcPr>
            <w:tcW w:w="1330" w:type="dxa"/>
            <w:tcBorders>
              <w:top w:val="single" w:sz="4" w:space="0" w:color="auto"/>
              <w:left w:val="nil"/>
              <w:bottom w:val="single" w:sz="4" w:space="0" w:color="auto"/>
              <w:right w:val="single" w:sz="4" w:space="0" w:color="auto"/>
            </w:tcBorders>
            <w:shd w:val="clear" w:color="auto" w:fill="C6EFCE"/>
            <w:noWrap/>
          </w:tcPr>
          <w:p w14:paraId="5B71913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2EDD86A9"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Правни споразумения, подписани с крайните бенефициери</w:t>
            </w:r>
          </w:p>
        </w:tc>
        <w:tc>
          <w:tcPr>
            <w:tcW w:w="1338" w:type="dxa"/>
            <w:tcBorders>
              <w:top w:val="single" w:sz="4" w:space="0" w:color="auto"/>
              <w:left w:val="nil"/>
              <w:bottom w:val="single" w:sz="4" w:space="0" w:color="auto"/>
              <w:right w:val="single" w:sz="4" w:space="0" w:color="auto"/>
            </w:tcBorders>
            <w:shd w:val="clear" w:color="auto" w:fill="C6EFCE"/>
            <w:noWrap/>
          </w:tcPr>
          <w:p w14:paraId="0383CF66" w14:textId="77777777" w:rsidR="00CE3BAD" w:rsidRPr="00782BF9" w:rsidRDefault="00CE3BAD">
            <w:pPr>
              <w:spacing w:before="120" w:after="120" w:line="240" w:lineRule="auto"/>
              <w:jc w:val="center"/>
              <w:rPr>
                <w:rFonts w:eastAsia="Times New Roman"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72B832E6"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w:t>
            </w:r>
          </w:p>
        </w:tc>
        <w:tc>
          <w:tcPr>
            <w:tcW w:w="877" w:type="dxa"/>
            <w:tcBorders>
              <w:top w:val="single" w:sz="4" w:space="0" w:color="auto"/>
              <w:left w:val="nil"/>
              <w:bottom w:val="single" w:sz="4" w:space="0" w:color="auto"/>
              <w:right w:val="single" w:sz="4" w:space="0" w:color="auto"/>
            </w:tcBorders>
            <w:shd w:val="clear" w:color="auto" w:fill="C6EFCE"/>
            <w:noWrap/>
          </w:tcPr>
          <w:p w14:paraId="1F85A04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6461E3CF"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100</w:t>
            </w:r>
          </w:p>
        </w:tc>
        <w:tc>
          <w:tcPr>
            <w:tcW w:w="850" w:type="dxa"/>
            <w:tcBorders>
              <w:top w:val="single" w:sz="4" w:space="0" w:color="auto"/>
              <w:left w:val="nil"/>
              <w:bottom w:val="single" w:sz="4" w:space="0" w:color="auto"/>
              <w:right w:val="single" w:sz="4" w:space="0" w:color="auto"/>
            </w:tcBorders>
            <w:shd w:val="clear" w:color="auto" w:fill="C6EFCE"/>
            <w:noWrap/>
          </w:tcPr>
          <w:p w14:paraId="1A6D6241"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715F1A3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687DE8E7"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 xml:space="preserve">ЗМФ е сключил правни споразумения за финансиране с крайни бенефициери за сума, необходима за използване на 100 % от инвестициите по МВУ в Механизма (като се вземат предвид таксите за управление). 100 % от това финансиране допринася за постигането на целите в областта на климата, като се използва методиката в приложение VI към Регламента за МВУ. </w:t>
            </w:r>
          </w:p>
        </w:tc>
      </w:tr>
      <w:tr w:rsidR="00CE3BAD" w:rsidRPr="00782BF9" w14:paraId="30A80493"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FDEB403" w14:textId="186DADF3"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355</w:t>
            </w:r>
          </w:p>
        </w:tc>
        <w:tc>
          <w:tcPr>
            <w:tcW w:w="1705" w:type="dxa"/>
            <w:tcBorders>
              <w:top w:val="single" w:sz="4" w:space="0" w:color="auto"/>
              <w:left w:val="nil"/>
              <w:bottom w:val="single" w:sz="4" w:space="0" w:color="auto"/>
              <w:right w:val="single" w:sz="4" w:space="0" w:color="auto"/>
            </w:tcBorders>
            <w:shd w:val="clear" w:color="auto" w:fill="C6EFCE"/>
            <w:noWrap/>
          </w:tcPr>
          <w:p w14:paraId="3DAC8E03"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К10.И13: Създаване на финансов инструмент за подобряване на енергийната ефективност на жилищните сгради и справяне с енергийната бедност</w:t>
            </w:r>
          </w:p>
        </w:tc>
        <w:tc>
          <w:tcPr>
            <w:tcW w:w="1330" w:type="dxa"/>
            <w:tcBorders>
              <w:top w:val="single" w:sz="4" w:space="0" w:color="auto"/>
              <w:left w:val="nil"/>
              <w:bottom w:val="single" w:sz="4" w:space="0" w:color="auto"/>
              <w:right w:val="single" w:sz="4" w:space="0" w:color="auto"/>
            </w:tcBorders>
            <w:shd w:val="clear" w:color="auto" w:fill="C6EFCE"/>
            <w:noWrap/>
          </w:tcPr>
          <w:p w14:paraId="1FD0E86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2C706CB2"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MFB е завършила инвестицията</w:t>
            </w:r>
          </w:p>
        </w:tc>
        <w:tc>
          <w:tcPr>
            <w:tcW w:w="1338" w:type="dxa"/>
            <w:tcBorders>
              <w:top w:val="single" w:sz="4" w:space="0" w:color="auto"/>
              <w:left w:val="nil"/>
              <w:bottom w:val="single" w:sz="4" w:space="0" w:color="auto"/>
              <w:right w:val="single" w:sz="4" w:space="0" w:color="auto"/>
            </w:tcBorders>
            <w:shd w:val="clear" w:color="auto" w:fill="C6EFCE"/>
            <w:noWrap/>
          </w:tcPr>
          <w:p w14:paraId="7006A1C2"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Удостоверение за прехвърляне </w:t>
            </w:r>
          </w:p>
        </w:tc>
        <w:tc>
          <w:tcPr>
            <w:tcW w:w="1116" w:type="dxa"/>
            <w:tcBorders>
              <w:top w:val="single" w:sz="4" w:space="0" w:color="auto"/>
              <w:left w:val="nil"/>
              <w:bottom w:val="single" w:sz="4" w:space="0" w:color="auto"/>
              <w:right w:val="single" w:sz="4" w:space="0" w:color="auto"/>
            </w:tcBorders>
            <w:shd w:val="clear" w:color="auto" w:fill="C6EFCE"/>
            <w:noWrap/>
          </w:tcPr>
          <w:p w14:paraId="4978790D"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2DC8BF04" w14:textId="77777777" w:rsidR="00CE3BAD" w:rsidRPr="00782BF9" w:rsidRDefault="00CE3BAD">
            <w:pPr>
              <w:spacing w:before="120" w:after="120" w:line="240" w:lineRule="auto"/>
              <w:jc w:val="center"/>
              <w:rPr>
                <w:rFonts w:eastAsia="Times New Roman"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0954C763" w14:textId="77777777" w:rsidR="00CE3BAD" w:rsidRPr="00782BF9" w:rsidRDefault="00CE3BAD">
            <w:pPr>
              <w:spacing w:before="120" w:after="120" w:line="240" w:lineRule="auto"/>
              <w:jc w:val="center"/>
              <w:rPr>
                <w:rFonts w:eastAsia="Times New Roman"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1471C6A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6BDEDC84"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5FBEAAB6" w14:textId="2CB2737D"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MFB прехвърля най-малко 518 559 440 EUR на финансови посредници за механизма. Освен това 70 712 651 EUR се прехвърлят на MFB като максимален таван за плащането на такси за управление на партньора по изпълнението и на финансовите посредници.</w:t>
            </w:r>
          </w:p>
        </w:tc>
      </w:tr>
      <w:tr w:rsidR="00CE3BAD" w:rsidRPr="00782BF9" w14:paraId="33462868"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38C449EE" w14:textId="42B6FE2C"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356</w:t>
            </w:r>
          </w:p>
        </w:tc>
        <w:tc>
          <w:tcPr>
            <w:tcW w:w="1705" w:type="dxa"/>
            <w:tcBorders>
              <w:top w:val="single" w:sz="4" w:space="0" w:color="auto"/>
              <w:left w:val="nil"/>
              <w:bottom w:val="single" w:sz="4" w:space="0" w:color="auto"/>
              <w:right w:val="single" w:sz="4" w:space="0" w:color="auto"/>
            </w:tcBorders>
            <w:shd w:val="clear" w:color="auto" w:fill="C6EFCE"/>
            <w:noWrap/>
          </w:tcPr>
          <w:p w14:paraId="5D54F0B9"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К10.И14: Създаване на финансов инструмент за увеличаване на разгръщането на зарядни станции за електрически превозни средства (ЕПС)</w:t>
            </w:r>
          </w:p>
        </w:tc>
        <w:tc>
          <w:tcPr>
            <w:tcW w:w="1330" w:type="dxa"/>
            <w:tcBorders>
              <w:top w:val="single" w:sz="4" w:space="0" w:color="auto"/>
              <w:left w:val="nil"/>
              <w:bottom w:val="single" w:sz="4" w:space="0" w:color="auto"/>
              <w:right w:val="single" w:sz="4" w:space="0" w:color="auto"/>
            </w:tcBorders>
            <w:shd w:val="clear" w:color="auto" w:fill="C6EFCE"/>
            <w:noWrap/>
          </w:tcPr>
          <w:p w14:paraId="1EA3CB11"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0CB20732"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Споразумение за изпълнение</w:t>
            </w:r>
          </w:p>
        </w:tc>
        <w:tc>
          <w:tcPr>
            <w:tcW w:w="1338" w:type="dxa"/>
            <w:tcBorders>
              <w:top w:val="single" w:sz="4" w:space="0" w:color="auto"/>
              <w:left w:val="nil"/>
              <w:bottom w:val="single" w:sz="4" w:space="0" w:color="auto"/>
              <w:right w:val="single" w:sz="4" w:space="0" w:color="auto"/>
            </w:tcBorders>
            <w:shd w:val="clear" w:color="auto" w:fill="C6EFCE"/>
            <w:noWrap/>
          </w:tcPr>
          <w:p w14:paraId="24CACF9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споразумението за прилагане</w:t>
            </w:r>
          </w:p>
        </w:tc>
        <w:tc>
          <w:tcPr>
            <w:tcW w:w="1116" w:type="dxa"/>
            <w:tcBorders>
              <w:top w:val="single" w:sz="4" w:space="0" w:color="auto"/>
              <w:left w:val="nil"/>
              <w:bottom w:val="single" w:sz="4" w:space="0" w:color="auto"/>
              <w:right w:val="single" w:sz="4" w:space="0" w:color="auto"/>
            </w:tcBorders>
            <w:shd w:val="clear" w:color="auto" w:fill="C6EFCE"/>
            <w:noWrap/>
          </w:tcPr>
          <w:p w14:paraId="138AF089"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w:t>
            </w:r>
          </w:p>
        </w:tc>
        <w:tc>
          <w:tcPr>
            <w:tcW w:w="877" w:type="dxa"/>
            <w:tcBorders>
              <w:top w:val="single" w:sz="4" w:space="0" w:color="auto"/>
              <w:left w:val="nil"/>
              <w:bottom w:val="single" w:sz="4" w:space="0" w:color="auto"/>
              <w:right w:val="single" w:sz="4" w:space="0" w:color="auto"/>
            </w:tcBorders>
            <w:shd w:val="clear" w:color="auto" w:fill="C6EFCE"/>
            <w:noWrap/>
          </w:tcPr>
          <w:p w14:paraId="543A63FA"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1559" w:type="dxa"/>
            <w:tcBorders>
              <w:top w:val="single" w:sz="4" w:space="0" w:color="auto"/>
              <w:left w:val="nil"/>
              <w:bottom w:val="single" w:sz="4" w:space="0" w:color="auto"/>
              <w:right w:val="single" w:sz="4" w:space="0" w:color="auto"/>
            </w:tcBorders>
            <w:shd w:val="clear" w:color="auto" w:fill="C6EFCE"/>
            <w:noWrap/>
          </w:tcPr>
          <w:p w14:paraId="5F1A4E1A"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850" w:type="dxa"/>
            <w:tcBorders>
              <w:top w:val="single" w:sz="4" w:space="0" w:color="auto"/>
              <w:left w:val="nil"/>
              <w:bottom w:val="single" w:sz="4" w:space="0" w:color="auto"/>
              <w:right w:val="single" w:sz="4" w:space="0" w:color="auto"/>
            </w:tcBorders>
            <w:shd w:val="clear" w:color="auto" w:fill="C6EFCE"/>
            <w:noWrap/>
          </w:tcPr>
          <w:p w14:paraId="0F3324F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381D282A"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519A9B57"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Влизане в сила на споразумението за изпълнение между Унгария и Унгарската банка за развитие (Magyar Fejlesztési Bank Zrt. — MFB).</w:t>
            </w:r>
          </w:p>
        </w:tc>
      </w:tr>
      <w:tr w:rsidR="00CE3BAD" w:rsidRPr="00782BF9" w14:paraId="64CBEC9F"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2588E26B" w14:textId="0141AEFC"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357</w:t>
            </w:r>
          </w:p>
        </w:tc>
        <w:tc>
          <w:tcPr>
            <w:tcW w:w="1705" w:type="dxa"/>
            <w:tcBorders>
              <w:top w:val="single" w:sz="4" w:space="0" w:color="auto"/>
              <w:left w:val="nil"/>
              <w:bottom w:val="single" w:sz="4" w:space="0" w:color="auto"/>
              <w:right w:val="single" w:sz="4" w:space="0" w:color="auto"/>
            </w:tcBorders>
            <w:shd w:val="clear" w:color="auto" w:fill="C6EFCE"/>
            <w:noWrap/>
          </w:tcPr>
          <w:p w14:paraId="0F62E509"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К10.И14: Създаване на финансов инструмент за увеличаване на разгръщането на зарядни станции за електрически превозни средства (ЕПС)</w:t>
            </w:r>
          </w:p>
        </w:tc>
        <w:tc>
          <w:tcPr>
            <w:tcW w:w="1330" w:type="dxa"/>
            <w:tcBorders>
              <w:top w:val="single" w:sz="4" w:space="0" w:color="auto"/>
              <w:left w:val="nil"/>
              <w:bottom w:val="single" w:sz="4" w:space="0" w:color="auto"/>
              <w:right w:val="single" w:sz="4" w:space="0" w:color="auto"/>
            </w:tcBorders>
            <w:shd w:val="clear" w:color="auto" w:fill="C6EFCE"/>
            <w:noWrap/>
          </w:tcPr>
          <w:p w14:paraId="5FF94CA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79FEA052"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Правни споразумения, подписани с крайните бенефициери</w:t>
            </w:r>
          </w:p>
        </w:tc>
        <w:tc>
          <w:tcPr>
            <w:tcW w:w="1338" w:type="dxa"/>
            <w:tcBorders>
              <w:top w:val="single" w:sz="4" w:space="0" w:color="auto"/>
              <w:left w:val="nil"/>
              <w:bottom w:val="single" w:sz="4" w:space="0" w:color="auto"/>
              <w:right w:val="single" w:sz="4" w:space="0" w:color="auto"/>
            </w:tcBorders>
            <w:shd w:val="clear" w:color="auto" w:fill="C6EFCE"/>
            <w:noWrap/>
          </w:tcPr>
          <w:p w14:paraId="38595B15" w14:textId="77777777" w:rsidR="00CE3BAD" w:rsidRPr="00782BF9" w:rsidRDefault="00CE3BAD">
            <w:pPr>
              <w:spacing w:before="120" w:after="120" w:line="240" w:lineRule="auto"/>
              <w:jc w:val="center"/>
              <w:rPr>
                <w:rFonts w:eastAsia="Times New Roman"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570800AE"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w:t>
            </w:r>
          </w:p>
        </w:tc>
        <w:tc>
          <w:tcPr>
            <w:tcW w:w="877" w:type="dxa"/>
            <w:tcBorders>
              <w:top w:val="single" w:sz="4" w:space="0" w:color="auto"/>
              <w:left w:val="nil"/>
              <w:bottom w:val="single" w:sz="4" w:space="0" w:color="auto"/>
              <w:right w:val="single" w:sz="4" w:space="0" w:color="auto"/>
            </w:tcBorders>
            <w:shd w:val="clear" w:color="auto" w:fill="C6EFCE"/>
            <w:noWrap/>
          </w:tcPr>
          <w:p w14:paraId="690EFB0F"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7EC26535"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100</w:t>
            </w:r>
          </w:p>
        </w:tc>
        <w:tc>
          <w:tcPr>
            <w:tcW w:w="850" w:type="dxa"/>
            <w:tcBorders>
              <w:top w:val="single" w:sz="4" w:space="0" w:color="auto"/>
              <w:left w:val="nil"/>
              <w:bottom w:val="single" w:sz="4" w:space="0" w:color="auto"/>
              <w:right w:val="single" w:sz="4" w:space="0" w:color="auto"/>
            </w:tcBorders>
            <w:shd w:val="clear" w:color="auto" w:fill="C6EFCE"/>
            <w:noWrap/>
          </w:tcPr>
          <w:p w14:paraId="02B19EA4"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731F9AC5"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1E816351"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ЗМФ е сключил правни споразумения за финансиране с крайни бенефициери за сума, необходима за използване на 100 % от инвестициите по МВУ в Механизма (като се вземат предвид таксите за управление). 100 % от това финансиране допринася за постигането на целите в областта на климата, като се използва методиката в приложение VI към Регламента за МВУ.</w:t>
            </w:r>
          </w:p>
        </w:tc>
      </w:tr>
      <w:tr w:rsidR="00CE3BAD" w:rsidRPr="00782BF9" w14:paraId="2F383048"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7E417390" w14:textId="4FE2BA96"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358</w:t>
            </w:r>
          </w:p>
        </w:tc>
        <w:tc>
          <w:tcPr>
            <w:tcW w:w="1705" w:type="dxa"/>
            <w:tcBorders>
              <w:top w:val="single" w:sz="4" w:space="0" w:color="auto"/>
              <w:left w:val="nil"/>
              <w:bottom w:val="single" w:sz="4" w:space="0" w:color="auto"/>
              <w:right w:val="single" w:sz="4" w:space="0" w:color="auto"/>
            </w:tcBorders>
            <w:shd w:val="clear" w:color="auto" w:fill="C6EFCE"/>
            <w:noWrap/>
          </w:tcPr>
          <w:p w14:paraId="2FFB596B"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К10.И14: Създаване на финансов инструмент за увеличаване на разгръщането на зарядни станции за електрически превозни средства (ЕПС)</w:t>
            </w:r>
          </w:p>
        </w:tc>
        <w:tc>
          <w:tcPr>
            <w:tcW w:w="1330" w:type="dxa"/>
            <w:tcBorders>
              <w:top w:val="single" w:sz="4" w:space="0" w:color="auto"/>
              <w:left w:val="nil"/>
              <w:bottom w:val="single" w:sz="4" w:space="0" w:color="auto"/>
              <w:right w:val="single" w:sz="4" w:space="0" w:color="auto"/>
            </w:tcBorders>
            <w:shd w:val="clear" w:color="auto" w:fill="C6EFCE"/>
            <w:noWrap/>
          </w:tcPr>
          <w:p w14:paraId="58A22C52"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608B2672"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MFB е завършила инвестицията</w:t>
            </w:r>
          </w:p>
        </w:tc>
        <w:tc>
          <w:tcPr>
            <w:tcW w:w="1338" w:type="dxa"/>
            <w:tcBorders>
              <w:top w:val="single" w:sz="4" w:space="0" w:color="auto"/>
              <w:left w:val="nil"/>
              <w:bottom w:val="single" w:sz="4" w:space="0" w:color="auto"/>
              <w:right w:val="single" w:sz="4" w:space="0" w:color="auto"/>
            </w:tcBorders>
            <w:shd w:val="clear" w:color="auto" w:fill="C6EFCE"/>
            <w:noWrap/>
          </w:tcPr>
          <w:p w14:paraId="554EC964"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Удостоверение за прехвърляне </w:t>
            </w:r>
          </w:p>
        </w:tc>
        <w:tc>
          <w:tcPr>
            <w:tcW w:w="1116" w:type="dxa"/>
            <w:tcBorders>
              <w:top w:val="single" w:sz="4" w:space="0" w:color="auto"/>
              <w:left w:val="nil"/>
              <w:bottom w:val="single" w:sz="4" w:space="0" w:color="auto"/>
              <w:right w:val="single" w:sz="4" w:space="0" w:color="auto"/>
            </w:tcBorders>
            <w:shd w:val="clear" w:color="auto" w:fill="C6EFCE"/>
            <w:noWrap/>
          </w:tcPr>
          <w:p w14:paraId="4A90E356" w14:textId="77777777" w:rsidR="00CE3BAD" w:rsidRPr="00782BF9" w:rsidRDefault="00CE3BAD">
            <w:pPr>
              <w:spacing w:before="120" w:after="120" w:line="240" w:lineRule="auto"/>
              <w:jc w:val="center"/>
              <w:rPr>
                <w:rFonts w:eastAsia="Calibri"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336E2433" w14:textId="77777777" w:rsidR="00CE3BAD" w:rsidRPr="00782BF9" w:rsidRDefault="00CE3BAD">
            <w:pPr>
              <w:spacing w:before="120" w:after="120" w:line="240" w:lineRule="auto"/>
              <w:jc w:val="center"/>
              <w:rPr>
                <w:rFonts w:eastAsia="Times New Roman"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236F76B8" w14:textId="77777777" w:rsidR="00CE3BAD" w:rsidRPr="00782BF9" w:rsidRDefault="00CE3BAD">
            <w:pPr>
              <w:spacing w:before="120" w:after="120" w:line="240" w:lineRule="auto"/>
              <w:jc w:val="center"/>
              <w:rPr>
                <w:rFonts w:eastAsia="Times New Roman"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062A418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1E213D0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7C2EEC9D" w14:textId="60B222FC" w:rsidR="00CE3BAD" w:rsidRPr="00782BF9" w:rsidRDefault="006B5475">
            <w:pPr>
              <w:pStyle w:val="P68B1DB1-Normal10"/>
              <w:spacing w:before="120" w:after="120" w:line="240" w:lineRule="auto"/>
              <w:jc w:val="both"/>
              <w:rPr>
                <w:rFonts w:eastAsia="Times New Roman" w:cstheme="minorHAnsi"/>
                <w:noProof/>
                <w:lang w:val="bg-BG"/>
              </w:rPr>
            </w:pPr>
            <w:r w:rsidRPr="00782BF9">
              <w:rPr>
                <w:rFonts w:cstheme="minorHAnsi"/>
                <w:noProof/>
                <w:lang w:val="bg-BG"/>
              </w:rPr>
              <w:t>MFB прехвърля най-малко 73</w:t>
            </w:r>
            <w:r w:rsidRPr="00782BF9">
              <w:rPr>
                <w:noProof/>
                <w:color w:val="006100"/>
                <w:lang w:val="bg-BG"/>
              </w:rPr>
              <w:t xml:space="preserve"> </w:t>
            </w:r>
            <w:r w:rsidRPr="00782BF9">
              <w:rPr>
                <w:rFonts w:cstheme="minorHAnsi"/>
                <w:noProof/>
                <w:lang w:val="bg-BG"/>
              </w:rPr>
              <w:t>596 EUR</w:t>
            </w:r>
            <w:r w:rsidRPr="00782BF9">
              <w:rPr>
                <w:noProof/>
                <w:color w:val="006100"/>
                <w:lang w:val="bg-BG"/>
              </w:rPr>
              <w:t xml:space="preserve"> </w:t>
            </w:r>
            <w:r w:rsidRPr="00782BF9">
              <w:rPr>
                <w:rFonts w:cstheme="minorHAnsi"/>
                <w:noProof/>
                <w:lang w:val="bg-BG"/>
              </w:rPr>
              <w:t>640 на крайните бенефициери на механизма. Освен това 5 542 841 EUR се прехвърлят на MFB като максимален таван за плащането на такси за управление на партньора по изпълнението.</w:t>
            </w:r>
          </w:p>
        </w:tc>
      </w:tr>
      <w:tr w:rsidR="00CE3BAD" w:rsidRPr="00782BF9" w14:paraId="2639DCED"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9A10DB4" w14:textId="481CD972"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359</w:t>
            </w:r>
          </w:p>
        </w:tc>
        <w:tc>
          <w:tcPr>
            <w:tcW w:w="1705" w:type="dxa"/>
            <w:tcBorders>
              <w:top w:val="single" w:sz="4" w:space="0" w:color="auto"/>
              <w:left w:val="nil"/>
              <w:bottom w:val="single" w:sz="4" w:space="0" w:color="auto"/>
              <w:right w:val="single" w:sz="4" w:space="0" w:color="auto"/>
            </w:tcBorders>
            <w:shd w:val="clear" w:color="auto" w:fill="C6EFCE"/>
            <w:noWrap/>
          </w:tcPr>
          <w:p w14:paraId="52977A2C"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К10.И15: Създаване на финансов инструмент за подпомагане на закупуването на задвижвани с акумулаторни батерии електрически превозни средства от доставчиците на автомобилни паркове</w:t>
            </w:r>
          </w:p>
        </w:tc>
        <w:tc>
          <w:tcPr>
            <w:tcW w:w="1330" w:type="dxa"/>
            <w:tcBorders>
              <w:top w:val="single" w:sz="4" w:space="0" w:color="auto"/>
              <w:left w:val="nil"/>
              <w:bottom w:val="single" w:sz="4" w:space="0" w:color="auto"/>
              <w:right w:val="single" w:sz="4" w:space="0" w:color="auto"/>
            </w:tcBorders>
            <w:shd w:val="clear" w:color="auto" w:fill="C6EFCE"/>
            <w:noWrap/>
          </w:tcPr>
          <w:p w14:paraId="1836C44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0814868D"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Споразумение за изпълнение</w:t>
            </w:r>
          </w:p>
        </w:tc>
        <w:tc>
          <w:tcPr>
            <w:tcW w:w="1338" w:type="dxa"/>
            <w:tcBorders>
              <w:top w:val="single" w:sz="4" w:space="0" w:color="auto"/>
              <w:left w:val="nil"/>
              <w:bottom w:val="single" w:sz="4" w:space="0" w:color="auto"/>
              <w:right w:val="single" w:sz="4" w:space="0" w:color="auto"/>
            </w:tcBorders>
            <w:shd w:val="clear" w:color="auto" w:fill="C6EFCE"/>
            <w:noWrap/>
          </w:tcPr>
          <w:p w14:paraId="167A8FE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споразумението за прилагане</w:t>
            </w:r>
          </w:p>
        </w:tc>
        <w:tc>
          <w:tcPr>
            <w:tcW w:w="1116" w:type="dxa"/>
            <w:tcBorders>
              <w:top w:val="single" w:sz="4" w:space="0" w:color="auto"/>
              <w:left w:val="nil"/>
              <w:bottom w:val="single" w:sz="4" w:space="0" w:color="auto"/>
              <w:right w:val="single" w:sz="4" w:space="0" w:color="auto"/>
            </w:tcBorders>
            <w:shd w:val="clear" w:color="auto" w:fill="C6EFCE"/>
            <w:noWrap/>
          </w:tcPr>
          <w:p w14:paraId="76EEC7EF" w14:textId="77777777" w:rsidR="00CE3BAD" w:rsidRPr="00782BF9" w:rsidRDefault="006B5475">
            <w:pPr>
              <w:pStyle w:val="P68B1DB1-Normal24"/>
              <w:spacing w:before="120" w:after="120" w:line="240" w:lineRule="auto"/>
              <w:jc w:val="center"/>
              <w:rPr>
                <w:rFonts w:eastAsia="Calibri"/>
                <w:noProof/>
                <w:lang w:val="bg-BG"/>
              </w:rPr>
            </w:pPr>
            <w:r w:rsidRPr="00782BF9">
              <w:rPr>
                <w:noProof/>
                <w:lang w:val="bg-BG"/>
              </w:rPr>
              <w:t xml:space="preserve"> </w:t>
            </w:r>
          </w:p>
        </w:tc>
        <w:tc>
          <w:tcPr>
            <w:tcW w:w="877" w:type="dxa"/>
            <w:tcBorders>
              <w:top w:val="single" w:sz="4" w:space="0" w:color="auto"/>
              <w:left w:val="nil"/>
              <w:bottom w:val="single" w:sz="4" w:space="0" w:color="auto"/>
              <w:right w:val="single" w:sz="4" w:space="0" w:color="auto"/>
            </w:tcBorders>
            <w:shd w:val="clear" w:color="auto" w:fill="C6EFCE"/>
            <w:noWrap/>
          </w:tcPr>
          <w:p w14:paraId="41791F2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1559" w:type="dxa"/>
            <w:tcBorders>
              <w:top w:val="single" w:sz="4" w:space="0" w:color="auto"/>
              <w:left w:val="nil"/>
              <w:bottom w:val="single" w:sz="4" w:space="0" w:color="auto"/>
              <w:right w:val="single" w:sz="4" w:space="0" w:color="auto"/>
            </w:tcBorders>
            <w:shd w:val="clear" w:color="auto" w:fill="C6EFCE"/>
            <w:noWrap/>
          </w:tcPr>
          <w:p w14:paraId="5EADC4DB"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850" w:type="dxa"/>
            <w:tcBorders>
              <w:top w:val="single" w:sz="4" w:space="0" w:color="auto"/>
              <w:left w:val="nil"/>
              <w:bottom w:val="single" w:sz="4" w:space="0" w:color="auto"/>
              <w:right w:val="single" w:sz="4" w:space="0" w:color="auto"/>
            </w:tcBorders>
            <w:shd w:val="clear" w:color="auto" w:fill="C6EFCE"/>
            <w:noWrap/>
          </w:tcPr>
          <w:p w14:paraId="4B65F8A6"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2200D225"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148AA71E"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Влизане в сила на споразумението за изпълнение между Унгария и Унгарската банка за развитие (Magyar Fejlesztési Bank Zrt. — MFB).</w:t>
            </w:r>
          </w:p>
        </w:tc>
      </w:tr>
      <w:tr w:rsidR="00CE3BAD" w:rsidRPr="00782BF9" w14:paraId="6A0D56DC"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4DD3E53" w14:textId="15CEBE43"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360</w:t>
            </w:r>
          </w:p>
        </w:tc>
        <w:tc>
          <w:tcPr>
            <w:tcW w:w="1705" w:type="dxa"/>
            <w:tcBorders>
              <w:top w:val="single" w:sz="4" w:space="0" w:color="auto"/>
              <w:left w:val="nil"/>
              <w:bottom w:val="single" w:sz="4" w:space="0" w:color="auto"/>
              <w:right w:val="single" w:sz="4" w:space="0" w:color="auto"/>
            </w:tcBorders>
            <w:shd w:val="clear" w:color="auto" w:fill="C6EFCE"/>
            <w:noWrap/>
          </w:tcPr>
          <w:p w14:paraId="06ACC1E9"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К10.И15: Създаване на финансов инструмент за подпомагане на закупуването на задвижвани с акумулаторни батерии електрически превозни средства от доставчиците на автомобилни паркове</w:t>
            </w:r>
          </w:p>
        </w:tc>
        <w:tc>
          <w:tcPr>
            <w:tcW w:w="1330" w:type="dxa"/>
            <w:tcBorders>
              <w:top w:val="single" w:sz="4" w:space="0" w:color="auto"/>
              <w:left w:val="nil"/>
              <w:bottom w:val="single" w:sz="4" w:space="0" w:color="auto"/>
              <w:right w:val="single" w:sz="4" w:space="0" w:color="auto"/>
            </w:tcBorders>
            <w:shd w:val="clear" w:color="auto" w:fill="C6EFCE"/>
            <w:noWrap/>
          </w:tcPr>
          <w:p w14:paraId="2C97AD4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51DE9DDC"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Правни споразумения, подписани с крайните бенефициери</w:t>
            </w:r>
          </w:p>
        </w:tc>
        <w:tc>
          <w:tcPr>
            <w:tcW w:w="1338" w:type="dxa"/>
            <w:tcBorders>
              <w:top w:val="single" w:sz="4" w:space="0" w:color="auto"/>
              <w:left w:val="nil"/>
              <w:bottom w:val="single" w:sz="4" w:space="0" w:color="auto"/>
              <w:right w:val="single" w:sz="4" w:space="0" w:color="auto"/>
            </w:tcBorders>
            <w:shd w:val="clear" w:color="auto" w:fill="C6EFCE"/>
            <w:noWrap/>
          </w:tcPr>
          <w:p w14:paraId="645AD570" w14:textId="77777777" w:rsidR="00CE3BAD" w:rsidRPr="00782BF9" w:rsidRDefault="00CE3BAD">
            <w:pPr>
              <w:spacing w:before="120" w:after="120" w:line="240" w:lineRule="auto"/>
              <w:jc w:val="center"/>
              <w:rPr>
                <w:rFonts w:eastAsia="Times New Roman"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0BBB25B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w:t>
            </w:r>
          </w:p>
        </w:tc>
        <w:tc>
          <w:tcPr>
            <w:tcW w:w="877" w:type="dxa"/>
            <w:tcBorders>
              <w:top w:val="single" w:sz="4" w:space="0" w:color="auto"/>
              <w:left w:val="nil"/>
              <w:bottom w:val="single" w:sz="4" w:space="0" w:color="auto"/>
              <w:right w:val="single" w:sz="4" w:space="0" w:color="auto"/>
            </w:tcBorders>
            <w:shd w:val="clear" w:color="auto" w:fill="C6EFCE"/>
            <w:noWrap/>
          </w:tcPr>
          <w:p w14:paraId="25A1E8BF"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4F6A9B0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100</w:t>
            </w:r>
          </w:p>
        </w:tc>
        <w:tc>
          <w:tcPr>
            <w:tcW w:w="850" w:type="dxa"/>
            <w:tcBorders>
              <w:top w:val="single" w:sz="4" w:space="0" w:color="auto"/>
              <w:left w:val="nil"/>
              <w:bottom w:val="single" w:sz="4" w:space="0" w:color="auto"/>
              <w:right w:val="single" w:sz="4" w:space="0" w:color="auto"/>
            </w:tcBorders>
            <w:shd w:val="clear" w:color="auto" w:fill="C6EFCE"/>
            <w:noWrap/>
          </w:tcPr>
          <w:p w14:paraId="47C9A1B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1D4D212D"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32FE8A53"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ЗМФ е сключил правни споразумения за финансиране с крайни бенефициери за сума, необходима за използване на 100 % от инвестициите по МВУ в Механизма (като се вземат предвид таксите за управление). 100 % от това финансиране допринася за постигането на целите в областта на климата, като се използва методиката в приложение VI към Регламента за МВУ.</w:t>
            </w:r>
          </w:p>
        </w:tc>
      </w:tr>
      <w:tr w:rsidR="00CE3BAD" w:rsidRPr="00782BF9" w14:paraId="0495703B"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1CCA256B" w14:textId="3765CDA2"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361</w:t>
            </w:r>
          </w:p>
        </w:tc>
        <w:tc>
          <w:tcPr>
            <w:tcW w:w="1705" w:type="dxa"/>
            <w:tcBorders>
              <w:top w:val="single" w:sz="4" w:space="0" w:color="auto"/>
              <w:left w:val="nil"/>
              <w:bottom w:val="single" w:sz="4" w:space="0" w:color="auto"/>
              <w:right w:val="single" w:sz="4" w:space="0" w:color="auto"/>
            </w:tcBorders>
            <w:shd w:val="clear" w:color="auto" w:fill="C6EFCE"/>
            <w:noWrap/>
          </w:tcPr>
          <w:p w14:paraId="120A3824" w14:textId="77777777" w:rsidR="00CE3BAD" w:rsidRPr="00782BF9" w:rsidRDefault="006B5475">
            <w:pPr>
              <w:pStyle w:val="P68B1DB1-Normal24"/>
              <w:spacing w:before="120" w:after="120" w:line="240" w:lineRule="auto"/>
              <w:rPr>
                <w:rFonts w:eastAsia="Calibri"/>
                <w:noProof/>
                <w:lang w:val="bg-BG"/>
              </w:rPr>
            </w:pPr>
            <w:r w:rsidRPr="00782BF9">
              <w:rPr>
                <w:noProof/>
                <w:lang w:val="bg-BG"/>
              </w:rPr>
              <w:t>К10.И15: Създаване на финансов инструмент за подпомагане на закупуването на задвижвани с акумулаторни батерии електрически превозни средства от доставчиците на автомобилни паркове</w:t>
            </w:r>
          </w:p>
        </w:tc>
        <w:tc>
          <w:tcPr>
            <w:tcW w:w="1330" w:type="dxa"/>
            <w:tcBorders>
              <w:top w:val="single" w:sz="4" w:space="0" w:color="auto"/>
              <w:left w:val="nil"/>
              <w:bottom w:val="single" w:sz="4" w:space="0" w:color="auto"/>
              <w:right w:val="single" w:sz="4" w:space="0" w:color="auto"/>
            </w:tcBorders>
            <w:shd w:val="clear" w:color="auto" w:fill="C6EFCE"/>
            <w:noWrap/>
          </w:tcPr>
          <w:p w14:paraId="2D186E62"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1D4F6D03"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MFB е завършила инвестицията</w:t>
            </w:r>
          </w:p>
        </w:tc>
        <w:tc>
          <w:tcPr>
            <w:tcW w:w="1338" w:type="dxa"/>
            <w:tcBorders>
              <w:top w:val="single" w:sz="4" w:space="0" w:color="auto"/>
              <w:left w:val="nil"/>
              <w:bottom w:val="single" w:sz="4" w:space="0" w:color="auto"/>
              <w:right w:val="single" w:sz="4" w:space="0" w:color="auto"/>
            </w:tcBorders>
            <w:shd w:val="clear" w:color="auto" w:fill="C6EFCE"/>
            <w:noWrap/>
          </w:tcPr>
          <w:p w14:paraId="0B15C38A"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Удостоверение за прехвърляне </w:t>
            </w:r>
          </w:p>
        </w:tc>
        <w:tc>
          <w:tcPr>
            <w:tcW w:w="1116" w:type="dxa"/>
            <w:tcBorders>
              <w:top w:val="single" w:sz="4" w:space="0" w:color="auto"/>
              <w:left w:val="nil"/>
              <w:bottom w:val="single" w:sz="4" w:space="0" w:color="auto"/>
              <w:right w:val="single" w:sz="4" w:space="0" w:color="auto"/>
            </w:tcBorders>
            <w:shd w:val="clear" w:color="auto" w:fill="C6EFCE"/>
            <w:noWrap/>
          </w:tcPr>
          <w:p w14:paraId="5CFB487E" w14:textId="77777777" w:rsidR="00CE3BAD" w:rsidRPr="00782BF9" w:rsidRDefault="00CE3BAD">
            <w:pPr>
              <w:spacing w:before="120" w:after="120" w:line="240" w:lineRule="auto"/>
              <w:jc w:val="center"/>
              <w:rPr>
                <w:rFonts w:eastAsia="Times New Roman"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2F18EEEE" w14:textId="77777777" w:rsidR="00CE3BAD" w:rsidRPr="00782BF9" w:rsidRDefault="00CE3BAD">
            <w:pPr>
              <w:spacing w:before="120" w:after="120" w:line="240" w:lineRule="auto"/>
              <w:jc w:val="center"/>
              <w:rPr>
                <w:rFonts w:eastAsia="Times New Roman"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6A92DC2D" w14:textId="77777777" w:rsidR="00CE3BAD" w:rsidRPr="00782BF9" w:rsidRDefault="00CE3BAD">
            <w:pPr>
              <w:spacing w:before="120" w:after="120" w:line="240" w:lineRule="auto"/>
              <w:jc w:val="center"/>
              <w:rPr>
                <w:rFonts w:eastAsia="Times New Roman"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1F15A1A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1BE6A449"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7A395597" w14:textId="343BF80A" w:rsidR="00CE3BAD" w:rsidRPr="00782BF9" w:rsidRDefault="006B5475">
            <w:pPr>
              <w:pStyle w:val="P68B1DB1-Normal10"/>
              <w:spacing w:before="120" w:after="120" w:line="240" w:lineRule="auto"/>
              <w:jc w:val="both"/>
              <w:rPr>
                <w:rFonts w:eastAsia="Times New Roman" w:cstheme="minorHAnsi"/>
                <w:noProof/>
                <w:lang w:val="bg-BG"/>
              </w:rPr>
            </w:pPr>
            <w:r w:rsidRPr="00782BF9">
              <w:rPr>
                <w:rFonts w:cstheme="minorHAnsi"/>
                <w:noProof/>
                <w:lang w:val="bg-BG"/>
              </w:rPr>
              <w:t>MFB прехвърля най-малко 48</w:t>
            </w:r>
            <w:r w:rsidRPr="00782BF9">
              <w:rPr>
                <w:noProof/>
                <w:color w:val="006100"/>
                <w:lang w:val="bg-BG"/>
              </w:rPr>
              <w:t xml:space="preserve"> </w:t>
            </w:r>
            <w:r w:rsidRPr="00782BF9">
              <w:rPr>
                <w:rFonts w:cstheme="minorHAnsi"/>
                <w:noProof/>
                <w:lang w:val="bg-BG"/>
              </w:rPr>
              <w:t>629 EUR</w:t>
            </w:r>
            <w:r w:rsidRPr="00782BF9">
              <w:rPr>
                <w:noProof/>
                <w:color w:val="006100"/>
                <w:lang w:val="bg-BG"/>
              </w:rPr>
              <w:t xml:space="preserve"> </w:t>
            </w:r>
            <w:r w:rsidRPr="00782BF9">
              <w:rPr>
                <w:rFonts w:cstheme="minorHAnsi"/>
                <w:noProof/>
                <w:lang w:val="bg-BG"/>
              </w:rPr>
              <w:t>930 на крайните бенефициери на механизма. Освен това 3</w:t>
            </w:r>
            <w:r w:rsidRPr="00782BF9">
              <w:rPr>
                <w:noProof/>
                <w:color w:val="006100"/>
                <w:lang w:val="bg-BG"/>
              </w:rPr>
              <w:t xml:space="preserve"> </w:t>
            </w:r>
            <w:r w:rsidRPr="00782BF9">
              <w:rPr>
                <w:rFonts w:cstheme="minorHAnsi"/>
                <w:noProof/>
                <w:lang w:val="bg-BG"/>
              </w:rPr>
              <w:t>682 EUR</w:t>
            </w:r>
            <w:r w:rsidRPr="00782BF9">
              <w:rPr>
                <w:noProof/>
                <w:color w:val="006100"/>
                <w:lang w:val="bg-BG"/>
              </w:rPr>
              <w:t xml:space="preserve"> </w:t>
            </w:r>
            <w:r w:rsidRPr="00782BF9">
              <w:rPr>
                <w:rFonts w:cstheme="minorHAnsi"/>
                <w:noProof/>
                <w:lang w:val="bg-BG"/>
              </w:rPr>
              <w:t>950 се прехвърлят на MFB като максимален таван за плащането на такси за управление на партньора по изпълнението.</w:t>
            </w:r>
          </w:p>
        </w:tc>
      </w:tr>
      <w:tr w:rsidR="00CE3BAD" w:rsidRPr="00782BF9" w14:paraId="2E39D969"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73FF29F9" w14:textId="578E89A8"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362</w:t>
            </w:r>
          </w:p>
        </w:tc>
        <w:tc>
          <w:tcPr>
            <w:tcW w:w="1705" w:type="dxa"/>
            <w:tcBorders>
              <w:top w:val="single" w:sz="4" w:space="0" w:color="auto"/>
              <w:left w:val="nil"/>
              <w:bottom w:val="single" w:sz="4" w:space="0" w:color="auto"/>
              <w:right w:val="single" w:sz="4" w:space="0" w:color="auto"/>
            </w:tcBorders>
            <w:shd w:val="clear" w:color="auto" w:fill="C6EFCE"/>
            <w:noWrap/>
          </w:tcPr>
          <w:p w14:paraId="1EFA2B8C"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К10.И16: Създаване на финансов инструмент за подпомагане на проучванията и експлоатацията на геотермална енергия</w:t>
            </w:r>
          </w:p>
        </w:tc>
        <w:tc>
          <w:tcPr>
            <w:tcW w:w="1330" w:type="dxa"/>
            <w:tcBorders>
              <w:top w:val="single" w:sz="4" w:space="0" w:color="auto"/>
              <w:left w:val="nil"/>
              <w:bottom w:val="single" w:sz="4" w:space="0" w:color="auto"/>
              <w:right w:val="single" w:sz="4" w:space="0" w:color="auto"/>
            </w:tcBorders>
            <w:shd w:val="clear" w:color="auto" w:fill="C6EFCE"/>
            <w:noWrap/>
          </w:tcPr>
          <w:p w14:paraId="7E655786"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10DB9C54"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Споразумение за изпълнение</w:t>
            </w:r>
          </w:p>
        </w:tc>
        <w:tc>
          <w:tcPr>
            <w:tcW w:w="1338" w:type="dxa"/>
            <w:tcBorders>
              <w:top w:val="single" w:sz="4" w:space="0" w:color="auto"/>
              <w:left w:val="nil"/>
              <w:bottom w:val="single" w:sz="4" w:space="0" w:color="auto"/>
              <w:right w:val="single" w:sz="4" w:space="0" w:color="auto"/>
            </w:tcBorders>
            <w:shd w:val="clear" w:color="auto" w:fill="C6EFCE"/>
            <w:noWrap/>
          </w:tcPr>
          <w:p w14:paraId="540904AD"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Влизане в сила на споразумението за прилагане</w:t>
            </w:r>
          </w:p>
        </w:tc>
        <w:tc>
          <w:tcPr>
            <w:tcW w:w="1116" w:type="dxa"/>
            <w:tcBorders>
              <w:top w:val="single" w:sz="4" w:space="0" w:color="auto"/>
              <w:left w:val="nil"/>
              <w:bottom w:val="single" w:sz="4" w:space="0" w:color="auto"/>
              <w:right w:val="single" w:sz="4" w:space="0" w:color="auto"/>
            </w:tcBorders>
            <w:shd w:val="clear" w:color="auto" w:fill="C6EFCE"/>
            <w:noWrap/>
          </w:tcPr>
          <w:p w14:paraId="79054998"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877" w:type="dxa"/>
            <w:tcBorders>
              <w:top w:val="single" w:sz="4" w:space="0" w:color="auto"/>
              <w:left w:val="nil"/>
              <w:bottom w:val="single" w:sz="4" w:space="0" w:color="auto"/>
              <w:right w:val="single" w:sz="4" w:space="0" w:color="auto"/>
            </w:tcBorders>
            <w:shd w:val="clear" w:color="auto" w:fill="C6EFCE"/>
            <w:noWrap/>
          </w:tcPr>
          <w:p w14:paraId="5AE549DF"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1559" w:type="dxa"/>
            <w:tcBorders>
              <w:top w:val="single" w:sz="4" w:space="0" w:color="auto"/>
              <w:left w:val="nil"/>
              <w:bottom w:val="single" w:sz="4" w:space="0" w:color="auto"/>
              <w:right w:val="single" w:sz="4" w:space="0" w:color="auto"/>
            </w:tcBorders>
            <w:shd w:val="clear" w:color="auto" w:fill="C6EFCE"/>
            <w:noWrap/>
          </w:tcPr>
          <w:p w14:paraId="294FE161"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 </w:t>
            </w:r>
          </w:p>
        </w:tc>
        <w:tc>
          <w:tcPr>
            <w:tcW w:w="850" w:type="dxa"/>
            <w:tcBorders>
              <w:top w:val="single" w:sz="4" w:space="0" w:color="auto"/>
              <w:left w:val="nil"/>
              <w:bottom w:val="single" w:sz="4" w:space="0" w:color="auto"/>
              <w:right w:val="single" w:sz="4" w:space="0" w:color="auto"/>
            </w:tcBorders>
            <w:shd w:val="clear" w:color="auto" w:fill="C6EFCE"/>
            <w:noWrap/>
          </w:tcPr>
          <w:p w14:paraId="78861941"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Т1 Г.</w:t>
            </w:r>
          </w:p>
        </w:tc>
        <w:tc>
          <w:tcPr>
            <w:tcW w:w="709" w:type="dxa"/>
            <w:tcBorders>
              <w:top w:val="single" w:sz="4" w:space="0" w:color="auto"/>
              <w:left w:val="nil"/>
              <w:bottom w:val="single" w:sz="4" w:space="0" w:color="auto"/>
              <w:right w:val="single" w:sz="4" w:space="0" w:color="auto"/>
            </w:tcBorders>
            <w:shd w:val="clear" w:color="auto" w:fill="C6EFCE"/>
            <w:noWrap/>
          </w:tcPr>
          <w:p w14:paraId="4B83DCB5"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1CB6DC9B"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Влизане в сила на споразумението за изпълнение между Унгария и Унгарската банка за развитие (Magyar Fejlesztési Bank Zrt. — MFB).</w:t>
            </w:r>
          </w:p>
        </w:tc>
      </w:tr>
      <w:tr w:rsidR="00CE3BAD" w:rsidRPr="00782BF9" w14:paraId="43DCCC42"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7C566656" w14:textId="1243C8A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363</w:t>
            </w:r>
          </w:p>
        </w:tc>
        <w:tc>
          <w:tcPr>
            <w:tcW w:w="1705" w:type="dxa"/>
            <w:tcBorders>
              <w:top w:val="single" w:sz="4" w:space="0" w:color="auto"/>
              <w:left w:val="nil"/>
              <w:bottom w:val="single" w:sz="4" w:space="0" w:color="auto"/>
              <w:right w:val="single" w:sz="4" w:space="0" w:color="auto"/>
            </w:tcBorders>
            <w:shd w:val="clear" w:color="auto" w:fill="C6EFCE"/>
            <w:noWrap/>
          </w:tcPr>
          <w:p w14:paraId="19A0DF3D"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К10.И16: Създаване на финансов инструмент за подпомагане на проучванията и експлоатацията на геотермална енергия</w:t>
            </w:r>
          </w:p>
        </w:tc>
        <w:tc>
          <w:tcPr>
            <w:tcW w:w="1330" w:type="dxa"/>
            <w:tcBorders>
              <w:top w:val="single" w:sz="4" w:space="0" w:color="auto"/>
              <w:left w:val="nil"/>
              <w:bottom w:val="single" w:sz="4" w:space="0" w:color="auto"/>
              <w:right w:val="single" w:sz="4" w:space="0" w:color="auto"/>
            </w:tcBorders>
            <w:shd w:val="clear" w:color="auto" w:fill="C6EFCE"/>
            <w:noWrap/>
          </w:tcPr>
          <w:p w14:paraId="4BA0F38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Целеви</w:t>
            </w:r>
          </w:p>
        </w:tc>
        <w:tc>
          <w:tcPr>
            <w:tcW w:w="1458" w:type="dxa"/>
            <w:tcBorders>
              <w:top w:val="single" w:sz="4" w:space="0" w:color="auto"/>
              <w:left w:val="nil"/>
              <w:bottom w:val="single" w:sz="4" w:space="0" w:color="auto"/>
              <w:right w:val="single" w:sz="4" w:space="0" w:color="auto"/>
            </w:tcBorders>
            <w:shd w:val="clear" w:color="auto" w:fill="C6EFCE"/>
            <w:noWrap/>
          </w:tcPr>
          <w:p w14:paraId="78AAC5F3"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Правни споразумения, подписани с крайните бенефициери</w:t>
            </w:r>
          </w:p>
        </w:tc>
        <w:tc>
          <w:tcPr>
            <w:tcW w:w="1338" w:type="dxa"/>
            <w:tcBorders>
              <w:top w:val="single" w:sz="4" w:space="0" w:color="auto"/>
              <w:left w:val="nil"/>
              <w:bottom w:val="single" w:sz="4" w:space="0" w:color="auto"/>
              <w:right w:val="single" w:sz="4" w:space="0" w:color="auto"/>
            </w:tcBorders>
            <w:shd w:val="clear" w:color="auto" w:fill="C6EFCE"/>
            <w:noWrap/>
          </w:tcPr>
          <w:p w14:paraId="4A78E18E" w14:textId="77777777" w:rsidR="00CE3BAD" w:rsidRPr="00782BF9" w:rsidRDefault="00CE3BAD">
            <w:pPr>
              <w:spacing w:before="120" w:after="120" w:line="240" w:lineRule="auto"/>
              <w:jc w:val="center"/>
              <w:rPr>
                <w:rFonts w:eastAsia="Times New Roman" w:cstheme="minorHAnsi"/>
                <w:noProof/>
                <w:sz w:val="18"/>
                <w:lang w:val="bg-BG"/>
              </w:rPr>
            </w:pPr>
          </w:p>
        </w:tc>
        <w:tc>
          <w:tcPr>
            <w:tcW w:w="1116" w:type="dxa"/>
            <w:tcBorders>
              <w:top w:val="single" w:sz="4" w:space="0" w:color="auto"/>
              <w:left w:val="nil"/>
              <w:bottom w:val="single" w:sz="4" w:space="0" w:color="auto"/>
              <w:right w:val="single" w:sz="4" w:space="0" w:color="auto"/>
            </w:tcBorders>
            <w:shd w:val="clear" w:color="auto" w:fill="C6EFCE"/>
            <w:noWrap/>
          </w:tcPr>
          <w:p w14:paraId="1A71DC2E"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w:t>
            </w:r>
          </w:p>
        </w:tc>
        <w:tc>
          <w:tcPr>
            <w:tcW w:w="877" w:type="dxa"/>
            <w:tcBorders>
              <w:top w:val="single" w:sz="4" w:space="0" w:color="auto"/>
              <w:left w:val="nil"/>
              <w:bottom w:val="single" w:sz="4" w:space="0" w:color="auto"/>
              <w:right w:val="single" w:sz="4" w:space="0" w:color="auto"/>
            </w:tcBorders>
            <w:shd w:val="clear" w:color="auto" w:fill="C6EFCE"/>
            <w:noWrap/>
          </w:tcPr>
          <w:p w14:paraId="1D18912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0</w:t>
            </w:r>
          </w:p>
        </w:tc>
        <w:tc>
          <w:tcPr>
            <w:tcW w:w="1559" w:type="dxa"/>
            <w:tcBorders>
              <w:top w:val="single" w:sz="4" w:space="0" w:color="auto"/>
              <w:left w:val="nil"/>
              <w:bottom w:val="single" w:sz="4" w:space="0" w:color="auto"/>
              <w:right w:val="single" w:sz="4" w:space="0" w:color="auto"/>
            </w:tcBorders>
            <w:shd w:val="clear" w:color="auto" w:fill="C6EFCE"/>
            <w:noWrap/>
          </w:tcPr>
          <w:p w14:paraId="528540BC"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100</w:t>
            </w:r>
          </w:p>
        </w:tc>
        <w:tc>
          <w:tcPr>
            <w:tcW w:w="850" w:type="dxa"/>
            <w:tcBorders>
              <w:top w:val="single" w:sz="4" w:space="0" w:color="auto"/>
              <w:left w:val="nil"/>
              <w:bottom w:val="single" w:sz="4" w:space="0" w:color="auto"/>
              <w:right w:val="single" w:sz="4" w:space="0" w:color="auto"/>
            </w:tcBorders>
            <w:shd w:val="clear" w:color="auto" w:fill="C6EFCE"/>
            <w:noWrap/>
          </w:tcPr>
          <w:p w14:paraId="5D1155A5"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7D0F839D"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573914B8" w14:textId="77777777" w:rsidR="00CE3BAD" w:rsidRPr="00782BF9" w:rsidRDefault="006B5475">
            <w:pPr>
              <w:pStyle w:val="P68B1DB1-Normal24"/>
              <w:spacing w:before="120" w:after="120" w:line="240" w:lineRule="auto"/>
              <w:ind w:right="83"/>
              <w:jc w:val="both"/>
              <w:rPr>
                <w:rFonts w:eastAsia="Times New Roman"/>
                <w:noProof/>
                <w:lang w:val="bg-BG"/>
              </w:rPr>
            </w:pPr>
            <w:r w:rsidRPr="00782BF9">
              <w:rPr>
                <w:noProof/>
                <w:lang w:val="bg-BG"/>
              </w:rPr>
              <w:t>ЗМФ е сключил правни споразумения за финансиране с крайни бенефициери за сума, необходима за използване на 100 % от инвестициите по МВУ в Механизма (като се вземат предвид таксите за управление). 100 % от това финансиране допринася за постигането на целите в областта на климата, като се използва методиката в приложение VI към Регламента за МВУ.</w:t>
            </w:r>
          </w:p>
        </w:tc>
      </w:tr>
      <w:tr w:rsidR="00CE3BAD" w:rsidRPr="00782BF9" w14:paraId="01D92C40" w14:textId="77777777">
        <w:trPr>
          <w:trHeight w:val="309"/>
        </w:trPr>
        <w:tc>
          <w:tcPr>
            <w:tcW w:w="966" w:type="dxa"/>
            <w:tcBorders>
              <w:top w:val="single" w:sz="4" w:space="0" w:color="auto"/>
              <w:left w:val="single" w:sz="4" w:space="0" w:color="auto"/>
              <w:bottom w:val="single" w:sz="4" w:space="0" w:color="auto"/>
              <w:right w:val="single" w:sz="4" w:space="0" w:color="auto"/>
            </w:tcBorders>
            <w:shd w:val="clear" w:color="auto" w:fill="C6EFCE"/>
            <w:noWrap/>
          </w:tcPr>
          <w:p w14:paraId="0894CBA8" w14:textId="4D75613E"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364</w:t>
            </w:r>
          </w:p>
        </w:tc>
        <w:tc>
          <w:tcPr>
            <w:tcW w:w="1705" w:type="dxa"/>
            <w:tcBorders>
              <w:top w:val="single" w:sz="4" w:space="0" w:color="auto"/>
              <w:left w:val="nil"/>
              <w:bottom w:val="single" w:sz="4" w:space="0" w:color="auto"/>
              <w:right w:val="single" w:sz="4" w:space="0" w:color="auto"/>
            </w:tcBorders>
            <w:shd w:val="clear" w:color="auto" w:fill="C6EFCE"/>
            <w:noWrap/>
          </w:tcPr>
          <w:p w14:paraId="4F55B10A" w14:textId="77777777" w:rsidR="00CE3BAD" w:rsidRPr="00782BF9" w:rsidRDefault="006B5475">
            <w:pPr>
              <w:pStyle w:val="P68B1DB1-Normal24"/>
              <w:spacing w:before="120" w:after="120" w:line="240" w:lineRule="auto"/>
              <w:jc w:val="both"/>
              <w:rPr>
                <w:rFonts w:eastAsia="Calibri"/>
                <w:noProof/>
                <w:lang w:val="bg-BG"/>
              </w:rPr>
            </w:pPr>
            <w:r w:rsidRPr="00782BF9">
              <w:rPr>
                <w:noProof/>
                <w:lang w:val="bg-BG"/>
              </w:rPr>
              <w:t>К10.И16: Създаване на финансов инструмент за подпомагане на проучванията и експлоатацията на геотермална енергия</w:t>
            </w:r>
          </w:p>
        </w:tc>
        <w:tc>
          <w:tcPr>
            <w:tcW w:w="1330" w:type="dxa"/>
            <w:tcBorders>
              <w:top w:val="single" w:sz="4" w:space="0" w:color="auto"/>
              <w:left w:val="nil"/>
              <w:bottom w:val="single" w:sz="4" w:space="0" w:color="auto"/>
              <w:right w:val="single" w:sz="4" w:space="0" w:color="auto"/>
            </w:tcBorders>
            <w:shd w:val="clear" w:color="auto" w:fill="C6EFCE"/>
            <w:noWrap/>
          </w:tcPr>
          <w:p w14:paraId="2575B1A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Ключов етап</w:t>
            </w:r>
          </w:p>
        </w:tc>
        <w:tc>
          <w:tcPr>
            <w:tcW w:w="1458" w:type="dxa"/>
            <w:tcBorders>
              <w:top w:val="single" w:sz="4" w:space="0" w:color="auto"/>
              <w:left w:val="nil"/>
              <w:bottom w:val="single" w:sz="4" w:space="0" w:color="auto"/>
              <w:right w:val="single" w:sz="4" w:space="0" w:color="auto"/>
            </w:tcBorders>
            <w:shd w:val="clear" w:color="auto" w:fill="C6EFCE"/>
            <w:noWrap/>
          </w:tcPr>
          <w:p w14:paraId="2F2C8E5C" w14:textId="77777777" w:rsidR="00CE3BAD" w:rsidRPr="00782BF9" w:rsidRDefault="006B5475">
            <w:pPr>
              <w:pStyle w:val="P68B1DB1-Normal24"/>
              <w:spacing w:before="120" w:after="120" w:line="240" w:lineRule="auto"/>
              <w:jc w:val="both"/>
              <w:rPr>
                <w:rFonts w:eastAsia="Times New Roman"/>
                <w:noProof/>
                <w:lang w:val="bg-BG"/>
              </w:rPr>
            </w:pPr>
            <w:r w:rsidRPr="00782BF9">
              <w:rPr>
                <w:noProof/>
                <w:lang w:val="bg-BG"/>
              </w:rPr>
              <w:t>MFB е завършила инвестицията</w:t>
            </w:r>
          </w:p>
        </w:tc>
        <w:tc>
          <w:tcPr>
            <w:tcW w:w="1338" w:type="dxa"/>
            <w:tcBorders>
              <w:top w:val="single" w:sz="4" w:space="0" w:color="auto"/>
              <w:left w:val="nil"/>
              <w:bottom w:val="single" w:sz="4" w:space="0" w:color="auto"/>
              <w:right w:val="single" w:sz="4" w:space="0" w:color="auto"/>
            </w:tcBorders>
            <w:shd w:val="clear" w:color="auto" w:fill="C6EFCE"/>
            <w:noWrap/>
          </w:tcPr>
          <w:p w14:paraId="5B5E3896"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 xml:space="preserve">Удостоверение за прехвърляне </w:t>
            </w:r>
          </w:p>
        </w:tc>
        <w:tc>
          <w:tcPr>
            <w:tcW w:w="1116" w:type="dxa"/>
            <w:tcBorders>
              <w:top w:val="single" w:sz="4" w:space="0" w:color="auto"/>
              <w:left w:val="nil"/>
              <w:bottom w:val="single" w:sz="4" w:space="0" w:color="auto"/>
              <w:right w:val="single" w:sz="4" w:space="0" w:color="auto"/>
            </w:tcBorders>
            <w:shd w:val="clear" w:color="auto" w:fill="C6EFCE"/>
            <w:noWrap/>
          </w:tcPr>
          <w:p w14:paraId="48ADB22D" w14:textId="77777777" w:rsidR="00CE3BAD" w:rsidRPr="00782BF9" w:rsidRDefault="00CE3BAD">
            <w:pPr>
              <w:spacing w:before="120" w:after="120" w:line="240" w:lineRule="auto"/>
              <w:jc w:val="center"/>
              <w:rPr>
                <w:rFonts w:eastAsia="Times New Roman" w:cstheme="minorHAnsi"/>
                <w:noProof/>
                <w:sz w:val="18"/>
                <w:lang w:val="bg-BG"/>
              </w:rPr>
            </w:pPr>
          </w:p>
        </w:tc>
        <w:tc>
          <w:tcPr>
            <w:tcW w:w="877" w:type="dxa"/>
            <w:tcBorders>
              <w:top w:val="single" w:sz="4" w:space="0" w:color="auto"/>
              <w:left w:val="nil"/>
              <w:bottom w:val="single" w:sz="4" w:space="0" w:color="auto"/>
              <w:right w:val="single" w:sz="4" w:space="0" w:color="auto"/>
            </w:tcBorders>
            <w:shd w:val="clear" w:color="auto" w:fill="C6EFCE"/>
            <w:noWrap/>
          </w:tcPr>
          <w:p w14:paraId="4A994077" w14:textId="77777777" w:rsidR="00CE3BAD" w:rsidRPr="00782BF9" w:rsidRDefault="00CE3BAD">
            <w:pPr>
              <w:spacing w:before="120" w:after="120" w:line="240" w:lineRule="auto"/>
              <w:jc w:val="center"/>
              <w:rPr>
                <w:rFonts w:eastAsia="Times New Roman" w:cstheme="minorHAnsi"/>
                <w:noProof/>
                <w:sz w:val="18"/>
                <w:lang w:val="bg-BG"/>
              </w:rPr>
            </w:pPr>
          </w:p>
        </w:tc>
        <w:tc>
          <w:tcPr>
            <w:tcW w:w="1559" w:type="dxa"/>
            <w:tcBorders>
              <w:top w:val="single" w:sz="4" w:space="0" w:color="auto"/>
              <w:left w:val="nil"/>
              <w:bottom w:val="single" w:sz="4" w:space="0" w:color="auto"/>
              <w:right w:val="single" w:sz="4" w:space="0" w:color="auto"/>
            </w:tcBorders>
            <w:shd w:val="clear" w:color="auto" w:fill="C6EFCE"/>
            <w:noWrap/>
          </w:tcPr>
          <w:p w14:paraId="744AE015" w14:textId="77777777" w:rsidR="00CE3BAD" w:rsidRPr="00782BF9" w:rsidRDefault="00CE3BAD">
            <w:pPr>
              <w:spacing w:before="120" w:after="120" w:line="240" w:lineRule="auto"/>
              <w:jc w:val="center"/>
              <w:rPr>
                <w:rFonts w:eastAsia="Times New Roman" w:cstheme="minorHAnsi"/>
                <w:noProof/>
                <w:sz w:val="18"/>
                <w:lang w:val="bg-BG"/>
              </w:rPr>
            </w:pPr>
          </w:p>
        </w:tc>
        <w:tc>
          <w:tcPr>
            <w:tcW w:w="850" w:type="dxa"/>
            <w:tcBorders>
              <w:top w:val="single" w:sz="4" w:space="0" w:color="auto"/>
              <w:left w:val="nil"/>
              <w:bottom w:val="single" w:sz="4" w:space="0" w:color="auto"/>
              <w:right w:val="single" w:sz="4" w:space="0" w:color="auto"/>
            </w:tcBorders>
            <w:shd w:val="clear" w:color="auto" w:fill="C6EFCE"/>
            <w:noWrap/>
          </w:tcPr>
          <w:p w14:paraId="77837113"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Т2 Г.</w:t>
            </w:r>
          </w:p>
        </w:tc>
        <w:tc>
          <w:tcPr>
            <w:tcW w:w="709" w:type="dxa"/>
            <w:tcBorders>
              <w:top w:val="single" w:sz="4" w:space="0" w:color="auto"/>
              <w:left w:val="nil"/>
              <w:bottom w:val="single" w:sz="4" w:space="0" w:color="auto"/>
              <w:right w:val="single" w:sz="4" w:space="0" w:color="auto"/>
            </w:tcBorders>
            <w:shd w:val="clear" w:color="auto" w:fill="C6EFCE"/>
            <w:noWrap/>
          </w:tcPr>
          <w:p w14:paraId="0895D207" w14:textId="77777777" w:rsidR="00CE3BAD" w:rsidRPr="00782BF9" w:rsidRDefault="006B5475">
            <w:pPr>
              <w:pStyle w:val="P68B1DB1-Normal24"/>
              <w:spacing w:before="120" w:after="120" w:line="240" w:lineRule="auto"/>
              <w:jc w:val="center"/>
              <w:rPr>
                <w:rFonts w:eastAsia="Times New Roman"/>
                <w:noProof/>
                <w:lang w:val="bg-BG"/>
              </w:rPr>
            </w:pPr>
            <w:r w:rsidRPr="00782BF9">
              <w:rPr>
                <w:noProof/>
                <w:lang w:val="bg-BG"/>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76A70E36" w14:textId="35BB3340" w:rsidR="00CE3BAD" w:rsidRPr="00782BF9" w:rsidRDefault="006B5475">
            <w:pPr>
              <w:pStyle w:val="P68B1DB1-Normal10"/>
              <w:spacing w:before="120" w:after="120" w:line="240" w:lineRule="auto"/>
              <w:ind w:right="83"/>
              <w:jc w:val="both"/>
              <w:rPr>
                <w:rFonts w:eastAsia="Times New Roman" w:cstheme="minorHAnsi"/>
                <w:noProof/>
                <w:lang w:val="bg-BG"/>
              </w:rPr>
            </w:pPr>
            <w:r w:rsidRPr="00782BF9">
              <w:rPr>
                <w:rFonts w:cstheme="minorHAnsi"/>
                <w:noProof/>
                <w:lang w:val="bg-BG"/>
              </w:rPr>
              <w:t>MFB прехвърля най-малко 326 715 730 EUR на крайните бенефициери на механизма. Освен това 24</w:t>
            </w:r>
            <w:r w:rsidRPr="00782BF9">
              <w:rPr>
                <w:noProof/>
                <w:color w:val="006100"/>
                <w:lang w:val="bg-BG"/>
              </w:rPr>
              <w:t xml:space="preserve"> </w:t>
            </w:r>
            <w:r w:rsidRPr="00782BF9">
              <w:rPr>
                <w:rFonts w:cstheme="minorHAnsi"/>
                <w:noProof/>
                <w:lang w:val="bg-BG"/>
              </w:rPr>
              <w:t>591 EUR</w:t>
            </w:r>
            <w:r w:rsidRPr="00782BF9">
              <w:rPr>
                <w:noProof/>
                <w:color w:val="006100"/>
                <w:lang w:val="bg-BG"/>
              </w:rPr>
              <w:t xml:space="preserve"> </w:t>
            </w:r>
            <w:r w:rsidRPr="00782BF9">
              <w:rPr>
                <w:rFonts w:cstheme="minorHAnsi"/>
                <w:noProof/>
                <w:lang w:val="bg-BG"/>
              </w:rPr>
              <w:t>061 се прехвърлят на MFB като максимален таван за плащането на такси за управление на партньора по изпълнението.</w:t>
            </w:r>
          </w:p>
        </w:tc>
      </w:tr>
    </w:tbl>
    <w:p w14:paraId="5E1AA0CB"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3E978738" w14:textId="77777777" w:rsidR="00CE3BAD" w:rsidRPr="00782BF9" w:rsidRDefault="006B5475">
      <w:pPr>
        <w:tabs>
          <w:tab w:val="left" w:pos="8805"/>
        </w:tabs>
        <w:spacing w:before="120" w:after="120" w:line="240" w:lineRule="auto"/>
        <w:jc w:val="both"/>
        <w:rPr>
          <w:rFonts w:ascii="Times New Roman" w:eastAsia="Calibri" w:hAnsi="Times New Roman" w:cs="Times New Roman"/>
          <w:noProof/>
          <w:sz w:val="24"/>
          <w:lang w:val="bg-BG"/>
        </w:rPr>
        <w:sectPr w:rsidR="00CE3BAD" w:rsidRPr="00782BF9">
          <w:headerReference w:type="even" r:id="rId165"/>
          <w:headerReference w:type="default" r:id="rId166"/>
          <w:footerReference w:type="even" r:id="rId167"/>
          <w:footerReference w:type="default" r:id="rId168"/>
          <w:headerReference w:type="first" r:id="rId169"/>
          <w:footerReference w:type="first" r:id="rId170"/>
          <w:pgSz w:w="16839" w:h="11907" w:orient="landscape"/>
          <w:pgMar w:top="720" w:right="720" w:bottom="720" w:left="720" w:header="709" w:footer="709" w:gutter="0"/>
          <w:cols w:space="720"/>
          <w:docGrid w:linePitch="360"/>
        </w:sectPr>
      </w:pPr>
      <w:r w:rsidRPr="00782BF9">
        <w:rPr>
          <w:noProof/>
          <w:lang w:val="bg-BG"/>
        </w:rPr>
        <w:tab/>
      </w:r>
      <w:r w:rsidRPr="00782BF9">
        <w:rPr>
          <w:noProof/>
          <w:lang w:val="bg-BG"/>
        </w:rPr>
        <w:tab/>
      </w:r>
    </w:p>
    <w:p w14:paraId="5552E55E" w14:textId="77777777" w:rsidR="00CE3BAD" w:rsidRPr="00782BF9" w:rsidRDefault="006B5475">
      <w:pPr>
        <w:pStyle w:val="P68B1DB1-Normal2"/>
        <w:spacing w:before="120" w:after="120" w:line="240" w:lineRule="auto"/>
        <w:jc w:val="both"/>
        <w:rPr>
          <w:rFonts w:eastAsia="Calibri" w:cs="Times New Roman"/>
          <w:noProof/>
          <w:lang w:val="bg-BG"/>
        </w:rPr>
      </w:pPr>
      <w:r w:rsidRPr="00782BF9">
        <w:rPr>
          <w:noProof/>
          <w:lang w:val="bg-BG"/>
        </w:rPr>
        <w:t>2. Прогнозни общи разходи за плана за възстановяване и устойчивост</w:t>
      </w:r>
    </w:p>
    <w:p w14:paraId="683620D6" w14:textId="76133CC7" w:rsidR="00CE3BAD" w:rsidRPr="00782BF9" w:rsidRDefault="006B5475">
      <w:pPr>
        <w:pStyle w:val="P68B1DB1-Normal4"/>
        <w:spacing w:beforeAutospacing="1" w:after="0" w:afterAutospacing="1" w:line="240" w:lineRule="auto"/>
        <w:jc w:val="both"/>
        <w:textAlignment w:val="baseline"/>
        <w:rPr>
          <w:rFonts w:ascii="Segoe UI" w:eastAsia="Times New Roman" w:hAnsi="Segoe UI" w:cs="Segoe UI"/>
          <w:noProof/>
          <w:sz w:val="18"/>
          <w:lang w:val="bg-BG"/>
        </w:rPr>
      </w:pPr>
      <w:r w:rsidRPr="00782BF9">
        <w:rPr>
          <w:noProof/>
          <w:lang w:val="bg-BG"/>
        </w:rPr>
        <w:t>Прогнозните общи разходи по плана за възстановяване и устойчивост на Унгария възлизат на 3 954 135 844 000 HUF, което се равнява на 10 429 974 916 EUR (от които 5 435 014 235 EUR въз основа на средния референтен лихвен процент на ЕЦБ в евро за периода от 1 април 2022 г. до 30 септември 2022 г. и 4 994 960 681 EUR въз основа на средния референтен лихвен процент на ЕЦБ в евро към 31 август 2023 г.). </w:t>
      </w:r>
    </w:p>
    <w:p w14:paraId="7F969BD6" w14:textId="5D0A39C3" w:rsidR="00CE3BAD" w:rsidRPr="00782BF9" w:rsidRDefault="006B5475">
      <w:pPr>
        <w:pStyle w:val="P68B1DB1-Normal4"/>
        <w:spacing w:after="0" w:line="240" w:lineRule="auto"/>
        <w:jc w:val="both"/>
        <w:textAlignment w:val="baseline"/>
        <w:rPr>
          <w:rFonts w:ascii="Segoe UI" w:eastAsia="Times New Roman" w:hAnsi="Segoe UI" w:cs="Segoe UI"/>
          <w:noProof/>
          <w:sz w:val="18"/>
          <w:lang w:val="bg-BG"/>
        </w:rPr>
      </w:pPr>
      <w:r w:rsidRPr="00782BF9">
        <w:rPr>
          <w:noProof/>
          <w:lang w:val="bg-BG"/>
        </w:rPr>
        <w:t>Прогнозните общи разходи по главата за REPowerEU възлизат на 1 749 690 000 000 HUF, което се равнява на 4 602 872 701 EUR въз основа на средния референтен лихвен процент на ЕЦБ към 31 август 2023 г. в евро.</w:t>
      </w:r>
    </w:p>
    <w:p w14:paraId="2EEFE836" w14:textId="77777777" w:rsidR="00CE3BAD" w:rsidRPr="00782BF9" w:rsidRDefault="00CE3BAD">
      <w:pPr>
        <w:spacing w:before="120" w:after="120" w:line="240" w:lineRule="auto"/>
        <w:jc w:val="both"/>
        <w:rPr>
          <w:rFonts w:ascii="Times New Roman" w:eastAsia="Calibri" w:hAnsi="Times New Roman" w:cs="Times New Roman"/>
          <w:b/>
          <w:noProof/>
          <w:sz w:val="24"/>
          <w:lang w:val="bg-BG"/>
        </w:rPr>
      </w:pPr>
    </w:p>
    <w:p w14:paraId="44AC3962" w14:textId="77777777" w:rsidR="00CE3BAD" w:rsidRPr="00782BF9" w:rsidRDefault="006B5475">
      <w:pPr>
        <w:pStyle w:val="P68B1DB1-Normal2"/>
        <w:spacing w:before="120" w:after="120" w:line="240" w:lineRule="auto"/>
        <w:jc w:val="both"/>
        <w:rPr>
          <w:rFonts w:eastAsia="Calibri" w:cs="Times New Roman"/>
          <w:noProof/>
          <w:lang w:val="bg-BG"/>
        </w:rPr>
      </w:pPr>
      <w:r w:rsidRPr="00782BF9">
        <w:rPr>
          <w:noProof/>
          <w:lang w:val="bg-BG"/>
        </w:rPr>
        <w:t xml:space="preserve">РАЗДЕЛ 2: ФИНАНСОВА ПОДКРЕПА </w:t>
      </w:r>
    </w:p>
    <w:p w14:paraId="1E222F4F" w14:textId="018B71A3" w:rsidR="00CE3BAD" w:rsidRPr="00782BF9" w:rsidRDefault="006B5475">
      <w:pPr>
        <w:pStyle w:val="P68B1DB1-ListParagraph3"/>
        <w:numPr>
          <w:ilvl w:val="3"/>
          <w:numId w:val="60"/>
        </w:numPr>
        <w:tabs>
          <w:tab w:val="num" w:pos="850"/>
        </w:tabs>
        <w:spacing w:before="120" w:after="120" w:line="360" w:lineRule="auto"/>
        <w:ind w:left="426"/>
        <w:jc w:val="both"/>
        <w:rPr>
          <w:rFonts w:eastAsia="Calibri" w:cs="Times New Roman"/>
          <w:noProof/>
          <w:lang w:val="bg-BG"/>
        </w:rPr>
      </w:pPr>
      <w:r w:rsidRPr="00782BF9">
        <w:rPr>
          <w:noProof/>
          <w:lang w:val="bg-BG"/>
        </w:rPr>
        <w:t xml:space="preserve">Финансов принос  </w:t>
      </w:r>
    </w:p>
    <w:p w14:paraId="500E3330" w14:textId="77777777" w:rsidR="00CE3BAD" w:rsidRPr="00782BF9" w:rsidRDefault="006B5475">
      <w:pPr>
        <w:pStyle w:val="P68B1DB1-Normal4"/>
        <w:spacing w:before="120" w:after="120" w:line="240" w:lineRule="auto"/>
        <w:jc w:val="both"/>
        <w:rPr>
          <w:rFonts w:eastAsia="Calibri" w:cs="Times New Roman"/>
          <w:noProof/>
          <w:lang w:val="bg-BG"/>
        </w:rPr>
      </w:pPr>
      <w:r w:rsidRPr="00782BF9">
        <w:rPr>
          <w:noProof/>
          <w:lang w:val="bg-BG"/>
        </w:rPr>
        <w:t xml:space="preserve">Вноските, посочени в член 2, параграф 2, се организират по следния начин: </w:t>
      </w:r>
    </w:p>
    <w:p w14:paraId="4BCEA528"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51A2DEE0" w14:textId="77777777" w:rsidR="00CE3BAD" w:rsidRPr="00782BF9" w:rsidRDefault="006B5475">
      <w:pPr>
        <w:pStyle w:val="P68B1DB1-ListParagraph27"/>
        <w:numPr>
          <w:ilvl w:val="1"/>
          <w:numId w:val="16"/>
        </w:numPr>
        <w:spacing w:before="120" w:after="120" w:line="240" w:lineRule="auto"/>
        <w:jc w:val="both"/>
        <w:rPr>
          <w:noProof/>
          <w:lang w:val="bg-BG"/>
        </w:rPr>
      </w:pPr>
      <w:r w:rsidRPr="00782BF9">
        <w:rPr>
          <w:noProof/>
          <w:lang w:val="bg-BG"/>
        </w:rPr>
        <w:t>Първа вноска (безвъзмездна подкрепа):</w:t>
      </w:r>
    </w:p>
    <w:p w14:paraId="704D0E10" w14:textId="77777777" w:rsidR="00CE3BAD" w:rsidRPr="00782BF9" w:rsidRDefault="00CE3BAD">
      <w:pPr>
        <w:spacing w:before="120" w:after="120" w:line="240" w:lineRule="auto"/>
        <w:jc w:val="both"/>
        <w:rPr>
          <w:rFonts w:eastAsia="Calibri" w:cs="Times New Roman"/>
          <w:noProof/>
          <w:lang w:val="bg-BG"/>
        </w:rPr>
      </w:pPr>
    </w:p>
    <w:tbl>
      <w:tblPr>
        <w:tblW w:w="9303" w:type="dxa"/>
        <w:tblInd w:w="113" w:type="dxa"/>
        <w:tblLayout w:type="fixed"/>
        <w:tblCellMar>
          <w:top w:w="15" w:type="dxa"/>
        </w:tblCellMar>
        <w:tblLook w:val="04A0" w:firstRow="1" w:lastRow="0" w:firstColumn="1" w:lastColumn="0" w:noHBand="0" w:noVBand="1"/>
      </w:tblPr>
      <w:tblGrid>
        <w:gridCol w:w="1207"/>
        <w:gridCol w:w="3041"/>
        <w:gridCol w:w="1134"/>
        <w:gridCol w:w="3685"/>
        <w:gridCol w:w="236"/>
      </w:tblGrid>
      <w:tr w:rsidR="00CE3BAD" w:rsidRPr="00782BF9" w14:paraId="36F44EEE" w14:textId="77777777">
        <w:trPr>
          <w:gridAfter w:val="1"/>
          <w:wAfter w:w="236" w:type="dxa"/>
          <w:trHeight w:val="450"/>
          <w:tblHeader/>
        </w:trPr>
        <w:tc>
          <w:tcPr>
            <w:tcW w:w="1207"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57218215"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041"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3B884CA6"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34"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76F16128"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685"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2529281B"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42CADE21" w14:textId="77777777">
        <w:trPr>
          <w:trHeight w:val="290"/>
          <w:tblHeader/>
        </w:trPr>
        <w:tc>
          <w:tcPr>
            <w:tcW w:w="1207" w:type="dxa"/>
            <w:vMerge/>
            <w:tcBorders>
              <w:top w:val="single" w:sz="4" w:space="0" w:color="auto"/>
              <w:left w:val="single" w:sz="4" w:space="0" w:color="000000"/>
              <w:bottom w:val="single" w:sz="4" w:space="0" w:color="000000"/>
              <w:right w:val="single" w:sz="4" w:space="0" w:color="000000"/>
            </w:tcBorders>
            <w:vAlign w:val="center"/>
            <w:hideMark/>
          </w:tcPr>
          <w:p w14:paraId="5584C000"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041" w:type="dxa"/>
            <w:vMerge/>
            <w:tcBorders>
              <w:top w:val="single" w:sz="4" w:space="0" w:color="auto"/>
              <w:left w:val="single" w:sz="4" w:space="0" w:color="000000"/>
              <w:bottom w:val="single" w:sz="4" w:space="0" w:color="000000"/>
              <w:right w:val="single" w:sz="4" w:space="0" w:color="000000"/>
            </w:tcBorders>
            <w:vAlign w:val="center"/>
            <w:hideMark/>
          </w:tcPr>
          <w:p w14:paraId="60C69B09"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3E369CB5"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685" w:type="dxa"/>
            <w:vMerge/>
            <w:tcBorders>
              <w:top w:val="single" w:sz="4" w:space="0" w:color="auto"/>
              <w:left w:val="single" w:sz="4" w:space="0" w:color="000000"/>
              <w:bottom w:val="single" w:sz="4" w:space="0" w:color="000000"/>
              <w:right w:val="single" w:sz="4" w:space="0" w:color="000000"/>
            </w:tcBorders>
            <w:vAlign w:val="center"/>
            <w:hideMark/>
          </w:tcPr>
          <w:p w14:paraId="5026AFEF"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236" w:type="dxa"/>
            <w:tcBorders>
              <w:top w:val="nil"/>
              <w:left w:val="nil"/>
              <w:bottom w:val="nil"/>
              <w:right w:val="nil"/>
            </w:tcBorders>
            <w:shd w:val="clear" w:color="auto" w:fill="auto"/>
            <w:noWrap/>
            <w:vAlign w:val="bottom"/>
            <w:hideMark/>
          </w:tcPr>
          <w:p w14:paraId="7738380A" w14:textId="77777777" w:rsidR="00CE3BAD" w:rsidRPr="00782BF9" w:rsidRDefault="00CE3BAD">
            <w:pPr>
              <w:spacing w:after="0" w:line="240" w:lineRule="auto"/>
              <w:jc w:val="center"/>
              <w:rPr>
                <w:rFonts w:ascii="Times New Roman" w:eastAsia="Times New Roman" w:hAnsi="Times New Roman" w:cs="Times New Roman"/>
                <w:b/>
                <w:noProof/>
                <w:lang w:val="bg-BG"/>
              </w:rPr>
            </w:pPr>
          </w:p>
        </w:tc>
      </w:tr>
      <w:tr w:rsidR="00CE3BAD" w:rsidRPr="00782BF9" w14:paraId="4B425652" w14:textId="77777777">
        <w:trPr>
          <w:trHeight w:val="49"/>
          <w:tblHeader/>
        </w:trPr>
        <w:tc>
          <w:tcPr>
            <w:tcW w:w="1207" w:type="dxa"/>
            <w:vMerge/>
            <w:tcBorders>
              <w:top w:val="single" w:sz="4" w:space="0" w:color="auto"/>
              <w:left w:val="single" w:sz="4" w:space="0" w:color="000000"/>
              <w:bottom w:val="single" w:sz="4" w:space="0" w:color="000000"/>
              <w:right w:val="single" w:sz="4" w:space="0" w:color="000000"/>
            </w:tcBorders>
            <w:vAlign w:val="center"/>
            <w:hideMark/>
          </w:tcPr>
          <w:p w14:paraId="7BB8739F"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041" w:type="dxa"/>
            <w:vMerge/>
            <w:tcBorders>
              <w:top w:val="single" w:sz="4" w:space="0" w:color="auto"/>
              <w:left w:val="single" w:sz="4" w:space="0" w:color="000000"/>
              <w:bottom w:val="single" w:sz="4" w:space="0" w:color="000000"/>
              <w:right w:val="single" w:sz="4" w:space="0" w:color="000000"/>
            </w:tcBorders>
            <w:vAlign w:val="center"/>
            <w:hideMark/>
          </w:tcPr>
          <w:p w14:paraId="6E38A095"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0D755DDB"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685" w:type="dxa"/>
            <w:vMerge/>
            <w:tcBorders>
              <w:top w:val="single" w:sz="4" w:space="0" w:color="auto"/>
              <w:left w:val="single" w:sz="4" w:space="0" w:color="000000"/>
              <w:bottom w:val="single" w:sz="4" w:space="0" w:color="000000"/>
              <w:right w:val="single" w:sz="4" w:space="0" w:color="000000"/>
            </w:tcBorders>
            <w:vAlign w:val="center"/>
            <w:hideMark/>
          </w:tcPr>
          <w:p w14:paraId="6A9E596C"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236" w:type="dxa"/>
            <w:tcBorders>
              <w:top w:val="nil"/>
              <w:left w:val="nil"/>
              <w:bottom w:val="nil"/>
              <w:right w:val="nil"/>
            </w:tcBorders>
            <w:shd w:val="clear" w:color="auto" w:fill="auto"/>
            <w:noWrap/>
            <w:vAlign w:val="bottom"/>
            <w:hideMark/>
          </w:tcPr>
          <w:p w14:paraId="57D96D48" w14:textId="77777777" w:rsidR="00CE3BAD" w:rsidRPr="00782BF9" w:rsidRDefault="00CE3BAD">
            <w:pPr>
              <w:spacing w:after="0" w:line="240" w:lineRule="auto"/>
              <w:rPr>
                <w:rFonts w:ascii="Times New Roman" w:eastAsia="Times New Roman" w:hAnsi="Times New Roman" w:cs="Times New Roman"/>
                <w:noProof/>
                <w:lang w:val="bg-BG"/>
              </w:rPr>
            </w:pPr>
          </w:p>
        </w:tc>
      </w:tr>
      <w:tr w:rsidR="00CE3BAD" w:rsidRPr="00782BF9" w14:paraId="79D00774" w14:textId="77777777">
        <w:tblPrEx>
          <w:tblCellMar>
            <w:top w:w="0" w:type="dxa"/>
          </w:tblCellMar>
        </w:tblPrEx>
        <w:trPr>
          <w:gridAfter w:val="1"/>
          <w:wAfter w:w="236" w:type="dxa"/>
          <w:trHeight w:val="689"/>
        </w:trPr>
        <w:tc>
          <w:tcPr>
            <w:tcW w:w="1207"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AF66899" w14:textId="77777777" w:rsidR="00CE3BAD" w:rsidRPr="00782BF9" w:rsidRDefault="006B5475">
            <w:pPr>
              <w:pStyle w:val="P68B1DB1-Normal29"/>
              <w:spacing w:after="0" w:line="240" w:lineRule="auto"/>
              <w:rPr>
                <w:noProof/>
                <w:lang w:val="bg-BG"/>
              </w:rPr>
            </w:pPr>
            <w:r w:rsidRPr="00782BF9">
              <w:rPr>
                <w:noProof/>
                <w:lang w:val="bg-BG"/>
              </w:rPr>
              <w:t>1</w:t>
            </w:r>
          </w:p>
        </w:tc>
        <w:tc>
          <w:tcPr>
            <w:tcW w:w="3041" w:type="dxa"/>
            <w:tcBorders>
              <w:top w:val="single" w:sz="4" w:space="0" w:color="auto"/>
              <w:left w:val="nil"/>
              <w:bottom w:val="single" w:sz="4" w:space="0" w:color="auto"/>
              <w:right w:val="single" w:sz="4" w:space="0" w:color="auto"/>
            </w:tcBorders>
            <w:shd w:val="clear" w:color="000000" w:fill="C6EFCE"/>
            <w:vAlign w:val="center"/>
            <w:hideMark/>
          </w:tcPr>
          <w:p w14:paraId="6A178321" w14:textId="77777777" w:rsidR="00CE3BAD" w:rsidRPr="00782BF9" w:rsidRDefault="006B5475">
            <w:pPr>
              <w:pStyle w:val="P68B1DB1-Normal29"/>
              <w:spacing w:after="0" w:line="240" w:lineRule="auto"/>
              <w:rPr>
                <w:noProof/>
                <w:lang w:val="bg-BG"/>
              </w:rPr>
            </w:pPr>
            <w:r w:rsidRPr="00782BF9">
              <w:rPr>
                <w:noProof/>
                <w:lang w:val="bg-BG"/>
              </w:rPr>
              <w:t xml:space="preserve">В1.R1 Развитие на конкурентоспособно публично образование с използване на технологията на 21-ви век </w:t>
            </w:r>
          </w:p>
        </w:tc>
        <w:tc>
          <w:tcPr>
            <w:tcW w:w="1134" w:type="dxa"/>
            <w:tcBorders>
              <w:top w:val="single" w:sz="4" w:space="0" w:color="auto"/>
              <w:left w:val="nil"/>
              <w:bottom w:val="single" w:sz="4" w:space="0" w:color="auto"/>
              <w:right w:val="single" w:sz="4" w:space="0" w:color="auto"/>
            </w:tcBorders>
            <w:shd w:val="clear" w:color="000000" w:fill="C6EFCE"/>
            <w:vAlign w:val="center"/>
            <w:hideMark/>
          </w:tcPr>
          <w:p w14:paraId="230E891E"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685" w:type="dxa"/>
            <w:tcBorders>
              <w:top w:val="single" w:sz="4" w:space="0" w:color="auto"/>
              <w:left w:val="nil"/>
              <w:bottom w:val="single" w:sz="4" w:space="0" w:color="auto"/>
              <w:right w:val="single" w:sz="4" w:space="0" w:color="auto"/>
            </w:tcBorders>
            <w:shd w:val="clear" w:color="000000" w:fill="C6EFCE"/>
            <w:vAlign w:val="center"/>
            <w:hideMark/>
          </w:tcPr>
          <w:p w14:paraId="7FAF0E99" w14:textId="77777777" w:rsidR="00CE3BAD" w:rsidRPr="00782BF9" w:rsidRDefault="006B5475">
            <w:pPr>
              <w:pStyle w:val="P68B1DB1-Normal29"/>
              <w:spacing w:after="0" w:line="240" w:lineRule="auto"/>
              <w:rPr>
                <w:noProof/>
                <w:lang w:val="bg-BG"/>
              </w:rPr>
            </w:pPr>
            <w:r w:rsidRPr="00782BF9">
              <w:rPr>
                <w:noProof/>
                <w:lang w:val="bg-BG"/>
              </w:rPr>
              <w:t xml:space="preserve">Брой на цифровите преносими компютри, доставени за ползване от ученика или учителя </w:t>
            </w:r>
          </w:p>
        </w:tc>
      </w:tr>
      <w:tr w:rsidR="00CE3BAD" w:rsidRPr="00782BF9" w14:paraId="603430B4" w14:textId="77777777">
        <w:tblPrEx>
          <w:tblCellMar>
            <w:top w:w="0" w:type="dxa"/>
          </w:tblCellMar>
        </w:tblPrEx>
        <w:trPr>
          <w:gridAfter w:val="1"/>
          <w:wAfter w:w="236" w:type="dxa"/>
          <w:trHeight w:val="345"/>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3CBAE15B" w14:textId="77777777" w:rsidR="00CE3BAD" w:rsidRPr="00782BF9" w:rsidRDefault="006B5475">
            <w:pPr>
              <w:pStyle w:val="P68B1DB1-Normal29"/>
              <w:spacing w:after="0" w:line="240" w:lineRule="auto"/>
              <w:rPr>
                <w:noProof/>
                <w:lang w:val="bg-BG"/>
              </w:rPr>
            </w:pPr>
            <w:r w:rsidRPr="00782BF9">
              <w:rPr>
                <w:noProof/>
                <w:lang w:val="bg-BG"/>
              </w:rPr>
              <w:t>2</w:t>
            </w:r>
          </w:p>
        </w:tc>
        <w:tc>
          <w:tcPr>
            <w:tcW w:w="3041" w:type="dxa"/>
            <w:tcBorders>
              <w:top w:val="nil"/>
              <w:left w:val="nil"/>
              <w:bottom w:val="single" w:sz="4" w:space="0" w:color="auto"/>
              <w:right w:val="single" w:sz="4" w:space="0" w:color="auto"/>
            </w:tcBorders>
            <w:shd w:val="clear" w:color="000000" w:fill="C6EFCE"/>
            <w:vAlign w:val="center"/>
            <w:hideMark/>
          </w:tcPr>
          <w:p w14:paraId="68642F68" w14:textId="77777777" w:rsidR="00CE3BAD" w:rsidRPr="00782BF9" w:rsidRDefault="006B5475">
            <w:pPr>
              <w:pStyle w:val="P68B1DB1-Normal29"/>
              <w:spacing w:after="0" w:line="240" w:lineRule="auto"/>
              <w:rPr>
                <w:noProof/>
                <w:lang w:val="bg-BG"/>
              </w:rPr>
            </w:pPr>
            <w:r w:rsidRPr="00782BF9">
              <w:rPr>
                <w:noProof/>
                <w:lang w:val="bg-BG"/>
              </w:rPr>
              <w:t>В1.R1 Развитие на конкурентоспособно публично образование с използване на технологията на 21-ви век</w:t>
            </w:r>
          </w:p>
        </w:tc>
        <w:tc>
          <w:tcPr>
            <w:tcW w:w="1134" w:type="dxa"/>
            <w:tcBorders>
              <w:top w:val="nil"/>
              <w:left w:val="nil"/>
              <w:bottom w:val="single" w:sz="4" w:space="0" w:color="auto"/>
              <w:right w:val="single" w:sz="4" w:space="0" w:color="auto"/>
            </w:tcBorders>
            <w:shd w:val="clear" w:color="000000" w:fill="C6EFCE"/>
            <w:vAlign w:val="center"/>
            <w:hideMark/>
          </w:tcPr>
          <w:p w14:paraId="667B9055"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2D5CE7C5" w14:textId="77777777" w:rsidR="00CE3BAD" w:rsidRPr="00782BF9" w:rsidRDefault="006B5475">
            <w:pPr>
              <w:pStyle w:val="P68B1DB1-Normal29"/>
              <w:spacing w:after="0" w:line="240" w:lineRule="auto"/>
              <w:rPr>
                <w:noProof/>
                <w:lang w:val="bg-BG"/>
              </w:rPr>
            </w:pPr>
            <w:r w:rsidRPr="00782BF9">
              <w:rPr>
                <w:noProof/>
                <w:lang w:val="bg-BG"/>
              </w:rPr>
              <w:t>Разработване на стратегия за проверка на имущественото състояние за предоставяне на цифрови преносими компютри на учениците</w:t>
            </w:r>
          </w:p>
        </w:tc>
      </w:tr>
      <w:tr w:rsidR="00CE3BAD" w:rsidRPr="00782BF9" w14:paraId="4E159260" w14:textId="77777777">
        <w:tblPrEx>
          <w:tblCellMar>
            <w:top w:w="0" w:type="dxa"/>
          </w:tblCellMar>
        </w:tblPrEx>
        <w:trPr>
          <w:gridAfter w:val="1"/>
          <w:wAfter w:w="236" w:type="dxa"/>
          <w:trHeight w:val="742"/>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4D3D55D0" w14:textId="77777777" w:rsidR="00CE3BAD" w:rsidRPr="00782BF9" w:rsidRDefault="006B5475">
            <w:pPr>
              <w:pStyle w:val="P68B1DB1-Normal29"/>
              <w:spacing w:after="0" w:line="240" w:lineRule="auto"/>
              <w:rPr>
                <w:noProof/>
                <w:lang w:val="bg-BG"/>
              </w:rPr>
            </w:pPr>
            <w:r w:rsidRPr="00782BF9">
              <w:rPr>
                <w:noProof/>
                <w:lang w:val="bg-BG"/>
              </w:rPr>
              <w:t>35</w:t>
            </w:r>
          </w:p>
        </w:tc>
        <w:tc>
          <w:tcPr>
            <w:tcW w:w="3041" w:type="dxa"/>
            <w:tcBorders>
              <w:top w:val="nil"/>
              <w:left w:val="nil"/>
              <w:bottom w:val="single" w:sz="4" w:space="0" w:color="auto"/>
              <w:right w:val="single" w:sz="4" w:space="0" w:color="auto"/>
            </w:tcBorders>
            <w:shd w:val="clear" w:color="000000" w:fill="C6EFCE"/>
            <w:vAlign w:val="center"/>
            <w:hideMark/>
          </w:tcPr>
          <w:p w14:paraId="4511E008" w14:textId="77777777" w:rsidR="00CE3BAD" w:rsidRPr="00782BF9" w:rsidRDefault="006B5475">
            <w:pPr>
              <w:pStyle w:val="P68B1DB1-Normal29"/>
              <w:spacing w:after="0" w:line="240" w:lineRule="auto"/>
              <w:rPr>
                <w:noProof/>
                <w:lang w:val="bg-BG"/>
              </w:rPr>
            </w:pPr>
            <w:r w:rsidRPr="00782BF9">
              <w:rPr>
                <w:noProof/>
                <w:lang w:val="bg-BG"/>
              </w:rPr>
              <w:t>C2.I2 Модернизиране на инфраструктурата и цифровизация във висшите учебни заведения</w:t>
            </w:r>
          </w:p>
        </w:tc>
        <w:tc>
          <w:tcPr>
            <w:tcW w:w="1134" w:type="dxa"/>
            <w:tcBorders>
              <w:top w:val="nil"/>
              <w:left w:val="nil"/>
              <w:bottom w:val="single" w:sz="4" w:space="0" w:color="auto"/>
              <w:right w:val="single" w:sz="4" w:space="0" w:color="auto"/>
            </w:tcBorders>
            <w:shd w:val="clear" w:color="000000" w:fill="C6EFCE"/>
            <w:vAlign w:val="center"/>
            <w:hideMark/>
          </w:tcPr>
          <w:p w14:paraId="59CC7A15"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1474560B" w14:textId="77777777" w:rsidR="00CE3BAD" w:rsidRPr="00782BF9" w:rsidRDefault="006B5475">
            <w:pPr>
              <w:pStyle w:val="P68B1DB1-Normal29"/>
              <w:spacing w:after="0" w:line="240" w:lineRule="auto"/>
              <w:rPr>
                <w:noProof/>
                <w:lang w:val="bg-BG"/>
              </w:rPr>
            </w:pPr>
            <w:r w:rsidRPr="00782BF9">
              <w:rPr>
                <w:noProof/>
                <w:lang w:val="bg-BG"/>
              </w:rPr>
              <w:t xml:space="preserve">Отправяне на покана за представяне на предложения за проекти за обновяване на енергийната ефективност, строителство на нови сгради, ново цифрово оборудване и дейности за развитие на капацитета във висшите учебни заведения </w:t>
            </w:r>
          </w:p>
        </w:tc>
      </w:tr>
      <w:tr w:rsidR="00CE3BAD" w:rsidRPr="00782BF9" w14:paraId="74AA4662" w14:textId="77777777">
        <w:tblPrEx>
          <w:tblCellMar>
            <w:top w:w="0" w:type="dxa"/>
          </w:tblCellMar>
        </w:tblPrEx>
        <w:trPr>
          <w:gridAfter w:val="1"/>
          <w:wAfter w:w="236" w:type="dxa"/>
          <w:trHeight w:val="796"/>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2C9D576D" w14:textId="77777777" w:rsidR="00CE3BAD" w:rsidRPr="00782BF9" w:rsidRDefault="006B5475">
            <w:pPr>
              <w:pStyle w:val="P68B1DB1-Normal29"/>
              <w:spacing w:after="0" w:line="240" w:lineRule="auto"/>
              <w:rPr>
                <w:noProof/>
                <w:lang w:val="bg-BG"/>
              </w:rPr>
            </w:pPr>
            <w:r w:rsidRPr="00782BF9">
              <w:rPr>
                <w:noProof/>
                <w:lang w:val="bg-BG"/>
              </w:rPr>
              <w:t>42</w:t>
            </w:r>
          </w:p>
        </w:tc>
        <w:tc>
          <w:tcPr>
            <w:tcW w:w="3041" w:type="dxa"/>
            <w:tcBorders>
              <w:top w:val="nil"/>
              <w:left w:val="nil"/>
              <w:bottom w:val="single" w:sz="4" w:space="0" w:color="auto"/>
              <w:right w:val="single" w:sz="4" w:space="0" w:color="auto"/>
            </w:tcBorders>
            <w:shd w:val="clear" w:color="000000" w:fill="C6EFCE"/>
            <w:vAlign w:val="center"/>
            <w:hideMark/>
          </w:tcPr>
          <w:p w14:paraId="2B2FAF50" w14:textId="77777777" w:rsidR="00CE3BAD" w:rsidRPr="00782BF9" w:rsidRDefault="006B5475">
            <w:pPr>
              <w:pStyle w:val="P68B1DB1-Normal29"/>
              <w:spacing w:after="0" w:line="240" w:lineRule="auto"/>
              <w:rPr>
                <w:noProof/>
                <w:lang w:val="bg-BG"/>
              </w:rPr>
            </w:pPr>
            <w:r w:rsidRPr="00782BF9">
              <w:rPr>
                <w:noProof/>
                <w:lang w:val="bg-BG"/>
              </w:rPr>
              <w:t xml:space="preserve">C2.I4 Инфраструктура за професионално образование и обучение за 21-ви век </w:t>
            </w:r>
          </w:p>
        </w:tc>
        <w:tc>
          <w:tcPr>
            <w:tcW w:w="1134" w:type="dxa"/>
            <w:tcBorders>
              <w:top w:val="nil"/>
              <w:left w:val="nil"/>
              <w:bottom w:val="single" w:sz="4" w:space="0" w:color="auto"/>
              <w:right w:val="single" w:sz="4" w:space="0" w:color="auto"/>
            </w:tcBorders>
            <w:shd w:val="clear" w:color="000000" w:fill="C6EFCE"/>
            <w:vAlign w:val="center"/>
            <w:hideMark/>
          </w:tcPr>
          <w:p w14:paraId="5F656B2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50CD7264" w14:textId="77777777" w:rsidR="00CE3BAD" w:rsidRPr="00782BF9" w:rsidRDefault="006B5475">
            <w:pPr>
              <w:pStyle w:val="P68B1DB1-Normal29"/>
              <w:spacing w:after="0" w:line="240" w:lineRule="auto"/>
              <w:rPr>
                <w:noProof/>
                <w:lang w:val="bg-BG"/>
              </w:rPr>
            </w:pPr>
            <w:r w:rsidRPr="00782BF9">
              <w:rPr>
                <w:noProof/>
                <w:lang w:val="bg-BG"/>
              </w:rPr>
              <w:t>Подбор на най-малко 16 центъра за професионално образование и обучение, които да участват в програма за развитие</w:t>
            </w:r>
          </w:p>
        </w:tc>
      </w:tr>
      <w:tr w:rsidR="00CE3BAD" w:rsidRPr="00782BF9" w14:paraId="6AC6F240" w14:textId="77777777">
        <w:tblPrEx>
          <w:tblCellMar>
            <w:top w:w="0" w:type="dxa"/>
          </w:tblCellMar>
        </w:tblPrEx>
        <w:trPr>
          <w:gridAfter w:val="1"/>
          <w:wAfter w:w="236" w:type="dxa"/>
          <w:trHeight w:val="1063"/>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435B188F" w14:textId="77777777" w:rsidR="00CE3BAD" w:rsidRPr="00782BF9" w:rsidRDefault="006B5475">
            <w:pPr>
              <w:pStyle w:val="P68B1DB1-Normal29"/>
              <w:spacing w:after="0" w:line="240" w:lineRule="auto"/>
              <w:rPr>
                <w:noProof/>
                <w:lang w:val="bg-BG"/>
              </w:rPr>
            </w:pPr>
            <w:r w:rsidRPr="00782BF9">
              <w:rPr>
                <w:noProof/>
                <w:lang w:val="bg-BG"/>
              </w:rPr>
              <w:t>48</w:t>
            </w:r>
          </w:p>
        </w:tc>
        <w:tc>
          <w:tcPr>
            <w:tcW w:w="3041" w:type="dxa"/>
            <w:tcBorders>
              <w:top w:val="nil"/>
              <w:left w:val="nil"/>
              <w:bottom w:val="single" w:sz="4" w:space="0" w:color="auto"/>
              <w:right w:val="single" w:sz="4" w:space="0" w:color="auto"/>
            </w:tcBorders>
            <w:shd w:val="clear" w:color="000000" w:fill="C6EFCE"/>
            <w:vAlign w:val="center"/>
            <w:hideMark/>
          </w:tcPr>
          <w:p w14:paraId="18CA02A3" w14:textId="77777777" w:rsidR="00CE3BAD" w:rsidRPr="00782BF9" w:rsidRDefault="006B5475">
            <w:pPr>
              <w:pStyle w:val="P68B1DB1-Normal29"/>
              <w:spacing w:after="0" w:line="240" w:lineRule="auto"/>
              <w:rPr>
                <w:noProof/>
                <w:lang w:val="bg-BG"/>
              </w:rPr>
            </w:pPr>
            <w:r w:rsidRPr="00782BF9">
              <w:rPr>
                <w:noProof/>
                <w:lang w:val="bg-BG"/>
              </w:rPr>
              <w:t>C2.I6 Създаване на национални лаборатории за научноизследователска и развойна дейност</w:t>
            </w:r>
          </w:p>
        </w:tc>
        <w:tc>
          <w:tcPr>
            <w:tcW w:w="1134" w:type="dxa"/>
            <w:tcBorders>
              <w:top w:val="nil"/>
              <w:left w:val="nil"/>
              <w:bottom w:val="single" w:sz="4" w:space="0" w:color="auto"/>
              <w:right w:val="single" w:sz="4" w:space="0" w:color="auto"/>
            </w:tcBorders>
            <w:shd w:val="clear" w:color="000000" w:fill="C6EFCE"/>
            <w:vAlign w:val="center"/>
            <w:hideMark/>
          </w:tcPr>
          <w:p w14:paraId="18D3F52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685" w:type="dxa"/>
            <w:tcBorders>
              <w:top w:val="nil"/>
              <w:left w:val="nil"/>
              <w:bottom w:val="single" w:sz="4" w:space="0" w:color="auto"/>
              <w:right w:val="single" w:sz="4" w:space="0" w:color="auto"/>
            </w:tcBorders>
            <w:shd w:val="clear" w:color="000000" w:fill="C6EFCE"/>
            <w:vAlign w:val="center"/>
            <w:hideMark/>
          </w:tcPr>
          <w:p w14:paraId="16703C53" w14:textId="77777777" w:rsidR="00CE3BAD" w:rsidRPr="00782BF9" w:rsidRDefault="006B5475">
            <w:pPr>
              <w:pStyle w:val="P68B1DB1-Normal29"/>
              <w:spacing w:after="0" w:line="240" w:lineRule="auto"/>
              <w:rPr>
                <w:noProof/>
                <w:lang w:val="bg-BG"/>
              </w:rPr>
            </w:pPr>
            <w:r w:rsidRPr="00782BF9">
              <w:rPr>
                <w:noProof/>
                <w:lang w:val="bg-BG"/>
              </w:rPr>
              <w:t>Създаване на допълнителни национални лаборатории в пет тематични области на научни изследвания</w:t>
            </w:r>
          </w:p>
        </w:tc>
      </w:tr>
      <w:tr w:rsidR="00CE3BAD" w:rsidRPr="00782BF9" w14:paraId="677DE8DF" w14:textId="77777777">
        <w:tblPrEx>
          <w:tblCellMar>
            <w:top w:w="0" w:type="dxa"/>
          </w:tblCellMar>
        </w:tblPrEx>
        <w:trPr>
          <w:gridAfter w:val="1"/>
          <w:wAfter w:w="236" w:type="dxa"/>
          <w:trHeight w:val="196"/>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D4860A2" w14:textId="77777777" w:rsidR="00CE3BAD" w:rsidRPr="00782BF9" w:rsidRDefault="006B5475">
            <w:pPr>
              <w:pStyle w:val="P68B1DB1-Normal29"/>
              <w:spacing w:after="0" w:line="240" w:lineRule="auto"/>
              <w:rPr>
                <w:noProof/>
                <w:lang w:val="bg-BG"/>
              </w:rPr>
            </w:pPr>
            <w:r w:rsidRPr="00782BF9">
              <w:rPr>
                <w:noProof/>
                <w:lang w:val="bg-BG"/>
              </w:rPr>
              <w:t>50</w:t>
            </w:r>
          </w:p>
        </w:tc>
        <w:tc>
          <w:tcPr>
            <w:tcW w:w="3041" w:type="dxa"/>
            <w:tcBorders>
              <w:top w:val="nil"/>
              <w:left w:val="nil"/>
              <w:bottom w:val="single" w:sz="4" w:space="0" w:color="auto"/>
              <w:right w:val="single" w:sz="4" w:space="0" w:color="auto"/>
            </w:tcBorders>
            <w:shd w:val="clear" w:color="000000" w:fill="C6EFCE"/>
            <w:vAlign w:val="center"/>
            <w:hideMark/>
          </w:tcPr>
          <w:p w14:paraId="0CB00989" w14:textId="77777777" w:rsidR="00CE3BAD" w:rsidRPr="00782BF9" w:rsidRDefault="006B5475">
            <w:pPr>
              <w:pStyle w:val="P68B1DB1-Normal29"/>
              <w:spacing w:after="0" w:line="240" w:lineRule="auto"/>
              <w:rPr>
                <w:noProof/>
                <w:lang w:val="bg-BG"/>
              </w:rPr>
            </w:pPr>
            <w:r w:rsidRPr="00782BF9">
              <w:rPr>
                <w:noProof/>
                <w:lang w:val="bg-BG"/>
              </w:rPr>
              <w:t>C3.R1 Създаване на рамкови условия за ефективна интегрирана подкрепа за населените места в най-неравностойно положение</w:t>
            </w:r>
          </w:p>
        </w:tc>
        <w:tc>
          <w:tcPr>
            <w:tcW w:w="1134" w:type="dxa"/>
            <w:tcBorders>
              <w:top w:val="nil"/>
              <w:left w:val="nil"/>
              <w:bottom w:val="single" w:sz="4" w:space="0" w:color="auto"/>
              <w:right w:val="single" w:sz="4" w:space="0" w:color="auto"/>
            </w:tcBorders>
            <w:shd w:val="clear" w:color="000000" w:fill="C6EFCE"/>
            <w:vAlign w:val="center"/>
            <w:hideMark/>
          </w:tcPr>
          <w:p w14:paraId="586A88C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0A0E73D2" w14:textId="77777777" w:rsidR="00CE3BAD" w:rsidRPr="00782BF9" w:rsidRDefault="006B5475">
            <w:pPr>
              <w:pStyle w:val="P68B1DB1-Normal29"/>
              <w:spacing w:after="0" w:line="240" w:lineRule="auto"/>
              <w:rPr>
                <w:noProof/>
                <w:lang w:val="bg-BG"/>
              </w:rPr>
            </w:pPr>
            <w:r w:rsidRPr="00782BF9">
              <w:rPr>
                <w:noProof/>
                <w:lang w:val="bg-BG"/>
              </w:rPr>
              <w:t>Прозрачен подбор на организациите, които изпълняват различните елементи на програмата за догонване</w:t>
            </w:r>
          </w:p>
        </w:tc>
      </w:tr>
      <w:tr w:rsidR="00CE3BAD" w:rsidRPr="00782BF9" w14:paraId="1BBB24CF" w14:textId="77777777">
        <w:tblPrEx>
          <w:tblCellMar>
            <w:top w:w="0" w:type="dxa"/>
          </w:tblCellMar>
        </w:tblPrEx>
        <w:trPr>
          <w:gridAfter w:val="1"/>
          <w:wAfter w:w="236" w:type="dxa"/>
          <w:trHeight w:val="57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45BABF2" w14:textId="77777777" w:rsidR="00CE3BAD" w:rsidRPr="00782BF9" w:rsidRDefault="006B5475">
            <w:pPr>
              <w:pStyle w:val="P68B1DB1-Normal29"/>
              <w:spacing w:after="0" w:line="240" w:lineRule="auto"/>
              <w:rPr>
                <w:noProof/>
                <w:lang w:val="bg-BG"/>
              </w:rPr>
            </w:pPr>
            <w:r w:rsidRPr="00782BF9">
              <w:rPr>
                <w:noProof/>
                <w:lang w:val="bg-BG"/>
              </w:rPr>
              <w:t>52</w:t>
            </w:r>
          </w:p>
        </w:tc>
        <w:tc>
          <w:tcPr>
            <w:tcW w:w="3041" w:type="dxa"/>
            <w:tcBorders>
              <w:top w:val="nil"/>
              <w:left w:val="nil"/>
              <w:bottom w:val="single" w:sz="4" w:space="0" w:color="auto"/>
              <w:right w:val="single" w:sz="4" w:space="0" w:color="auto"/>
            </w:tcBorders>
            <w:shd w:val="clear" w:color="000000" w:fill="C6EFCE"/>
            <w:vAlign w:val="center"/>
            <w:hideMark/>
          </w:tcPr>
          <w:p w14:paraId="2BE04333" w14:textId="77777777" w:rsidR="00CE3BAD" w:rsidRPr="00782BF9" w:rsidRDefault="006B5475">
            <w:pPr>
              <w:pStyle w:val="P68B1DB1-Normal29"/>
              <w:spacing w:after="0" w:line="240" w:lineRule="auto"/>
              <w:rPr>
                <w:noProof/>
                <w:lang w:val="bg-BG"/>
              </w:rPr>
            </w:pPr>
            <w:r w:rsidRPr="00782BF9">
              <w:rPr>
                <w:noProof/>
                <w:lang w:val="bg-BG"/>
              </w:rPr>
              <w:t>C3.I1 Строителство и обновяване на социални жилища, подобряване на жилищните условия</w:t>
            </w:r>
          </w:p>
        </w:tc>
        <w:tc>
          <w:tcPr>
            <w:tcW w:w="1134" w:type="dxa"/>
            <w:tcBorders>
              <w:top w:val="nil"/>
              <w:left w:val="nil"/>
              <w:bottom w:val="single" w:sz="4" w:space="0" w:color="auto"/>
              <w:right w:val="single" w:sz="4" w:space="0" w:color="auto"/>
            </w:tcBorders>
            <w:shd w:val="clear" w:color="000000" w:fill="C6EFCE"/>
            <w:vAlign w:val="center"/>
            <w:hideMark/>
          </w:tcPr>
          <w:p w14:paraId="557EBEAA"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7A655001" w14:textId="77777777" w:rsidR="00CE3BAD" w:rsidRPr="00782BF9" w:rsidRDefault="006B5475">
            <w:pPr>
              <w:pStyle w:val="P68B1DB1-Normal29"/>
              <w:spacing w:after="0" w:line="240" w:lineRule="auto"/>
              <w:rPr>
                <w:noProof/>
                <w:lang w:val="bg-BG"/>
              </w:rPr>
            </w:pPr>
            <w:r w:rsidRPr="00782BF9">
              <w:rPr>
                <w:noProof/>
                <w:lang w:val="bg-BG"/>
              </w:rPr>
              <w:t>Приемане на план за интервенция, основан на диагнози за засегнатите населени места</w:t>
            </w:r>
          </w:p>
        </w:tc>
      </w:tr>
      <w:tr w:rsidR="00CE3BAD" w:rsidRPr="00782BF9" w14:paraId="507086EF" w14:textId="77777777">
        <w:tblPrEx>
          <w:tblCellMar>
            <w:top w:w="0" w:type="dxa"/>
          </w:tblCellMar>
        </w:tblPrEx>
        <w:trPr>
          <w:gridAfter w:val="1"/>
          <w:wAfter w:w="236" w:type="dxa"/>
          <w:trHeight w:val="259"/>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757FE925" w14:textId="77777777" w:rsidR="00CE3BAD" w:rsidRPr="00782BF9" w:rsidRDefault="006B5475">
            <w:pPr>
              <w:pStyle w:val="P68B1DB1-Normal29"/>
              <w:spacing w:after="0" w:line="240" w:lineRule="auto"/>
              <w:rPr>
                <w:noProof/>
                <w:lang w:val="bg-BG"/>
              </w:rPr>
            </w:pPr>
            <w:r w:rsidRPr="00782BF9">
              <w:rPr>
                <w:noProof/>
                <w:lang w:val="bg-BG"/>
              </w:rPr>
              <w:t>89</w:t>
            </w:r>
          </w:p>
        </w:tc>
        <w:tc>
          <w:tcPr>
            <w:tcW w:w="3041" w:type="dxa"/>
            <w:tcBorders>
              <w:top w:val="nil"/>
              <w:left w:val="nil"/>
              <w:bottom w:val="single" w:sz="4" w:space="0" w:color="auto"/>
              <w:right w:val="single" w:sz="4" w:space="0" w:color="auto"/>
            </w:tcBorders>
            <w:shd w:val="clear" w:color="000000" w:fill="C6EFCE"/>
            <w:vAlign w:val="center"/>
            <w:hideMark/>
          </w:tcPr>
          <w:p w14:paraId="47202960" w14:textId="77777777" w:rsidR="00CE3BAD" w:rsidRPr="00782BF9" w:rsidRDefault="006B5475">
            <w:pPr>
              <w:pStyle w:val="P68B1DB1-Normal29"/>
              <w:spacing w:after="0" w:line="240" w:lineRule="auto"/>
              <w:rPr>
                <w:noProof/>
                <w:lang w:val="bg-BG"/>
              </w:rPr>
            </w:pPr>
            <w:r w:rsidRPr="00782BF9">
              <w:rPr>
                <w:noProof/>
                <w:lang w:val="bg-BG"/>
              </w:rPr>
              <w:t>C5.I2 Преместване на претоварването на железопътната мрежа по коридора TEN-T</w:t>
            </w:r>
          </w:p>
        </w:tc>
        <w:tc>
          <w:tcPr>
            <w:tcW w:w="1134" w:type="dxa"/>
            <w:tcBorders>
              <w:top w:val="nil"/>
              <w:left w:val="nil"/>
              <w:bottom w:val="single" w:sz="4" w:space="0" w:color="auto"/>
              <w:right w:val="single" w:sz="4" w:space="0" w:color="auto"/>
            </w:tcBorders>
            <w:shd w:val="clear" w:color="000000" w:fill="C6EFCE"/>
            <w:vAlign w:val="center"/>
            <w:hideMark/>
          </w:tcPr>
          <w:p w14:paraId="37E0284F"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2D772FC6" w14:textId="77777777" w:rsidR="00CE3BAD" w:rsidRPr="00782BF9" w:rsidRDefault="006B5475">
            <w:pPr>
              <w:pStyle w:val="P68B1DB1-Normal29"/>
              <w:spacing w:after="0" w:line="240" w:lineRule="auto"/>
              <w:rPr>
                <w:noProof/>
                <w:lang w:val="bg-BG"/>
              </w:rPr>
            </w:pPr>
            <w:r w:rsidRPr="00782BF9">
              <w:rPr>
                <w:noProof/>
                <w:lang w:val="bg-BG"/>
              </w:rPr>
              <w:t>Подписване на договор за обновяване на участъка от железопътната линия Békéscsaba-Lőkösháza</w:t>
            </w:r>
          </w:p>
        </w:tc>
      </w:tr>
      <w:tr w:rsidR="00CE3BAD" w:rsidRPr="00782BF9" w14:paraId="11A39B78" w14:textId="77777777">
        <w:tblPrEx>
          <w:tblCellMar>
            <w:top w:w="0" w:type="dxa"/>
          </w:tblCellMar>
        </w:tblPrEx>
        <w:trPr>
          <w:gridAfter w:val="1"/>
          <w:wAfter w:w="236" w:type="dxa"/>
          <w:trHeight w:val="64"/>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07F56E06" w14:textId="77777777" w:rsidR="00CE3BAD" w:rsidRPr="00782BF9" w:rsidRDefault="006B5475">
            <w:pPr>
              <w:pStyle w:val="P68B1DB1-Normal29"/>
              <w:spacing w:after="0" w:line="240" w:lineRule="auto"/>
              <w:rPr>
                <w:noProof/>
                <w:lang w:val="bg-BG"/>
              </w:rPr>
            </w:pPr>
            <w:r w:rsidRPr="00782BF9">
              <w:rPr>
                <w:noProof/>
                <w:lang w:val="bg-BG"/>
              </w:rPr>
              <w:t>105</w:t>
            </w:r>
          </w:p>
        </w:tc>
        <w:tc>
          <w:tcPr>
            <w:tcW w:w="3041" w:type="dxa"/>
            <w:tcBorders>
              <w:top w:val="nil"/>
              <w:left w:val="nil"/>
              <w:bottom w:val="single" w:sz="4" w:space="0" w:color="auto"/>
              <w:right w:val="single" w:sz="4" w:space="0" w:color="auto"/>
            </w:tcBorders>
            <w:shd w:val="clear" w:color="000000" w:fill="C6EFCE"/>
            <w:vAlign w:val="center"/>
            <w:hideMark/>
          </w:tcPr>
          <w:p w14:paraId="6D8A7E92" w14:textId="77777777" w:rsidR="00CE3BAD" w:rsidRPr="00782BF9" w:rsidRDefault="006B5475">
            <w:pPr>
              <w:pStyle w:val="P68B1DB1-Normal29"/>
              <w:spacing w:after="0" w:line="240" w:lineRule="auto"/>
              <w:rPr>
                <w:noProof/>
                <w:lang w:val="bg-BG"/>
              </w:rPr>
            </w:pPr>
            <w:r w:rsidRPr="00782BF9">
              <w:rPr>
                <w:noProof/>
                <w:lang w:val="bg-BG"/>
              </w:rPr>
              <w:t>C6.R3 Подобряване на процедурите за издаване на разрешения за проекти за енергия от възобновяеми източници</w:t>
            </w:r>
          </w:p>
        </w:tc>
        <w:tc>
          <w:tcPr>
            <w:tcW w:w="1134" w:type="dxa"/>
            <w:tcBorders>
              <w:top w:val="nil"/>
              <w:left w:val="nil"/>
              <w:bottom w:val="single" w:sz="4" w:space="0" w:color="auto"/>
              <w:right w:val="single" w:sz="4" w:space="0" w:color="auto"/>
            </w:tcBorders>
            <w:shd w:val="clear" w:color="000000" w:fill="C6EFCE"/>
            <w:vAlign w:val="center"/>
            <w:hideMark/>
          </w:tcPr>
          <w:p w14:paraId="75268F3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635010DB" w14:textId="77777777" w:rsidR="00CE3BAD" w:rsidRPr="00782BF9" w:rsidRDefault="006B5475">
            <w:pPr>
              <w:pStyle w:val="P68B1DB1-Normal29"/>
              <w:spacing w:after="0" w:line="240" w:lineRule="auto"/>
              <w:rPr>
                <w:noProof/>
                <w:lang w:val="bg-BG"/>
              </w:rPr>
            </w:pPr>
            <w:r w:rsidRPr="00782BF9">
              <w:rPr>
                <w:noProof/>
                <w:lang w:val="bg-BG"/>
              </w:rPr>
              <w:t>Премахване на ограниченията за изкупуване на електроенергия за домакинствата</w:t>
            </w:r>
          </w:p>
        </w:tc>
      </w:tr>
      <w:tr w:rsidR="00CE3BAD" w:rsidRPr="00782BF9" w14:paraId="109FF665" w14:textId="77777777">
        <w:tblPrEx>
          <w:tblCellMar>
            <w:top w:w="0" w:type="dxa"/>
          </w:tblCellMar>
        </w:tblPrEx>
        <w:trPr>
          <w:gridAfter w:val="1"/>
          <w:wAfter w:w="236" w:type="dxa"/>
          <w:trHeight w:val="125"/>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4C901260" w14:textId="77777777" w:rsidR="00CE3BAD" w:rsidRPr="00782BF9" w:rsidRDefault="006B5475">
            <w:pPr>
              <w:pStyle w:val="P68B1DB1-Normal29"/>
              <w:spacing w:after="0" w:line="240" w:lineRule="auto"/>
              <w:rPr>
                <w:noProof/>
                <w:lang w:val="bg-BG"/>
              </w:rPr>
            </w:pPr>
            <w:r w:rsidRPr="00782BF9">
              <w:rPr>
                <w:noProof/>
                <w:lang w:val="bg-BG"/>
              </w:rPr>
              <w:t>106</w:t>
            </w:r>
          </w:p>
        </w:tc>
        <w:tc>
          <w:tcPr>
            <w:tcW w:w="3041" w:type="dxa"/>
            <w:tcBorders>
              <w:top w:val="nil"/>
              <w:left w:val="nil"/>
              <w:bottom w:val="single" w:sz="4" w:space="0" w:color="auto"/>
              <w:right w:val="single" w:sz="4" w:space="0" w:color="auto"/>
            </w:tcBorders>
            <w:shd w:val="clear" w:color="000000" w:fill="C6EFCE"/>
            <w:vAlign w:val="center"/>
            <w:hideMark/>
          </w:tcPr>
          <w:p w14:paraId="4E1DC72A" w14:textId="77777777" w:rsidR="00CE3BAD" w:rsidRPr="00782BF9" w:rsidRDefault="006B5475">
            <w:pPr>
              <w:pStyle w:val="P68B1DB1-Normal29"/>
              <w:spacing w:after="0" w:line="240" w:lineRule="auto"/>
              <w:rPr>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1134" w:type="dxa"/>
            <w:tcBorders>
              <w:top w:val="nil"/>
              <w:left w:val="nil"/>
              <w:bottom w:val="single" w:sz="4" w:space="0" w:color="auto"/>
              <w:right w:val="single" w:sz="4" w:space="0" w:color="auto"/>
            </w:tcBorders>
            <w:shd w:val="clear" w:color="000000" w:fill="C6EFCE"/>
            <w:vAlign w:val="center"/>
            <w:hideMark/>
          </w:tcPr>
          <w:p w14:paraId="676E6B6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121A28E8" w14:textId="77777777" w:rsidR="00CE3BAD" w:rsidRPr="00782BF9" w:rsidRDefault="006B5475">
            <w:pPr>
              <w:pStyle w:val="P68B1DB1-Normal29"/>
              <w:spacing w:after="0" w:line="240" w:lineRule="auto"/>
              <w:rPr>
                <w:noProof/>
                <w:lang w:val="bg-BG"/>
              </w:rPr>
            </w:pPr>
            <w:r w:rsidRPr="00782BF9">
              <w:rPr>
                <w:noProof/>
                <w:lang w:val="bg-BG"/>
              </w:rPr>
              <w:t>Повишаване на предвидимостта на процедурите за присъединяване към мрежата</w:t>
            </w:r>
          </w:p>
        </w:tc>
      </w:tr>
      <w:tr w:rsidR="00CE3BAD" w:rsidRPr="00782BF9" w14:paraId="7F3B8873" w14:textId="77777777">
        <w:tblPrEx>
          <w:tblCellMar>
            <w:top w:w="0" w:type="dxa"/>
          </w:tblCellMar>
        </w:tblPrEx>
        <w:trPr>
          <w:gridAfter w:val="1"/>
          <w:wAfter w:w="236" w:type="dxa"/>
          <w:trHeight w:val="64"/>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3BC3750" w14:textId="77777777" w:rsidR="00CE3BAD" w:rsidRPr="00782BF9" w:rsidRDefault="006B5475">
            <w:pPr>
              <w:pStyle w:val="P68B1DB1-Normal29"/>
              <w:spacing w:after="0" w:line="240" w:lineRule="auto"/>
              <w:rPr>
                <w:noProof/>
                <w:lang w:val="bg-BG"/>
              </w:rPr>
            </w:pPr>
            <w:r w:rsidRPr="00782BF9">
              <w:rPr>
                <w:noProof/>
                <w:lang w:val="bg-BG"/>
              </w:rPr>
              <w:t>108</w:t>
            </w:r>
          </w:p>
        </w:tc>
        <w:tc>
          <w:tcPr>
            <w:tcW w:w="3041" w:type="dxa"/>
            <w:tcBorders>
              <w:top w:val="nil"/>
              <w:left w:val="nil"/>
              <w:bottom w:val="single" w:sz="4" w:space="0" w:color="auto"/>
              <w:right w:val="single" w:sz="4" w:space="0" w:color="auto"/>
            </w:tcBorders>
            <w:shd w:val="clear" w:color="000000" w:fill="C6EFCE"/>
            <w:vAlign w:val="center"/>
            <w:hideMark/>
          </w:tcPr>
          <w:p w14:paraId="46A2E1DC" w14:textId="77777777" w:rsidR="00CE3BAD" w:rsidRPr="00782BF9" w:rsidRDefault="006B5475">
            <w:pPr>
              <w:pStyle w:val="P68B1DB1-Normal29"/>
              <w:spacing w:after="0" w:line="240" w:lineRule="auto"/>
              <w:rPr>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1134" w:type="dxa"/>
            <w:tcBorders>
              <w:top w:val="nil"/>
              <w:left w:val="nil"/>
              <w:bottom w:val="single" w:sz="4" w:space="0" w:color="auto"/>
              <w:right w:val="single" w:sz="4" w:space="0" w:color="auto"/>
            </w:tcBorders>
            <w:shd w:val="clear" w:color="000000" w:fill="C6EFCE"/>
            <w:vAlign w:val="center"/>
            <w:hideMark/>
          </w:tcPr>
          <w:p w14:paraId="71BFA10A"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5F9200F4" w14:textId="77777777" w:rsidR="00CE3BAD" w:rsidRPr="00782BF9" w:rsidRDefault="006B5475">
            <w:pPr>
              <w:pStyle w:val="P68B1DB1-Normal29"/>
              <w:spacing w:after="0" w:line="240" w:lineRule="auto"/>
              <w:rPr>
                <w:noProof/>
                <w:lang w:val="bg-BG"/>
              </w:rPr>
            </w:pPr>
            <w:r w:rsidRPr="00782BF9">
              <w:rPr>
                <w:noProof/>
                <w:lang w:val="bg-BG"/>
              </w:rPr>
              <w:t>Форуми за обмен на информация</w:t>
            </w:r>
          </w:p>
        </w:tc>
      </w:tr>
      <w:tr w:rsidR="00CE3BAD" w:rsidRPr="00782BF9" w14:paraId="0A8B07F0" w14:textId="77777777">
        <w:tblPrEx>
          <w:tblCellMar>
            <w:top w:w="0" w:type="dxa"/>
          </w:tblCellMar>
        </w:tblPrEx>
        <w:trPr>
          <w:gridAfter w:val="1"/>
          <w:wAfter w:w="236" w:type="dxa"/>
          <w:trHeight w:val="778"/>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29EE8EA0" w14:textId="77777777" w:rsidR="00CE3BAD" w:rsidRPr="00782BF9" w:rsidRDefault="006B5475">
            <w:pPr>
              <w:pStyle w:val="P68B1DB1-Normal29"/>
              <w:spacing w:after="0" w:line="240" w:lineRule="auto"/>
              <w:rPr>
                <w:noProof/>
                <w:lang w:val="bg-BG"/>
              </w:rPr>
            </w:pPr>
            <w:r w:rsidRPr="00782BF9">
              <w:rPr>
                <w:noProof/>
                <w:lang w:val="bg-BG"/>
              </w:rPr>
              <w:t>113</w:t>
            </w:r>
          </w:p>
        </w:tc>
        <w:tc>
          <w:tcPr>
            <w:tcW w:w="3041" w:type="dxa"/>
            <w:tcBorders>
              <w:top w:val="nil"/>
              <w:left w:val="nil"/>
              <w:bottom w:val="single" w:sz="4" w:space="0" w:color="auto"/>
              <w:right w:val="single" w:sz="4" w:space="0" w:color="auto"/>
            </w:tcBorders>
            <w:shd w:val="clear" w:color="000000" w:fill="C6EFCE"/>
            <w:vAlign w:val="center"/>
            <w:hideMark/>
          </w:tcPr>
          <w:p w14:paraId="3FE26ADD" w14:textId="77777777" w:rsidR="00CE3BAD" w:rsidRPr="00782BF9" w:rsidRDefault="006B5475">
            <w:pPr>
              <w:pStyle w:val="P68B1DB1-Normal29"/>
              <w:spacing w:after="0" w:line="240" w:lineRule="auto"/>
              <w:rPr>
                <w:noProof/>
                <w:lang w:val="bg-BG"/>
              </w:rPr>
            </w:pPr>
            <w:r w:rsidRPr="00782BF9">
              <w:rPr>
                <w:noProof/>
                <w:lang w:val="bg-BG"/>
              </w:rPr>
              <w:t>C6.I1 Развитие на класическите и интелигентните мрежи на операторите на преносни системи и операторите на</w:t>
            </w:r>
            <w:r w:rsidRPr="00782BF9">
              <w:rPr>
                <w:b/>
                <w:noProof/>
                <w:lang w:val="bg-BG"/>
              </w:rPr>
              <w:t xml:space="preserve"> </w:t>
            </w:r>
            <w:r w:rsidRPr="00782BF9">
              <w:rPr>
                <w:noProof/>
                <w:lang w:val="bg-BG"/>
              </w:rPr>
              <w:t xml:space="preserve">разпределителни системи  </w:t>
            </w:r>
          </w:p>
        </w:tc>
        <w:tc>
          <w:tcPr>
            <w:tcW w:w="1134" w:type="dxa"/>
            <w:tcBorders>
              <w:top w:val="nil"/>
              <w:left w:val="nil"/>
              <w:bottom w:val="single" w:sz="4" w:space="0" w:color="auto"/>
              <w:right w:val="single" w:sz="4" w:space="0" w:color="auto"/>
            </w:tcBorders>
            <w:shd w:val="clear" w:color="000000" w:fill="C6EFCE"/>
            <w:vAlign w:val="center"/>
            <w:hideMark/>
          </w:tcPr>
          <w:p w14:paraId="6C2A78D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346B117F" w14:textId="77777777" w:rsidR="00CE3BAD" w:rsidRPr="00782BF9" w:rsidRDefault="006B5475">
            <w:pPr>
              <w:pStyle w:val="P68B1DB1-Normal29"/>
              <w:spacing w:after="0" w:line="240" w:lineRule="auto"/>
              <w:rPr>
                <w:noProof/>
                <w:lang w:val="bg-BG"/>
              </w:rPr>
            </w:pPr>
            <w:r w:rsidRPr="00782BF9">
              <w:rPr>
                <w:noProof/>
                <w:lang w:val="bg-BG"/>
              </w:rPr>
              <w:t xml:space="preserve">Подписване на споразумения за отпускане на безвъзмездна финансова помощ с всички упълномощени лица относно условията за изпълнение и подпомагане на развитието на преносните и разпределителните мрежи </w:t>
            </w:r>
          </w:p>
        </w:tc>
      </w:tr>
      <w:tr w:rsidR="00CE3BAD" w:rsidRPr="00782BF9" w14:paraId="5177D93E" w14:textId="77777777">
        <w:tblPrEx>
          <w:tblCellMar>
            <w:top w:w="0" w:type="dxa"/>
          </w:tblCellMar>
        </w:tblPrEx>
        <w:trPr>
          <w:gridAfter w:val="1"/>
          <w:wAfter w:w="236" w:type="dxa"/>
          <w:trHeight w:val="247"/>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12BC2AA7" w14:textId="77777777" w:rsidR="00CE3BAD" w:rsidRPr="00782BF9" w:rsidRDefault="006B5475">
            <w:pPr>
              <w:pStyle w:val="P68B1DB1-Normal29"/>
              <w:spacing w:after="0" w:line="240" w:lineRule="auto"/>
              <w:rPr>
                <w:noProof/>
                <w:lang w:val="bg-BG"/>
              </w:rPr>
            </w:pPr>
            <w:r w:rsidRPr="00782BF9">
              <w:rPr>
                <w:noProof/>
                <w:lang w:val="bg-BG"/>
              </w:rPr>
              <w:t>118</w:t>
            </w:r>
          </w:p>
        </w:tc>
        <w:tc>
          <w:tcPr>
            <w:tcW w:w="3041" w:type="dxa"/>
            <w:tcBorders>
              <w:top w:val="nil"/>
              <w:left w:val="nil"/>
              <w:bottom w:val="single" w:sz="4" w:space="0" w:color="auto"/>
              <w:right w:val="single" w:sz="4" w:space="0" w:color="auto"/>
            </w:tcBorders>
            <w:shd w:val="clear" w:color="000000" w:fill="C6EFCE"/>
            <w:vAlign w:val="center"/>
            <w:hideMark/>
          </w:tcPr>
          <w:p w14:paraId="57BCFF70" w14:textId="77777777" w:rsidR="00CE3BAD" w:rsidRPr="00782BF9" w:rsidRDefault="006B5475">
            <w:pPr>
              <w:pStyle w:val="P68B1DB1-Normal29"/>
              <w:spacing w:after="0" w:line="240" w:lineRule="auto"/>
              <w:rPr>
                <w:noProof/>
                <w:lang w:val="bg-BG"/>
              </w:rPr>
            </w:pPr>
            <w:r w:rsidRPr="00782BF9">
              <w:rPr>
                <w:noProof/>
                <w:lang w:val="bg-BG"/>
              </w:rPr>
              <w:t>C6.I2 Подкрепа за използване на слънчеви панели за жилищни сгради и модернизация на отоплението</w:t>
            </w:r>
          </w:p>
        </w:tc>
        <w:tc>
          <w:tcPr>
            <w:tcW w:w="1134" w:type="dxa"/>
            <w:tcBorders>
              <w:top w:val="nil"/>
              <w:left w:val="nil"/>
              <w:bottom w:val="single" w:sz="4" w:space="0" w:color="auto"/>
              <w:right w:val="single" w:sz="4" w:space="0" w:color="auto"/>
            </w:tcBorders>
            <w:shd w:val="clear" w:color="000000" w:fill="C6EFCE"/>
            <w:vAlign w:val="center"/>
            <w:hideMark/>
          </w:tcPr>
          <w:p w14:paraId="08A0636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0C130A1E"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предложения за проекти, свързани с използването на слънчеви панели за жилищни сгради и модернизирането на отоплението</w:t>
            </w:r>
          </w:p>
        </w:tc>
      </w:tr>
      <w:tr w:rsidR="00CE3BAD" w:rsidRPr="00782BF9" w14:paraId="4105E2BB" w14:textId="77777777">
        <w:tblPrEx>
          <w:tblCellMar>
            <w:top w:w="0" w:type="dxa"/>
          </w:tblCellMar>
        </w:tblPrEx>
        <w:trPr>
          <w:gridAfter w:val="1"/>
          <w:wAfter w:w="236" w:type="dxa"/>
          <w:trHeight w:val="205"/>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7DD61023" w14:textId="77777777" w:rsidR="00CE3BAD" w:rsidRPr="00782BF9" w:rsidRDefault="006B5475">
            <w:pPr>
              <w:pStyle w:val="P68B1DB1-Normal29"/>
              <w:spacing w:after="0" w:line="240" w:lineRule="auto"/>
              <w:rPr>
                <w:noProof/>
                <w:lang w:val="bg-BG"/>
              </w:rPr>
            </w:pPr>
            <w:r w:rsidRPr="00782BF9">
              <w:rPr>
                <w:noProof/>
                <w:lang w:val="bg-BG"/>
              </w:rPr>
              <w:t>130</w:t>
            </w:r>
          </w:p>
        </w:tc>
        <w:tc>
          <w:tcPr>
            <w:tcW w:w="3041" w:type="dxa"/>
            <w:tcBorders>
              <w:top w:val="nil"/>
              <w:left w:val="nil"/>
              <w:bottom w:val="single" w:sz="4" w:space="0" w:color="auto"/>
              <w:right w:val="single" w:sz="4" w:space="0" w:color="auto"/>
            </w:tcBorders>
            <w:shd w:val="clear" w:color="000000" w:fill="C6EFCE"/>
            <w:vAlign w:val="center"/>
            <w:hideMark/>
          </w:tcPr>
          <w:p w14:paraId="18360F25" w14:textId="77777777" w:rsidR="00CE3BAD" w:rsidRPr="00782BF9" w:rsidRDefault="006B5475">
            <w:pPr>
              <w:pStyle w:val="P68B1DB1-Normal29"/>
              <w:spacing w:after="0" w:line="240" w:lineRule="auto"/>
              <w:rPr>
                <w:noProof/>
                <w:lang w:val="bg-BG"/>
              </w:rPr>
            </w:pPr>
            <w:r w:rsidRPr="00782BF9">
              <w:rPr>
                <w:noProof/>
                <w:lang w:val="bg-BG"/>
              </w:rPr>
              <w:t>C6.I5 Разпространяване на интелигентни измервателни уреди</w:t>
            </w:r>
          </w:p>
        </w:tc>
        <w:tc>
          <w:tcPr>
            <w:tcW w:w="1134" w:type="dxa"/>
            <w:tcBorders>
              <w:top w:val="nil"/>
              <w:left w:val="nil"/>
              <w:bottom w:val="single" w:sz="4" w:space="0" w:color="auto"/>
              <w:right w:val="single" w:sz="4" w:space="0" w:color="auto"/>
            </w:tcBorders>
            <w:shd w:val="clear" w:color="000000" w:fill="C6EFCE"/>
            <w:vAlign w:val="center"/>
            <w:hideMark/>
          </w:tcPr>
          <w:p w14:paraId="6CEFBEC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4477BFCD" w14:textId="77777777" w:rsidR="00CE3BAD" w:rsidRPr="00782BF9" w:rsidRDefault="006B5475">
            <w:pPr>
              <w:pStyle w:val="P68B1DB1-Normal29"/>
              <w:spacing w:after="0" w:line="240" w:lineRule="auto"/>
              <w:rPr>
                <w:noProof/>
                <w:lang w:val="bg-BG"/>
              </w:rPr>
            </w:pPr>
            <w:r w:rsidRPr="00782BF9">
              <w:rPr>
                <w:noProof/>
                <w:lang w:val="bg-BG"/>
              </w:rPr>
              <w:t xml:space="preserve">Отправяне на покана за представяне на предложения за приоритетни проекти, насочени към ОРС, за закупуване и инсталиране на интелигентни измервателни уреди  </w:t>
            </w:r>
          </w:p>
        </w:tc>
      </w:tr>
      <w:tr w:rsidR="00CE3BAD" w:rsidRPr="00782BF9" w14:paraId="5955FF45" w14:textId="77777777">
        <w:tblPrEx>
          <w:tblCellMar>
            <w:top w:w="0" w:type="dxa"/>
          </w:tblCellMar>
        </w:tblPrEx>
        <w:trPr>
          <w:gridAfter w:val="1"/>
          <w:wAfter w:w="236" w:type="dxa"/>
          <w:trHeight w:val="617"/>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19D7EFCF" w14:textId="77777777" w:rsidR="00CE3BAD" w:rsidRPr="00782BF9" w:rsidRDefault="006B5475">
            <w:pPr>
              <w:pStyle w:val="P68B1DB1-Normal29"/>
              <w:spacing w:after="0" w:line="240" w:lineRule="auto"/>
              <w:rPr>
                <w:noProof/>
                <w:lang w:val="bg-BG"/>
              </w:rPr>
            </w:pPr>
            <w:r w:rsidRPr="00782BF9">
              <w:rPr>
                <w:noProof/>
                <w:lang w:val="bg-BG"/>
              </w:rPr>
              <w:t>139</w:t>
            </w:r>
          </w:p>
        </w:tc>
        <w:tc>
          <w:tcPr>
            <w:tcW w:w="3041" w:type="dxa"/>
            <w:tcBorders>
              <w:top w:val="nil"/>
              <w:left w:val="nil"/>
              <w:bottom w:val="single" w:sz="4" w:space="0" w:color="auto"/>
              <w:right w:val="single" w:sz="4" w:space="0" w:color="auto"/>
            </w:tcBorders>
            <w:shd w:val="clear" w:color="000000" w:fill="C6EFCE"/>
            <w:vAlign w:val="center"/>
            <w:hideMark/>
          </w:tcPr>
          <w:p w14:paraId="0C17A3CE" w14:textId="77777777" w:rsidR="00CE3BAD" w:rsidRPr="00782BF9" w:rsidRDefault="006B5475">
            <w:pPr>
              <w:pStyle w:val="P68B1DB1-Normal29"/>
              <w:spacing w:after="0" w:line="240" w:lineRule="auto"/>
              <w:rPr>
                <w:noProof/>
                <w:lang w:val="bg-BG"/>
              </w:rPr>
            </w:pPr>
            <w:r w:rsidRPr="00782BF9">
              <w:rPr>
                <w:noProof/>
                <w:lang w:val="bg-BG"/>
              </w:rPr>
              <w:t>C8.R1 Премахване на безплатните плащания в сектора на здравеопазването</w:t>
            </w:r>
          </w:p>
        </w:tc>
        <w:tc>
          <w:tcPr>
            <w:tcW w:w="1134" w:type="dxa"/>
            <w:tcBorders>
              <w:top w:val="nil"/>
              <w:left w:val="nil"/>
              <w:bottom w:val="single" w:sz="4" w:space="0" w:color="auto"/>
              <w:right w:val="single" w:sz="4" w:space="0" w:color="auto"/>
            </w:tcBorders>
            <w:shd w:val="clear" w:color="000000" w:fill="C6EFCE"/>
            <w:vAlign w:val="center"/>
            <w:hideMark/>
          </w:tcPr>
          <w:p w14:paraId="01F3D3E1"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02142181"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Закона за здравното обслужване </w:t>
            </w:r>
          </w:p>
        </w:tc>
      </w:tr>
      <w:tr w:rsidR="00CE3BAD" w:rsidRPr="00782BF9" w14:paraId="178B88FD" w14:textId="77777777">
        <w:tblPrEx>
          <w:tblCellMar>
            <w:top w:w="0" w:type="dxa"/>
          </w:tblCellMar>
        </w:tblPrEx>
        <w:trPr>
          <w:gridAfter w:val="1"/>
          <w:wAfter w:w="236" w:type="dxa"/>
          <w:trHeight w:val="557"/>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532EEDC0" w14:textId="77777777" w:rsidR="00CE3BAD" w:rsidRPr="00782BF9" w:rsidRDefault="006B5475">
            <w:pPr>
              <w:pStyle w:val="P68B1DB1-Normal29"/>
              <w:spacing w:after="0" w:line="240" w:lineRule="auto"/>
              <w:rPr>
                <w:noProof/>
                <w:lang w:val="bg-BG"/>
              </w:rPr>
            </w:pPr>
            <w:r w:rsidRPr="00782BF9">
              <w:rPr>
                <w:noProof/>
                <w:lang w:val="bg-BG"/>
              </w:rPr>
              <w:t>141</w:t>
            </w:r>
          </w:p>
        </w:tc>
        <w:tc>
          <w:tcPr>
            <w:tcW w:w="3041" w:type="dxa"/>
            <w:tcBorders>
              <w:top w:val="nil"/>
              <w:left w:val="nil"/>
              <w:bottom w:val="single" w:sz="4" w:space="0" w:color="auto"/>
              <w:right w:val="single" w:sz="4" w:space="0" w:color="auto"/>
            </w:tcBorders>
            <w:shd w:val="clear" w:color="000000" w:fill="C6EFCE"/>
            <w:vAlign w:val="center"/>
            <w:hideMark/>
          </w:tcPr>
          <w:p w14:paraId="4A63C254" w14:textId="77777777" w:rsidR="00CE3BAD" w:rsidRPr="00782BF9" w:rsidRDefault="006B5475">
            <w:pPr>
              <w:pStyle w:val="P68B1DB1-Normal29"/>
              <w:spacing w:after="0" w:line="240" w:lineRule="auto"/>
              <w:rPr>
                <w:noProof/>
                <w:lang w:val="bg-BG"/>
              </w:rPr>
            </w:pPr>
            <w:r w:rsidRPr="00782BF9">
              <w:rPr>
                <w:noProof/>
                <w:lang w:val="bg-BG"/>
              </w:rPr>
              <w:t xml:space="preserve">C8.I1 Развиване на условията за здравно обслужване през 21-ви век </w:t>
            </w:r>
          </w:p>
        </w:tc>
        <w:tc>
          <w:tcPr>
            <w:tcW w:w="1134" w:type="dxa"/>
            <w:tcBorders>
              <w:top w:val="nil"/>
              <w:left w:val="nil"/>
              <w:bottom w:val="single" w:sz="4" w:space="0" w:color="auto"/>
              <w:right w:val="single" w:sz="4" w:space="0" w:color="auto"/>
            </w:tcBorders>
            <w:shd w:val="clear" w:color="000000" w:fill="C6EFCE"/>
            <w:vAlign w:val="center"/>
            <w:hideMark/>
          </w:tcPr>
          <w:p w14:paraId="7022F9B6"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08D2BC39" w14:textId="77777777" w:rsidR="00CE3BAD" w:rsidRPr="00782BF9" w:rsidRDefault="006B5475">
            <w:pPr>
              <w:pStyle w:val="P68B1DB1-Normal29"/>
              <w:spacing w:after="0" w:line="240" w:lineRule="auto"/>
              <w:rPr>
                <w:noProof/>
                <w:lang w:val="bg-BG"/>
              </w:rPr>
            </w:pPr>
            <w:r w:rsidRPr="00782BF9">
              <w:rPr>
                <w:noProof/>
                <w:lang w:val="bg-BG"/>
              </w:rPr>
              <w:t>Влизане в сила на Правителственото постановление относно задачите на националната генерална дирекция за болниците</w:t>
            </w:r>
          </w:p>
        </w:tc>
      </w:tr>
      <w:tr w:rsidR="00CE3BAD" w:rsidRPr="00782BF9" w14:paraId="77933803" w14:textId="77777777">
        <w:tblPrEx>
          <w:tblCellMar>
            <w:top w:w="0" w:type="dxa"/>
          </w:tblCellMar>
        </w:tblPrEx>
        <w:trPr>
          <w:gridAfter w:val="1"/>
          <w:wAfter w:w="236" w:type="dxa"/>
          <w:trHeight w:val="64"/>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5F1300D0" w14:textId="77777777" w:rsidR="00CE3BAD" w:rsidRPr="00782BF9" w:rsidRDefault="006B5475">
            <w:pPr>
              <w:pStyle w:val="P68B1DB1-Normal29"/>
              <w:spacing w:after="0" w:line="240" w:lineRule="auto"/>
              <w:rPr>
                <w:noProof/>
                <w:lang w:val="bg-BG"/>
              </w:rPr>
            </w:pPr>
            <w:r w:rsidRPr="00782BF9">
              <w:rPr>
                <w:noProof/>
                <w:lang w:val="bg-BG"/>
              </w:rPr>
              <w:t>154</w:t>
            </w:r>
          </w:p>
        </w:tc>
        <w:tc>
          <w:tcPr>
            <w:tcW w:w="3041" w:type="dxa"/>
            <w:tcBorders>
              <w:top w:val="nil"/>
              <w:left w:val="nil"/>
              <w:bottom w:val="single" w:sz="4" w:space="0" w:color="auto"/>
              <w:right w:val="single" w:sz="4" w:space="0" w:color="auto"/>
            </w:tcBorders>
            <w:shd w:val="clear" w:color="000000" w:fill="C6EFCE"/>
            <w:vAlign w:val="center"/>
            <w:hideMark/>
          </w:tcPr>
          <w:p w14:paraId="77132086" w14:textId="77777777" w:rsidR="00CE3BAD" w:rsidRPr="00782BF9" w:rsidRDefault="006B5475">
            <w:pPr>
              <w:pStyle w:val="P68B1DB1-Normal29"/>
              <w:spacing w:after="0" w:line="240" w:lineRule="auto"/>
              <w:rPr>
                <w:noProof/>
                <w:lang w:val="bg-BG"/>
              </w:rPr>
            </w:pPr>
            <w:r w:rsidRPr="00782BF9">
              <w:rPr>
                <w:noProof/>
                <w:lang w:val="bg-BG"/>
              </w:rPr>
              <w:t xml:space="preserve">C8.I3 Програма за мониторинг на здравето от разстояние за възрастни хора </w:t>
            </w:r>
          </w:p>
        </w:tc>
        <w:tc>
          <w:tcPr>
            <w:tcW w:w="1134" w:type="dxa"/>
            <w:tcBorders>
              <w:top w:val="nil"/>
              <w:left w:val="nil"/>
              <w:bottom w:val="single" w:sz="4" w:space="0" w:color="auto"/>
              <w:right w:val="single" w:sz="4" w:space="0" w:color="auto"/>
            </w:tcBorders>
            <w:shd w:val="clear" w:color="000000" w:fill="C6EFCE"/>
            <w:vAlign w:val="center"/>
            <w:hideMark/>
          </w:tcPr>
          <w:p w14:paraId="33D3A346"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592B922A" w14:textId="77777777" w:rsidR="00CE3BAD" w:rsidRPr="00782BF9" w:rsidRDefault="006B5475">
            <w:pPr>
              <w:pStyle w:val="P68B1DB1-Normal29"/>
              <w:spacing w:after="0" w:line="240" w:lineRule="auto"/>
              <w:rPr>
                <w:noProof/>
                <w:lang w:val="bg-BG"/>
              </w:rPr>
            </w:pPr>
            <w:r w:rsidRPr="00782BF9">
              <w:rPr>
                <w:noProof/>
                <w:lang w:val="bg-BG"/>
              </w:rPr>
              <w:t xml:space="preserve">Стартиране на диспечерската служба за програмата за дистанционно наблюдение на здравето за възрастни хора </w:t>
            </w:r>
          </w:p>
        </w:tc>
      </w:tr>
      <w:tr w:rsidR="00CE3BAD" w:rsidRPr="00782BF9" w14:paraId="2E085538" w14:textId="77777777">
        <w:tblPrEx>
          <w:tblCellMar>
            <w:top w:w="0" w:type="dxa"/>
          </w:tblCellMar>
        </w:tblPrEx>
        <w:trPr>
          <w:gridAfter w:val="1"/>
          <w:wAfter w:w="236" w:type="dxa"/>
          <w:trHeight w:val="197"/>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5D8B45D" w14:textId="77777777" w:rsidR="00CE3BAD" w:rsidRPr="00782BF9" w:rsidRDefault="006B5475">
            <w:pPr>
              <w:pStyle w:val="P68B1DB1-Normal29"/>
              <w:spacing w:after="0" w:line="240" w:lineRule="auto"/>
              <w:rPr>
                <w:noProof/>
                <w:lang w:val="bg-BG"/>
              </w:rPr>
            </w:pPr>
            <w:r w:rsidRPr="00782BF9">
              <w:rPr>
                <w:noProof/>
                <w:lang w:val="bg-BG"/>
              </w:rPr>
              <w:t>156</w:t>
            </w:r>
          </w:p>
        </w:tc>
        <w:tc>
          <w:tcPr>
            <w:tcW w:w="3041" w:type="dxa"/>
            <w:tcBorders>
              <w:top w:val="nil"/>
              <w:left w:val="nil"/>
              <w:bottom w:val="single" w:sz="4" w:space="0" w:color="auto"/>
              <w:right w:val="single" w:sz="4" w:space="0" w:color="auto"/>
            </w:tcBorders>
            <w:shd w:val="clear" w:color="000000" w:fill="C6EFCE"/>
            <w:vAlign w:val="center"/>
            <w:hideMark/>
          </w:tcPr>
          <w:p w14:paraId="458C3591" w14:textId="77777777" w:rsidR="00CE3BAD" w:rsidRPr="00782BF9" w:rsidRDefault="006B5475">
            <w:pPr>
              <w:pStyle w:val="P68B1DB1-Normal29"/>
              <w:spacing w:after="0" w:line="240" w:lineRule="auto"/>
              <w:rPr>
                <w:noProof/>
                <w:lang w:val="bg-BG"/>
              </w:rPr>
            </w:pPr>
            <w:r w:rsidRPr="00782BF9">
              <w:rPr>
                <w:noProof/>
                <w:lang w:val="bg-BG"/>
              </w:rPr>
              <w:t xml:space="preserve">C8.I4 Развитие на първичните здравни грижи </w:t>
            </w:r>
          </w:p>
        </w:tc>
        <w:tc>
          <w:tcPr>
            <w:tcW w:w="1134" w:type="dxa"/>
            <w:tcBorders>
              <w:top w:val="nil"/>
              <w:left w:val="nil"/>
              <w:bottom w:val="single" w:sz="4" w:space="0" w:color="auto"/>
              <w:right w:val="single" w:sz="4" w:space="0" w:color="auto"/>
            </w:tcBorders>
            <w:shd w:val="clear" w:color="000000" w:fill="C6EFCE"/>
            <w:vAlign w:val="center"/>
            <w:hideMark/>
          </w:tcPr>
          <w:p w14:paraId="2EEFD717" w14:textId="77777777" w:rsidR="00CE3BAD" w:rsidRPr="00782BF9" w:rsidRDefault="006B5475">
            <w:pPr>
              <w:pStyle w:val="P68B1DB1-Normal29"/>
              <w:spacing w:after="0" w:line="240" w:lineRule="auto"/>
              <w:rPr>
                <w:noProof/>
                <w:lang w:val="bg-BG"/>
              </w:rPr>
            </w:pPr>
            <w:r w:rsidRPr="00782BF9">
              <w:rPr>
                <w:noProof/>
                <w:lang w:val="bg-BG"/>
              </w:rPr>
              <w:t>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421B57E9" w14:textId="77777777" w:rsidR="00CE3BAD" w:rsidRPr="00782BF9" w:rsidRDefault="006B5475">
            <w:pPr>
              <w:pStyle w:val="P68B1DB1-Normal29"/>
              <w:spacing w:after="0" w:line="240" w:lineRule="auto"/>
              <w:rPr>
                <w:noProof/>
                <w:lang w:val="bg-BG"/>
              </w:rPr>
            </w:pPr>
            <w:r w:rsidRPr="00782BF9">
              <w:rPr>
                <w:noProof/>
                <w:lang w:val="bg-BG"/>
              </w:rPr>
              <w:t>Влизане в сила на Правителственото постановление относно общностите Praxis</w:t>
            </w:r>
          </w:p>
        </w:tc>
      </w:tr>
      <w:tr w:rsidR="00CE3BAD" w:rsidRPr="00782BF9" w14:paraId="44C99C9F" w14:textId="77777777">
        <w:tblPrEx>
          <w:tblCellMar>
            <w:top w:w="0" w:type="dxa"/>
          </w:tblCellMar>
        </w:tblPrEx>
        <w:trPr>
          <w:gridAfter w:val="1"/>
          <w:wAfter w:w="236" w:type="dxa"/>
          <w:trHeight w:val="1695"/>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10BA1B71" w14:textId="77777777" w:rsidR="00CE3BAD" w:rsidRPr="00782BF9" w:rsidRDefault="006B5475">
            <w:pPr>
              <w:pStyle w:val="P68B1DB1-Normal29"/>
              <w:spacing w:after="0" w:line="240" w:lineRule="auto"/>
              <w:rPr>
                <w:noProof/>
                <w:lang w:val="bg-BG"/>
              </w:rPr>
            </w:pPr>
            <w:r w:rsidRPr="00782BF9">
              <w:rPr>
                <w:noProof/>
                <w:lang w:val="bg-BG"/>
              </w:rPr>
              <w:t>160</w:t>
            </w:r>
          </w:p>
        </w:tc>
        <w:tc>
          <w:tcPr>
            <w:tcW w:w="3041" w:type="dxa"/>
            <w:tcBorders>
              <w:top w:val="nil"/>
              <w:left w:val="nil"/>
              <w:bottom w:val="single" w:sz="4" w:space="0" w:color="auto"/>
              <w:right w:val="single" w:sz="4" w:space="0" w:color="auto"/>
            </w:tcBorders>
            <w:shd w:val="clear" w:color="000000" w:fill="C6EFCE"/>
            <w:vAlign w:val="center"/>
            <w:hideMark/>
          </w:tcPr>
          <w:p w14:paraId="4EBB6636" w14:textId="77777777" w:rsidR="00CE3BAD" w:rsidRPr="00782BF9" w:rsidRDefault="006B5475">
            <w:pPr>
              <w:pStyle w:val="P68B1DB1-Normal29"/>
              <w:spacing w:after="0" w:line="240" w:lineRule="auto"/>
              <w:rPr>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1134" w:type="dxa"/>
            <w:tcBorders>
              <w:top w:val="nil"/>
              <w:left w:val="nil"/>
              <w:bottom w:val="single" w:sz="4" w:space="0" w:color="auto"/>
              <w:right w:val="single" w:sz="4" w:space="0" w:color="auto"/>
            </w:tcBorders>
            <w:shd w:val="clear" w:color="000000" w:fill="C6EFCE"/>
            <w:vAlign w:val="center"/>
            <w:hideMark/>
          </w:tcPr>
          <w:p w14:paraId="064D0D3F"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5501E561" w14:textId="77777777" w:rsidR="00CE3BAD" w:rsidRPr="00782BF9" w:rsidRDefault="006B5475">
            <w:pPr>
              <w:pStyle w:val="P68B1DB1-Normal29"/>
              <w:spacing w:after="0" w:line="240" w:lineRule="auto"/>
              <w:rPr>
                <w:noProof/>
                <w:lang w:val="bg-BG"/>
              </w:rPr>
            </w:pPr>
            <w:r w:rsidRPr="00782BF9">
              <w:rPr>
                <w:noProof/>
                <w:lang w:val="bg-BG"/>
              </w:rPr>
              <w:t>Създаване на орган по интегритета</w:t>
            </w:r>
          </w:p>
        </w:tc>
      </w:tr>
      <w:tr w:rsidR="00CE3BAD" w:rsidRPr="00782BF9" w14:paraId="0BDA86DC" w14:textId="77777777">
        <w:tblPrEx>
          <w:tblCellMar>
            <w:top w:w="0" w:type="dxa"/>
          </w:tblCellMar>
        </w:tblPrEx>
        <w:trPr>
          <w:gridAfter w:val="1"/>
          <w:wAfter w:w="236" w:type="dxa"/>
          <w:trHeight w:val="1695"/>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058A4633" w14:textId="77777777" w:rsidR="00CE3BAD" w:rsidRPr="00782BF9" w:rsidRDefault="006B5475">
            <w:pPr>
              <w:pStyle w:val="P68B1DB1-Normal29"/>
              <w:spacing w:after="0" w:line="240" w:lineRule="auto"/>
              <w:rPr>
                <w:noProof/>
                <w:lang w:val="bg-BG"/>
              </w:rPr>
            </w:pPr>
            <w:r w:rsidRPr="00782BF9">
              <w:rPr>
                <w:noProof/>
                <w:lang w:val="bg-BG"/>
              </w:rPr>
              <w:t>166</w:t>
            </w:r>
          </w:p>
        </w:tc>
        <w:tc>
          <w:tcPr>
            <w:tcW w:w="3041" w:type="dxa"/>
            <w:tcBorders>
              <w:top w:val="nil"/>
              <w:left w:val="nil"/>
              <w:bottom w:val="single" w:sz="4" w:space="0" w:color="auto"/>
              <w:right w:val="single" w:sz="4" w:space="0" w:color="auto"/>
            </w:tcBorders>
            <w:shd w:val="clear" w:color="000000" w:fill="C6EFCE"/>
            <w:vAlign w:val="center"/>
            <w:hideMark/>
          </w:tcPr>
          <w:p w14:paraId="24B3BC1D" w14:textId="77777777" w:rsidR="00CE3BAD" w:rsidRPr="00782BF9" w:rsidRDefault="006B5475">
            <w:pPr>
              <w:pStyle w:val="P68B1DB1-Normal29"/>
              <w:spacing w:after="0" w:line="240" w:lineRule="auto"/>
              <w:rPr>
                <w:noProof/>
                <w:lang w:val="bg-BG"/>
              </w:rPr>
            </w:pPr>
            <w:r w:rsidRPr="00782BF9">
              <w:rPr>
                <w:noProof/>
                <w:lang w:val="bg-BG"/>
              </w:rPr>
              <w:t>C9.R2 Създаване на работна група за борба с корупцията, която да наблюдава и преразглежда мерките, предприети в Унгария за предотвратяване, разкриване, наказателно преследване и санкциониране на корупцията</w:t>
            </w:r>
          </w:p>
        </w:tc>
        <w:tc>
          <w:tcPr>
            <w:tcW w:w="1134" w:type="dxa"/>
            <w:tcBorders>
              <w:top w:val="nil"/>
              <w:left w:val="nil"/>
              <w:bottom w:val="single" w:sz="4" w:space="0" w:color="auto"/>
              <w:right w:val="single" w:sz="4" w:space="0" w:color="auto"/>
            </w:tcBorders>
            <w:shd w:val="clear" w:color="000000" w:fill="C6EFCE"/>
            <w:vAlign w:val="center"/>
            <w:hideMark/>
          </w:tcPr>
          <w:p w14:paraId="1E44771C" w14:textId="77777777" w:rsidR="00CE3BAD" w:rsidRPr="00782BF9" w:rsidRDefault="006B5475">
            <w:pPr>
              <w:pStyle w:val="P68B1DB1-Normal29"/>
              <w:spacing w:after="0" w:line="240" w:lineRule="auto"/>
              <w:rPr>
                <w:noProof/>
                <w:lang w:val="bg-BG"/>
              </w:rPr>
            </w:pPr>
            <w:r w:rsidRPr="00782BF9">
              <w:rPr>
                <w:noProof/>
                <w:lang w:val="bg-BG"/>
              </w:rPr>
              <w:t>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439A2717" w14:textId="77777777" w:rsidR="00CE3BAD" w:rsidRPr="00782BF9" w:rsidRDefault="006B5475">
            <w:pPr>
              <w:pStyle w:val="P68B1DB1-Normal29"/>
              <w:spacing w:after="0" w:line="240" w:lineRule="auto"/>
              <w:rPr>
                <w:noProof/>
                <w:lang w:val="bg-BG"/>
              </w:rPr>
            </w:pPr>
            <w:r w:rsidRPr="00782BF9">
              <w:rPr>
                <w:noProof/>
                <w:lang w:val="bg-BG"/>
              </w:rPr>
              <w:t xml:space="preserve">Създаване на работна група за борба с корупцията </w:t>
            </w:r>
          </w:p>
        </w:tc>
      </w:tr>
      <w:tr w:rsidR="00CE3BAD" w:rsidRPr="00782BF9" w14:paraId="179DA5BE" w14:textId="77777777">
        <w:tblPrEx>
          <w:tblCellMar>
            <w:top w:w="0" w:type="dxa"/>
          </w:tblCellMar>
        </w:tblPrEx>
        <w:trPr>
          <w:gridAfter w:val="1"/>
          <w:wAfter w:w="236" w:type="dxa"/>
          <w:trHeight w:val="1057"/>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59744FCE" w14:textId="77777777" w:rsidR="00CE3BAD" w:rsidRPr="00782BF9" w:rsidRDefault="006B5475">
            <w:pPr>
              <w:pStyle w:val="P68B1DB1-Normal29"/>
              <w:spacing w:after="0" w:line="240" w:lineRule="auto"/>
              <w:rPr>
                <w:noProof/>
                <w:lang w:val="bg-BG"/>
              </w:rPr>
            </w:pPr>
            <w:r w:rsidRPr="00782BF9">
              <w:rPr>
                <w:noProof/>
                <w:lang w:val="bg-BG"/>
              </w:rPr>
              <w:t>169</w:t>
            </w:r>
          </w:p>
        </w:tc>
        <w:tc>
          <w:tcPr>
            <w:tcW w:w="3041" w:type="dxa"/>
            <w:tcBorders>
              <w:top w:val="nil"/>
              <w:left w:val="nil"/>
              <w:bottom w:val="single" w:sz="4" w:space="0" w:color="auto"/>
              <w:right w:val="single" w:sz="4" w:space="0" w:color="auto"/>
            </w:tcBorders>
            <w:shd w:val="clear" w:color="000000" w:fill="C6EFCE"/>
            <w:vAlign w:val="center"/>
            <w:hideMark/>
          </w:tcPr>
          <w:p w14:paraId="5E268047" w14:textId="77777777" w:rsidR="00CE3BAD" w:rsidRPr="00782BF9" w:rsidRDefault="006B5475">
            <w:pPr>
              <w:pStyle w:val="P68B1DB1-Normal29"/>
              <w:spacing w:after="0" w:line="240" w:lineRule="auto"/>
              <w:rPr>
                <w:noProof/>
                <w:lang w:val="bg-BG"/>
              </w:rPr>
            </w:pPr>
            <w:r w:rsidRPr="00782BF9">
              <w:rPr>
                <w:noProof/>
                <w:lang w:val="bg-BG"/>
              </w:rPr>
              <w:t>C9.R3 Въвеждане на специална процедура в случай на специални престъпления, свързани с упражняването на публична власт или управлението на публична собственост („съдебен контрол“)</w:t>
            </w:r>
          </w:p>
        </w:tc>
        <w:tc>
          <w:tcPr>
            <w:tcW w:w="1134" w:type="dxa"/>
            <w:tcBorders>
              <w:top w:val="nil"/>
              <w:left w:val="nil"/>
              <w:bottom w:val="single" w:sz="4" w:space="0" w:color="auto"/>
              <w:right w:val="single" w:sz="4" w:space="0" w:color="auto"/>
            </w:tcBorders>
            <w:shd w:val="clear" w:color="000000" w:fill="C6EFCE"/>
            <w:vAlign w:val="center"/>
            <w:hideMark/>
          </w:tcPr>
          <w:p w14:paraId="061419F5" w14:textId="77777777" w:rsidR="00CE3BAD" w:rsidRPr="00782BF9" w:rsidRDefault="006B5475">
            <w:pPr>
              <w:pStyle w:val="P68B1DB1-Normal29"/>
              <w:spacing w:after="0" w:line="240" w:lineRule="auto"/>
              <w:rPr>
                <w:noProof/>
                <w:lang w:val="bg-BG"/>
              </w:rPr>
            </w:pPr>
            <w:r w:rsidRPr="00782BF9">
              <w:rPr>
                <w:noProof/>
                <w:lang w:val="bg-BG"/>
              </w:rPr>
              <w:t>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4C3490A3" w14:textId="77777777" w:rsidR="00CE3BAD" w:rsidRPr="00782BF9" w:rsidRDefault="006B5475">
            <w:pPr>
              <w:pStyle w:val="P68B1DB1-Normal29"/>
              <w:spacing w:after="0" w:line="240" w:lineRule="auto"/>
              <w:rPr>
                <w:noProof/>
                <w:lang w:val="bg-BG"/>
              </w:rPr>
            </w:pPr>
            <w:r w:rsidRPr="00782BF9">
              <w:rPr>
                <w:noProof/>
                <w:lang w:val="bg-BG"/>
              </w:rPr>
              <w:t>Въвеждане на специална процедура в случай на специфични престъпления, свързани с упражняването на публична власт или управлението на публична собственост</w:t>
            </w:r>
          </w:p>
        </w:tc>
      </w:tr>
      <w:tr w:rsidR="00CE3BAD" w:rsidRPr="00782BF9" w14:paraId="1CFE4EA1" w14:textId="77777777">
        <w:tblPrEx>
          <w:tblCellMar>
            <w:top w:w="0" w:type="dxa"/>
          </w:tblCellMar>
        </w:tblPrEx>
        <w:trPr>
          <w:gridAfter w:val="1"/>
          <w:wAfter w:w="236" w:type="dxa"/>
          <w:trHeight w:val="1695"/>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15EC2C6A" w14:textId="77777777" w:rsidR="00CE3BAD" w:rsidRPr="00782BF9" w:rsidRDefault="006B5475">
            <w:pPr>
              <w:pStyle w:val="P68B1DB1-Normal29"/>
              <w:spacing w:after="0" w:line="240" w:lineRule="auto"/>
              <w:rPr>
                <w:noProof/>
                <w:lang w:val="bg-BG"/>
              </w:rPr>
            </w:pPr>
            <w:r w:rsidRPr="00782BF9">
              <w:rPr>
                <w:noProof/>
                <w:lang w:val="bg-BG"/>
              </w:rPr>
              <w:t>171</w:t>
            </w:r>
          </w:p>
        </w:tc>
        <w:tc>
          <w:tcPr>
            <w:tcW w:w="3041" w:type="dxa"/>
            <w:tcBorders>
              <w:top w:val="nil"/>
              <w:left w:val="nil"/>
              <w:bottom w:val="single" w:sz="4" w:space="0" w:color="auto"/>
              <w:right w:val="single" w:sz="4" w:space="0" w:color="auto"/>
            </w:tcBorders>
            <w:shd w:val="clear" w:color="000000" w:fill="C6EFCE"/>
            <w:vAlign w:val="center"/>
            <w:hideMark/>
          </w:tcPr>
          <w:p w14:paraId="20708F70" w14:textId="77777777" w:rsidR="00CE3BAD" w:rsidRPr="00782BF9" w:rsidRDefault="006B5475">
            <w:pPr>
              <w:pStyle w:val="P68B1DB1-Normal29"/>
              <w:spacing w:after="0" w:line="240" w:lineRule="auto"/>
              <w:rPr>
                <w:noProof/>
                <w:lang w:val="bg-BG"/>
              </w:rPr>
            </w:pPr>
            <w:r w:rsidRPr="00782BF9">
              <w:rPr>
                <w:noProof/>
                <w:lang w:val="bg-BG"/>
              </w:rPr>
              <w:t>C9.R4 Укрепване на правилата, свързани с декларациите за имущественото състояние</w:t>
            </w:r>
          </w:p>
        </w:tc>
        <w:tc>
          <w:tcPr>
            <w:tcW w:w="1134" w:type="dxa"/>
            <w:tcBorders>
              <w:top w:val="nil"/>
              <w:left w:val="nil"/>
              <w:bottom w:val="single" w:sz="4" w:space="0" w:color="auto"/>
              <w:right w:val="single" w:sz="4" w:space="0" w:color="auto"/>
            </w:tcBorders>
            <w:shd w:val="clear" w:color="000000" w:fill="C6EFCE"/>
            <w:vAlign w:val="center"/>
            <w:hideMark/>
          </w:tcPr>
          <w:p w14:paraId="193B869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1BA82774" w14:textId="77777777" w:rsidR="00CE3BAD" w:rsidRPr="00782BF9" w:rsidRDefault="006B5475">
            <w:pPr>
              <w:pStyle w:val="P68B1DB1-Normal29"/>
              <w:spacing w:after="0" w:line="240" w:lineRule="auto"/>
              <w:rPr>
                <w:noProof/>
                <w:lang w:val="bg-BG"/>
              </w:rPr>
            </w:pPr>
            <w:r w:rsidRPr="00782BF9">
              <w:rPr>
                <w:noProof/>
                <w:lang w:val="bg-BG"/>
              </w:rPr>
              <w:t xml:space="preserve">Влизане в сила на законодателни изменения за разширяване на персоналния и материалния обхват на декларациите за имущественото състояние, като същевременно се гарантира често оповестяване </w:t>
            </w:r>
          </w:p>
        </w:tc>
      </w:tr>
      <w:tr w:rsidR="00CE3BAD" w:rsidRPr="00782BF9" w14:paraId="5848AEC8" w14:textId="77777777">
        <w:tblPrEx>
          <w:tblCellMar>
            <w:top w:w="0" w:type="dxa"/>
          </w:tblCellMar>
        </w:tblPrEx>
        <w:trPr>
          <w:gridAfter w:val="1"/>
          <w:wAfter w:w="236" w:type="dxa"/>
          <w:trHeight w:val="1695"/>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31B46E2" w14:textId="77777777" w:rsidR="00CE3BAD" w:rsidRPr="00782BF9" w:rsidRDefault="006B5475">
            <w:pPr>
              <w:pStyle w:val="P68B1DB1-Normal29"/>
              <w:spacing w:after="0" w:line="240" w:lineRule="auto"/>
              <w:rPr>
                <w:noProof/>
                <w:lang w:val="bg-BG"/>
              </w:rPr>
            </w:pPr>
            <w:r w:rsidRPr="00782BF9">
              <w:rPr>
                <w:noProof/>
                <w:lang w:val="bg-BG"/>
              </w:rPr>
              <w:t>174</w:t>
            </w:r>
          </w:p>
        </w:tc>
        <w:tc>
          <w:tcPr>
            <w:tcW w:w="3041" w:type="dxa"/>
            <w:tcBorders>
              <w:top w:val="nil"/>
              <w:left w:val="nil"/>
              <w:bottom w:val="single" w:sz="4" w:space="0" w:color="auto"/>
              <w:right w:val="single" w:sz="4" w:space="0" w:color="auto"/>
            </w:tcBorders>
            <w:shd w:val="clear" w:color="000000" w:fill="C6EFCE"/>
            <w:vAlign w:val="center"/>
            <w:hideMark/>
          </w:tcPr>
          <w:p w14:paraId="287B487C" w14:textId="77777777" w:rsidR="00CE3BAD" w:rsidRPr="00782BF9" w:rsidRDefault="006B5475">
            <w:pPr>
              <w:pStyle w:val="P68B1DB1-Normal29"/>
              <w:spacing w:after="0" w:line="240" w:lineRule="auto"/>
              <w:rPr>
                <w:noProof/>
                <w:lang w:val="bg-BG"/>
              </w:rPr>
            </w:pPr>
            <w:r w:rsidRPr="00782BF9">
              <w:rPr>
                <w:noProof/>
                <w:lang w:val="bg-BG"/>
              </w:rPr>
              <w:t>C9.R5 Гарантиране на прозрачността при използването на публични ресурси от фондации за управление на активи от обществен интерес</w:t>
            </w:r>
          </w:p>
        </w:tc>
        <w:tc>
          <w:tcPr>
            <w:tcW w:w="1134" w:type="dxa"/>
            <w:tcBorders>
              <w:top w:val="nil"/>
              <w:left w:val="nil"/>
              <w:bottom w:val="single" w:sz="4" w:space="0" w:color="auto"/>
              <w:right w:val="single" w:sz="4" w:space="0" w:color="auto"/>
            </w:tcBorders>
            <w:shd w:val="clear" w:color="000000" w:fill="C6EFCE"/>
            <w:vAlign w:val="center"/>
            <w:hideMark/>
          </w:tcPr>
          <w:p w14:paraId="1C98849B"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2223F3B2" w14:textId="77777777" w:rsidR="00CE3BAD" w:rsidRPr="00782BF9" w:rsidRDefault="006B5475">
            <w:pPr>
              <w:pStyle w:val="P68B1DB1-Normal29"/>
              <w:spacing w:after="0" w:line="240" w:lineRule="auto"/>
              <w:rPr>
                <w:noProof/>
                <w:lang w:val="bg-BG"/>
              </w:rPr>
            </w:pPr>
            <w:r w:rsidRPr="00782BF9">
              <w:rPr>
                <w:noProof/>
                <w:lang w:val="bg-BG"/>
              </w:rPr>
              <w:t>Влизане в сила на акт, с който се гарантира ефективен надзор върху начина, по който фондациите за управление на активи от обществен интерес, извършващи дейност в обществен интерес, и юридическите лица, установени или поддържани от тях, използват подкрепата на Съюза</w:t>
            </w:r>
          </w:p>
        </w:tc>
      </w:tr>
      <w:tr w:rsidR="00CE3BAD" w:rsidRPr="00782BF9" w14:paraId="78DA33AD" w14:textId="77777777">
        <w:tblPrEx>
          <w:tblCellMar>
            <w:top w:w="0" w:type="dxa"/>
          </w:tblCellMar>
        </w:tblPrEx>
        <w:trPr>
          <w:gridAfter w:val="1"/>
          <w:wAfter w:w="236" w:type="dxa"/>
          <w:trHeight w:val="64"/>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7766148E" w14:textId="77777777" w:rsidR="00CE3BAD" w:rsidRPr="00782BF9" w:rsidRDefault="006B5475">
            <w:pPr>
              <w:pStyle w:val="P68B1DB1-Normal29"/>
              <w:spacing w:after="0" w:line="240" w:lineRule="auto"/>
              <w:rPr>
                <w:noProof/>
                <w:lang w:val="bg-BG"/>
              </w:rPr>
            </w:pPr>
            <w:r w:rsidRPr="00782BF9">
              <w:rPr>
                <w:noProof/>
                <w:lang w:val="bg-BG"/>
              </w:rPr>
              <w:t>175</w:t>
            </w:r>
          </w:p>
        </w:tc>
        <w:tc>
          <w:tcPr>
            <w:tcW w:w="3041" w:type="dxa"/>
            <w:tcBorders>
              <w:top w:val="nil"/>
              <w:left w:val="nil"/>
              <w:bottom w:val="single" w:sz="4" w:space="0" w:color="auto"/>
              <w:right w:val="single" w:sz="4" w:space="0" w:color="auto"/>
            </w:tcBorders>
            <w:shd w:val="clear" w:color="000000" w:fill="C6EFCE"/>
            <w:vAlign w:val="center"/>
            <w:hideMark/>
          </w:tcPr>
          <w:p w14:paraId="222F8CFD" w14:textId="77777777" w:rsidR="00CE3BAD" w:rsidRPr="00782BF9" w:rsidRDefault="006B5475">
            <w:pPr>
              <w:pStyle w:val="P68B1DB1-Normal29"/>
              <w:spacing w:after="0" w:line="240" w:lineRule="auto"/>
              <w:rPr>
                <w:noProof/>
                <w:lang w:val="bg-BG"/>
              </w:rPr>
            </w:pPr>
            <w:r w:rsidRPr="00782BF9">
              <w:rPr>
                <w:noProof/>
                <w:lang w:val="bg-BG"/>
              </w:rPr>
              <w:t>C9.R6 Повишаване на прозрачността на публичните разходи</w:t>
            </w:r>
          </w:p>
        </w:tc>
        <w:tc>
          <w:tcPr>
            <w:tcW w:w="1134" w:type="dxa"/>
            <w:tcBorders>
              <w:top w:val="nil"/>
              <w:left w:val="nil"/>
              <w:bottom w:val="single" w:sz="4" w:space="0" w:color="auto"/>
              <w:right w:val="single" w:sz="4" w:space="0" w:color="auto"/>
            </w:tcBorders>
            <w:shd w:val="clear" w:color="000000" w:fill="C6EFCE"/>
            <w:vAlign w:val="center"/>
            <w:hideMark/>
          </w:tcPr>
          <w:p w14:paraId="1540941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697CEE98"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законодателен акт, гарантиращ по-голяма прозрачност на публичните разходи</w:t>
            </w:r>
          </w:p>
        </w:tc>
      </w:tr>
      <w:tr w:rsidR="00CE3BAD" w:rsidRPr="00782BF9" w14:paraId="6BFC2826" w14:textId="77777777">
        <w:tblPrEx>
          <w:tblCellMar>
            <w:top w:w="0" w:type="dxa"/>
          </w:tblCellMar>
        </w:tblPrEx>
        <w:trPr>
          <w:gridAfter w:val="1"/>
          <w:wAfter w:w="236" w:type="dxa"/>
          <w:trHeight w:val="1695"/>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5FD7AB7" w14:textId="77777777" w:rsidR="00CE3BAD" w:rsidRPr="00782BF9" w:rsidRDefault="006B5475">
            <w:pPr>
              <w:pStyle w:val="P68B1DB1-Normal29"/>
              <w:spacing w:after="0" w:line="240" w:lineRule="auto"/>
              <w:rPr>
                <w:noProof/>
                <w:lang w:val="bg-BG"/>
              </w:rPr>
            </w:pPr>
            <w:r w:rsidRPr="00782BF9">
              <w:rPr>
                <w:noProof/>
                <w:lang w:val="bg-BG"/>
              </w:rPr>
              <w:t>182</w:t>
            </w:r>
          </w:p>
        </w:tc>
        <w:tc>
          <w:tcPr>
            <w:tcW w:w="3041" w:type="dxa"/>
            <w:tcBorders>
              <w:top w:val="nil"/>
              <w:left w:val="nil"/>
              <w:bottom w:val="single" w:sz="4" w:space="0" w:color="auto"/>
              <w:right w:val="single" w:sz="4" w:space="0" w:color="auto"/>
            </w:tcBorders>
            <w:shd w:val="clear" w:color="000000" w:fill="C6EFCE"/>
            <w:vAlign w:val="center"/>
            <w:hideMark/>
          </w:tcPr>
          <w:p w14:paraId="4859BCE2" w14:textId="77777777" w:rsidR="00CE3BAD" w:rsidRPr="00782BF9" w:rsidRDefault="006B5475">
            <w:pPr>
              <w:pStyle w:val="P68B1DB1-Normal29"/>
              <w:spacing w:after="0" w:line="240" w:lineRule="auto"/>
              <w:rPr>
                <w:noProof/>
                <w:lang w:val="bg-BG"/>
              </w:rPr>
            </w:pPr>
            <w:r w:rsidRPr="00782BF9">
              <w:rPr>
                <w:noProof/>
                <w:lang w:val="bg-BG"/>
              </w:rPr>
              <w:t>C9.R9</w:t>
            </w:r>
            <w:r w:rsidRPr="00782BF9">
              <w:rPr>
                <w:b/>
                <w:noProof/>
                <w:lang w:val="bg-BG"/>
              </w:rPr>
              <w:t xml:space="preserve"> </w:t>
            </w:r>
            <w:r w:rsidRPr="00782BF9">
              <w:rPr>
                <w:noProof/>
                <w:lang w:val="bg-BG"/>
              </w:rPr>
              <w:t xml:space="preserve">Повишаване на осведомеността за премахване на безплатните плащания в сектора на здравеопазването  </w:t>
            </w:r>
          </w:p>
        </w:tc>
        <w:tc>
          <w:tcPr>
            <w:tcW w:w="1134" w:type="dxa"/>
            <w:tcBorders>
              <w:top w:val="nil"/>
              <w:left w:val="nil"/>
              <w:bottom w:val="single" w:sz="4" w:space="0" w:color="auto"/>
              <w:right w:val="single" w:sz="4" w:space="0" w:color="auto"/>
            </w:tcBorders>
            <w:shd w:val="clear" w:color="000000" w:fill="C6EFCE"/>
            <w:vAlign w:val="center"/>
            <w:hideMark/>
          </w:tcPr>
          <w:p w14:paraId="35B0145A" w14:textId="77777777" w:rsidR="00CE3BAD" w:rsidRPr="00782BF9" w:rsidRDefault="006B5475">
            <w:pPr>
              <w:pStyle w:val="P68B1DB1-Normal29"/>
              <w:spacing w:after="0" w:line="240" w:lineRule="auto"/>
              <w:rPr>
                <w:noProof/>
                <w:lang w:val="bg-BG"/>
              </w:rPr>
            </w:pPr>
            <w:r w:rsidRPr="00782BF9">
              <w:rPr>
                <w:noProof/>
                <w:lang w:val="bg-BG"/>
              </w:rPr>
              <w:t>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3F0989E7" w14:textId="77777777" w:rsidR="00CE3BAD" w:rsidRPr="00782BF9" w:rsidRDefault="006B5475">
            <w:pPr>
              <w:pStyle w:val="P68B1DB1-Normal29"/>
              <w:spacing w:after="0" w:line="240" w:lineRule="auto"/>
              <w:rPr>
                <w:noProof/>
                <w:lang w:val="bg-BG"/>
              </w:rPr>
            </w:pPr>
            <w:r w:rsidRPr="00782BF9">
              <w:rPr>
                <w:noProof/>
                <w:lang w:val="bg-BG"/>
              </w:rPr>
              <w:t>Стартиране на кампания за повишаване на осведомеността относно приемливостта на полагащите се стипендии в здравеопазването</w:t>
            </w:r>
          </w:p>
        </w:tc>
      </w:tr>
      <w:tr w:rsidR="00CE3BAD" w:rsidRPr="00782BF9" w14:paraId="5DCD290A" w14:textId="77777777">
        <w:tblPrEx>
          <w:tblCellMar>
            <w:top w:w="0" w:type="dxa"/>
          </w:tblCellMar>
        </w:tblPrEx>
        <w:trPr>
          <w:gridAfter w:val="1"/>
          <w:wAfter w:w="236" w:type="dxa"/>
          <w:trHeight w:val="1695"/>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439D33B7" w14:textId="77777777" w:rsidR="00CE3BAD" w:rsidRPr="00782BF9" w:rsidRDefault="006B5475">
            <w:pPr>
              <w:pStyle w:val="P68B1DB1-Normal29"/>
              <w:spacing w:after="0" w:line="240" w:lineRule="auto"/>
              <w:rPr>
                <w:noProof/>
                <w:lang w:val="bg-BG"/>
              </w:rPr>
            </w:pPr>
            <w:r w:rsidRPr="00782BF9">
              <w:rPr>
                <w:noProof/>
                <w:lang w:val="bg-BG"/>
              </w:rPr>
              <w:t>195</w:t>
            </w:r>
          </w:p>
        </w:tc>
        <w:tc>
          <w:tcPr>
            <w:tcW w:w="3041" w:type="dxa"/>
            <w:tcBorders>
              <w:top w:val="nil"/>
              <w:left w:val="nil"/>
              <w:bottom w:val="single" w:sz="4" w:space="0" w:color="auto"/>
              <w:right w:val="single" w:sz="4" w:space="0" w:color="auto"/>
            </w:tcBorders>
            <w:shd w:val="clear" w:color="000000" w:fill="C6EFCE"/>
            <w:vAlign w:val="center"/>
            <w:hideMark/>
          </w:tcPr>
          <w:p w14:paraId="00D5BB57"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34" w:type="dxa"/>
            <w:tcBorders>
              <w:top w:val="nil"/>
              <w:left w:val="nil"/>
              <w:bottom w:val="single" w:sz="4" w:space="0" w:color="auto"/>
              <w:right w:val="single" w:sz="4" w:space="0" w:color="auto"/>
            </w:tcBorders>
            <w:shd w:val="clear" w:color="000000" w:fill="C6EFCE"/>
            <w:vAlign w:val="center"/>
            <w:hideMark/>
          </w:tcPr>
          <w:p w14:paraId="2280B38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3E730680" w14:textId="77777777" w:rsidR="00CE3BAD" w:rsidRPr="00782BF9" w:rsidRDefault="006B5475">
            <w:pPr>
              <w:pStyle w:val="P68B1DB1-Normal29"/>
              <w:spacing w:after="0" w:line="240" w:lineRule="auto"/>
              <w:rPr>
                <w:noProof/>
                <w:lang w:val="bg-BG"/>
              </w:rPr>
            </w:pPr>
            <w:r w:rsidRPr="00782BF9">
              <w:rPr>
                <w:noProof/>
                <w:lang w:val="bg-BG"/>
              </w:rPr>
              <w:t>Създаване на инструмент за мониторинг и докладване („инструмент за докладване въз основа на една оферта“) с цел мониторинг и докладване на обществени поръчки, приключени с една оферта, финансирани с подкрепа от Съюза или с национални ресурси в съответствие с методиката на информационното табло за единния пазар</w:t>
            </w:r>
          </w:p>
        </w:tc>
      </w:tr>
      <w:tr w:rsidR="00CE3BAD" w:rsidRPr="00782BF9" w14:paraId="382957F8" w14:textId="77777777">
        <w:tblPrEx>
          <w:tblCellMar>
            <w:top w:w="0" w:type="dxa"/>
          </w:tblCellMar>
        </w:tblPrEx>
        <w:trPr>
          <w:gridAfter w:val="1"/>
          <w:wAfter w:w="236" w:type="dxa"/>
          <w:trHeight w:val="736"/>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22AC4033" w14:textId="77777777" w:rsidR="00CE3BAD" w:rsidRPr="00782BF9" w:rsidRDefault="006B5475">
            <w:pPr>
              <w:pStyle w:val="P68B1DB1-Normal29"/>
              <w:spacing w:after="0" w:line="240" w:lineRule="auto"/>
              <w:rPr>
                <w:noProof/>
                <w:lang w:val="bg-BG"/>
              </w:rPr>
            </w:pPr>
            <w:r w:rsidRPr="00782BF9">
              <w:rPr>
                <w:noProof/>
                <w:lang w:val="bg-BG"/>
              </w:rPr>
              <w:t>197</w:t>
            </w:r>
          </w:p>
        </w:tc>
        <w:tc>
          <w:tcPr>
            <w:tcW w:w="3041" w:type="dxa"/>
            <w:tcBorders>
              <w:top w:val="nil"/>
              <w:left w:val="nil"/>
              <w:bottom w:val="single" w:sz="4" w:space="0" w:color="auto"/>
              <w:right w:val="single" w:sz="4" w:space="0" w:color="auto"/>
            </w:tcBorders>
            <w:shd w:val="clear" w:color="000000" w:fill="C6EFCE"/>
            <w:vAlign w:val="center"/>
            <w:hideMark/>
          </w:tcPr>
          <w:p w14:paraId="452796A8" w14:textId="77777777" w:rsidR="00CE3BAD" w:rsidRPr="00782BF9" w:rsidRDefault="006B5475">
            <w:pPr>
              <w:pStyle w:val="P68B1DB1-Normal29"/>
              <w:spacing w:after="0" w:line="240" w:lineRule="auto"/>
              <w:rPr>
                <w:noProof/>
                <w:lang w:val="bg-BG"/>
              </w:rPr>
            </w:pPr>
            <w:r w:rsidRPr="00782BF9">
              <w:rPr>
                <w:noProof/>
                <w:lang w:val="bg-BG"/>
              </w:rPr>
              <w:t xml:space="preserve">C9.R11 Разработване на електронната система за обществени поръчки (ЕОП) с цел повишаване на прозрачността </w:t>
            </w:r>
          </w:p>
        </w:tc>
        <w:tc>
          <w:tcPr>
            <w:tcW w:w="1134" w:type="dxa"/>
            <w:tcBorders>
              <w:top w:val="nil"/>
              <w:left w:val="nil"/>
              <w:bottom w:val="single" w:sz="4" w:space="0" w:color="auto"/>
              <w:right w:val="single" w:sz="4" w:space="0" w:color="auto"/>
            </w:tcBorders>
            <w:shd w:val="clear" w:color="000000" w:fill="C6EFCE"/>
            <w:vAlign w:val="center"/>
            <w:hideMark/>
          </w:tcPr>
          <w:p w14:paraId="1ACB725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09EF30A1" w14:textId="77777777" w:rsidR="00CE3BAD" w:rsidRPr="00782BF9" w:rsidRDefault="006B5475">
            <w:pPr>
              <w:pStyle w:val="P68B1DB1-Normal29"/>
              <w:spacing w:after="0" w:line="240" w:lineRule="auto"/>
              <w:rPr>
                <w:noProof/>
                <w:lang w:val="bg-BG"/>
              </w:rPr>
            </w:pPr>
            <w:r w:rsidRPr="00782BF9">
              <w:rPr>
                <w:noProof/>
                <w:lang w:val="bg-BG"/>
              </w:rPr>
              <w:t xml:space="preserve">Функциите на ЕОП, които позволяват структурирано търсене и масово експортиране на данни от обявленията за възлагане на обществени поръчки, са на разположение на обществеността </w:t>
            </w:r>
          </w:p>
        </w:tc>
      </w:tr>
      <w:tr w:rsidR="00CE3BAD" w:rsidRPr="00782BF9" w14:paraId="1505EC91" w14:textId="77777777">
        <w:tblPrEx>
          <w:tblCellMar>
            <w:top w:w="0" w:type="dxa"/>
          </w:tblCellMar>
        </w:tblPrEx>
        <w:trPr>
          <w:gridAfter w:val="1"/>
          <w:wAfter w:w="236" w:type="dxa"/>
          <w:trHeight w:val="888"/>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2520A9E0" w14:textId="77777777" w:rsidR="00CE3BAD" w:rsidRPr="00782BF9" w:rsidRDefault="006B5475">
            <w:pPr>
              <w:pStyle w:val="P68B1DB1-Normal29"/>
              <w:spacing w:after="0" w:line="240" w:lineRule="auto"/>
              <w:rPr>
                <w:noProof/>
                <w:lang w:val="bg-BG"/>
              </w:rPr>
            </w:pPr>
            <w:r w:rsidRPr="00782BF9">
              <w:rPr>
                <w:noProof/>
                <w:lang w:val="bg-BG"/>
              </w:rPr>
              <w:t>198</w:t>
            </w:r>
          </w:p>
        </w:tc>
        <w:tc>
          <w:tcPr>
            <w:tcW w:w="3041" w:type="dxa"/>
            <w:tcBorders>
              <w:top w:val="nil"/>
              <w:left w:val="nil"/>
              <w:bottom w:val="single" w:sz="4" w:space="0" w:color="auto"/>
              <w:right w:val="single" w:sz="4" w:space="0" w:color="auto"/>
            </w:tcBorders>
            <w:shd w:val="clear" w:color="000000" w:fill="C6EFCE"/>
            <w:vAlign w:val="center"/>
            <w:hideMark/>
          </w:tcPr>
          <w:p w14:paraId="7121B59D" w14:textId="77777777" w:rsidR="00CE3BAD" w:rsidRPr="00782BF9" w:rsidRDefault="006B5475">
            <w:pPr>
              <w:pStyle w:val="P68B1DB1-Normal29"/>
              <w:spacing w:after="0" w:line="240" w:lineRule="auto"/>
              <w:rPr>
                <w:noProof/>
                <w:lang w:val="bg-BG"/>
              </w:rPr>
            </w:pPr>
            <w:r w:rsidRPr="00782BF9">
              <w:rPr>
                <w:noProof/>
                <w:lang w:val="bg-BG"/>
              </w:rPr>
              <w:t>C9.R11 Разработване на електронната система за обществени поръчки (ЕОП) с цел повишаване на прозрачността</w:t>
            </w:r>
          </w:p>
        </w:tc>
        <w:tc>
          <w:tcPr>
            <w:tcW w:w="1134" w:type="dxa"/>
            <w:tcBorders>
              <w:top w:val="nil"/>
              <w:left w:val="nil"/>
              <w:bottom w:val="single" w:sz="4" w:space="0" w:color="auto"/>
              <w:right w:val="single" w:sz="4" w:space="0" w:color="auto"/>
            </w:tcBorders>
            <w:shd w:val="clear" w:color="000000" w:fill="C6EFCE"/>
            <w:vAlign w:val="center"/>
            <w:hideMark/>
          </w:tcPr>
          <w:p w14:paraId="35412D9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207DCBF3" w14:textId="77777777" w:rsidR="00CE3BAD" w:rsidRPr="00782BF9" w:rsidRDefault="006B5475">
            <w:pPr>
              <w:pStyle w:val="P68B1DB1-Normal29"/>
              <w:spacing w:after="0" w:line="240" w:lineRule="auto"/>
              <w:rPr>
                <w:noProof/>
                <w:lang w:val="bg-BG"/>
              </w:rPr>
            </w:pPr>
            <w:r w:rsidRPr="00782BF9">
              <w:rPr>
                <w:noProof/>
                <w:lang w:val="bg-BG"/>
              </w:rPr>
              <w:t>Функциите на ЕОП, позволяващи структурирано търсене и масово експортиране на всички данни, свързани с подизпълнителите, са достъпни за обществеността.</w:t>
            </w:r>
          </w:p>
        </w:tc>
      </w:tr>
      <w:tr w:rsidR="00CE3BAD" w:rsidRPr="00782BF9" w14:paraId="5A5E34F0" w14:textId="77777777">
        <w:tblPrEx>
          <w:tblCellMar>
            <w:top w:w="0" w:type="dxa"/>
          </w:tblCellMar>
        </w:tblPrEx>
        <w:trPr>
          <w:gridAfter w:val="1"/>
          <w:wAfter w:w="236" w:type="dxa"/>
          <w:trHeight w:val="162"/>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1F512E80" w14:textId="77777777" w:rsidR="00CE3BAD" w:rsidRPr="00782BF9" w:rsidRDefault="006B5475">
            <w:pPr>
              <w:pStyle w:val="P68B1DB1-Normal29"/>
              <w:spacing w:after="0" w:line="240" w:lineRule="auto"/>
              <w:rPr>
                <w:noProof/>
                <w:lang w:val="bg-BG"/>
              </w:rPr>
            </w:pPr>
            <w:r w:rsidRPr="00782BF9">
              <w:rPr>
                <w:noProof/>
                <w:lang w:val="bg-BG"/>
              </w:rPr>
              <w:t>200</w:t>
            </w:r>
          </w:p>
        </w:tc>
        <w:tc>
          <w:tcPr>
            <w:tcW w:w="3041" w:type="dxa"/>
            <w:tcBorders>
              <w:top w:val="nil"/>
              <w:left w:val="nil"/>
              <w:bottom w:val="single" w:sz="4" w:space="0" w:color="auto"/>
              <w:right w:val="single" w:sz="4" w:space="0" w:color="auto"/>
            </w:tcBorders>
            <w:shd w:val="clear" w:color="000000" w:fill="C6EFCE"/>
            <w:vAlign w:val="center"/>
            <w:hideMark/>
          </w:tcPr>
          <w:p w14:paraId="0871A458" w14:textId="77777777" w:rsidR="00CE3BAD" w:rsidRPr="00782BF9" w:rsidRDefault="006B5475">
            <w:pPr>
              <w:pStyle w:val="P68B1DB1-Normal29"/>
              <w:spacing w:after="0" w:line="240" w:lineRule="auto"/>
              <w:rPr>
                <w:noProof/>
                <w:lang w:val="bg-BG"/>
              </w:rPr>
            </w:pPr>
            <w:r w:rsidRPr="00782BF9">
              <w:rPr>
                <w:noProof/>
                <w:lang w:val="bg-BG"/>
              </w:rPr>
              <w:t>C9.R12 Рамка за измерване на изпълнението при обществените поръчки</w:t>
            </w:r>
          </w:p>
        </w:tc>
        <w:tc>
          <w:tcPr>
            <w:tcW w:w="1134" w:type="dxa"/>
            <w:tcBorders>
              <w:top w:val="nil"/>
              <w:left w:val="nil"/>
              <w:bottom w:val="single" w:sz="4" w:space="0" w:color="auto"/>
              <w:right w:val="single" w:sz="4" w:space="0" w:color="auto"/>
            </w:tcBorders>
            <w:shd w:val="clear" w:color="000000" w:fill="C6EFCE"/>
            <w:vAlign w:val="center"/>
            <w:hideMark/>
          </w:tcPr>
          <w:p w14:paraId="0ABA6E2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2D20B220" w14:textId="77777777" w:rsidR="00CE3BAD" w:rsidRPr="00782BF9" w:rsidRDefault="006B5475">
            <w:pPr>
              <w:pStyle w:val="P68B1DB1-Normal29"/>
              <w:spacing w:after="0" w:line="240" w:lineRule="auto"/>
              <w:rPr>
                <w:noProof/>
                <w:lang w:val="bg-BG"/>
              </w:rPr>
            </w:pPr>
            <w:r w:rsidRPr="00782BF9">
              <w:rPr>
                <w:noProof/>
                <w:lang w:val="bg-BG"/>
              </w:rPr>
              <w:t>Създаване на рамка за измерване на изпълнението на обществените поръчки</w:t>
            </w:r>
          </w:p>
        </w:tc>
      </w:tr>
      <w:tr w:rsidR="00CE3BAD" w:rsidRPr="00782BF9" w14:paraId="53C6CF2F" w14:textId="77777777">
        <w:tblPrEx>
          <w:tblCellMar>
            <w:top w:w="0" w:type="dxa"/>
          </w:tblCellMar>
        </w:tblPrEx>
        <w:trPr>
          <w:gridAfter w:val="1"/>
          <w:wAfter w:w="236" w:type="dxa"/>
          <w:trHeight w:val="457"/>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B21C7AE" w14:textId="77777777" w:rsidR="00CE3BAD" w:rsidRPr="00782BF9" w:rsidRDefault="006B5475">
            <w:pPr>
              <w:pStyle w:val="P68B1DB1-Normal29"/>
              <w:spacing w:after="0" w:line="240" w:lineRule="auto"/>
              <w:rPr>
                <w:noProof/>
                <w:lang w:val="bg-BG"/>
              </w:rPr>
            </w:pPr>
            <w:r w:rsidRPr="00782BF9">
              <w:rPr>
                <w:noProof/>
                <w:lang w:val="bg-BG"/>
              </w:rPr>
              <w:t>201</w:t>
            </w:r>
          </w:p>
        </w:tc>
        <w:tc>
          <w:tcPr>
            <w:tcW w:w="3041" w:type="dxa"/>
            <w:tcBorders>
              <w:top w:val="nil"/>
              <w:left w:val="nil"/>
              <w:bottom w:val="single" w:sz="4" w:space="0" w:color="auto"/>
              <w:right w:val="single" w:sz="4" w:space="0" w:color="auto"/>
            </w:tcBorders>
            <w:shd w:val="clear" w:color="000000" w:fill="C6EFCE"/>
            <w:vAlign w:val="center"/>
            <w:hideMark/>
          </w:tcPr>
          <w:p w14:paraId="09F65F04" w14:textId="77777777" w:rsidR="00CE3BAD" w:rsidRPr="00782BF9" w:rsidRDefault="006B5475">
            <w:pPr>
              <w:pStyle w:val="P68B1DB1-Normal29"/>
              <w:spacing w:after="0" w:line="240" w:lineRule="auto"/>
              <w:rPr>
                <w:noProof/>
                <w:lang w:val="bg-BG"/>
              </w:rPr>
            </w:pPr>
            <w:r w:rsidRPr="00782BF9">
              <w:rPr>
                <w:noProof/>
                <w:lang w:val="bg-BG"/>
              </w:rPr>
              <w:t>C9.R12 Рамка за измерване на изпълнението при обществените поръчки</w:t>
            </w:r>
          </w:p>
        </w:tc>
        <w:tc>
          <w:tcPr>
            <w:tcW w:w="1134" w:type="dxa"/>
            <w:tcBorders>
              <w:top w:val="nil"/>
              <w:left w:val="nil"/>
              <w:bottom w:val="single" w:sz="4" w:space="0" w:color="auto"/>
              <w:right w:val="single" w:sz="4" w:space="0" w:color="auto"/>
            </w:tcBorders>
            <w:shd w:val="clear" w:color="000000" w:fill="C6EFCE"/>
            <w:vAlign w:val="center"/>
            <w:hideMark/>
          </w:tcPr>
          <w:p w14:paraId="4BA7D938"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01451F1A" w14:textId="77777777" w:rsidR="00CE3BAD" w:rsidRPr="00782BF9" w:rsidRDefault="006B5475">
            <w:pPr>
              <w:pStyle w:val="P68B1DB1-Normal29"/>
              <w:spacing w:after="0" w:line="240" w:lineRule="auto"/>
              <w:rPr>
                <w:noProof/>
                <w:lang w:val="bg-BG"/>
              </w:rPr>
            </w:pPr>
            <w:r w:rsidRPr="00782BF9">
              <w:rPr>
                <w:noProof/>
                <w:lang w:val="bg-BG"/>
              </w:rPr>
              <w:t xml:space="preserve">Въвеждане в действие на рамка за измерване на изпълнението на обществени поръчки </w:t>
            </w:r>
          </w:p>
        </w:tc>
      </w:tr>
      <w:tr w:rsidR="00CE3BAD" w:rsidRPr="00782BF9" w14:paraId="41125F91" w14:textId="77777777">
        <w:tblPrEx>
          <w:tblCellMar>
            <w:top w:w="0" w:type="dxa"/>
          </w:tblCellMar>
        </w:tblPrEx>
        <w:trPr>
          <w:gridAfter w:val="1"/>
          <w:wAfter w:w="236" w:type="dxa"/>
          <w:trHeight w:val="183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0D071465" w14:textId="77777777" w:rsidR="00CE3BAD" w:rsidRPr="00782BF9" w:rsidRDefault="006B5475">
            <w:pPr>
              <w:pStyle w:val="P68B1DB1-Normal29"/>
              <w:spacing w:after="0" w:line="240" w:lineRule="auto"/>
              <w:rPr>
                <w:noProof/>
                <w:lang w:val="bg-BG"/>
              </w:rPr>
            </w:pPr>
            <w:r w:rsidRPr="00782BF9">
              <w:rPr>
                <w:noProof/>
                <w:lang w:val="bg-BG"/>
              </w:rPr>
              <w:t>213</w:t>
            </w:r>
          </w:p>
        </w:tc>
        <w:tc>
          <w:tcPr>
            <w:tcW w:w="3041" w:type="dxa"/>
            <w:tcBorders>
              <w:top w:val="nil"/>
              <w:left w:val="nil"/>
              <w:bottom w:val="single" w:sz="4" w:space="0" w:color="auto"/>
              <w:right w:val="single" w:sz="4" w:space="0" w:color="auto"/>
            </w:tcBorders>
            <w:shd w:val="clear" w:color="000000" w:fill="C6EFCE"/>
            <w:vAlign w:val="center"/>
            <w:hideMark/>
          </w:tcPr>
          <w:p w14:paraId="63A62F38" w14:textId="77777777" w:rsidR="00CE3BAD" w:rsidRPr="00782BF9" w:rsidRDefault="006B5475">
            <w:pPr>
              <w:pStyle w:val="P68B1DB1-Normal29"/>
              <w:spacing w:after="0" w:line="240" w:lineRule="auto"/>
              <w:rPr>
                <w:noProof/>
                <w:lang w:val="bg-BG"/>
              </w:rPr>
            </w:pPr>
            <w:r w:rsidRPr="00782BF9">
              <w:rPr>
                <w:noProof/>
                <w:lang w:val="bg-BG"/>
              </w:rPr>
              <w:t>C9.R15 Укрепване на ролята и правомощията на Националния съдебен съвет за противодействие на правомощията на председателя на Националната съдебна служба </w:t>
            </w:r>
          </w:p>
        </w:tc>
        <w:tc>
          <w:tcPr>
            <w:tcW w:w="1134" w:type="dxa"/>
            <w:tcBorders>
              <w:top w:val="nil"/>
              <w:left w:val="nil"/>
              <w:bottom w:val="single" w:sz="4" w:space="0" w:color="auto"/>
              <w:right w:val="single" w:sz="4" w:space="0" w:color="auto"/>
            </w:tcBorders>
            <w:shd w:val="clear" w:color="000000" w:fill="C6EFCE"/>
            <w:vAlign w:val="center"/>
            <w:hideMark/>
          </w:tcPr>
          <w:p w14:paraId="796E70F3"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1CF012EA"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 изменения за засилване на ролята на Националния съдебен съвет, като същевременно се гарантира неговата независимост</w:t>
            </w:r>
          </w:p>
        </w:tc>
      </w:tr>
      <w:tr w:rsidR="00CE3BAD" w:rsidRPr="00782BF9" w14:paraId="4A93AE5C" w14:textId="77777777">
        <w:tblPrEx>
          <w:tblCellMar>
            <w:top w:w="0" w:type="dxa"/>
          </w:tblCellMar>
        </w:tblPrEx>
        <w:trPr>
          <w:gridAfter w:val="1"/>
          <w:wAfter w:w="236" w:type="dxa"/>
          <w:trHeight w:val="608"/>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78E91F3B" w14:textId="77777777" w:rsidR="00CE3BAD" w:rsidRPr="00782BF9" w:rsidRDefault="006B5475">
            <w:pPr>
              <w:pStyle w:val="P68B1DB1-Normal29"/>
              <w:spacing w:after="0" w:line="240" w:lineRule="auto"/>
              <w:rPr>
                <w:noProof/>
                <w:lang w:val="bg-BG"/>
              </w:rPr>
            </w:pPr>
            <w:r w:rsidRPr="00782BF9">
              <w:rPr>
                <w:noProof/>
                <w:lang w:val="bg-BG"/>
              </w:rPr>
              <w:t>214</w:t>
            </w:r>
          </w:p>
        </w:tc>
        <w:tc>
          <w:tcPr>
            <w:tcW w:w="3041" w:type="dxa"/>
            <w:tcBorders>
              <w:top w:val="nil"/>
              <w:left w:val="nil"/>
              <w:bottom w:val="single" w:sz="4" w:space="0" w:color="auto"/>
              <w:right w:val="single" w:sz="4" w:space="0" w:color="auto"/>
            </w:tcBorders>
            <w:shd w:val="clear" w:color="000000" w:fill="C6EFCE"/>
            <w:vAlign w:val="center"/>
            <w:hideMark/>
          </w:tcPr>
          <w:p w14:paraId="2260074E" w14:textId="77777777" w:rsidR="00CE3BAD" w:rsidRPr="00782BF9" w:rsidRDefault="006B5475">
            <w:pPr>
              <w:pStyle w:val="P68B1DB1-Normal29"/>
              <w:spacing w:after="0" w:line="240" w:lineRule="auto"/>
              <w:rPr>
                <w:noProof/>
                <w:lang w:val="bg-BG"/>
              </w:rPr>
            </w:pPr>
            <w:r w:rsidRPr="00782BF9">
              <w:rPr>
                <w:noProof/>
                <w:lang w:val="bg-BG"/>
              </w:rPr>
              <w:t>C9.R16 Укрепване на независимостта на съдебната власт на Върховния съд (Kúria)</w:t>
            </w:r>
          </w:p>
        </w:tc>
        <w:tc>
          <w:tcPr>
            <w:tcW w:w="1134" w:type="dxa"/>
            <w:tcBorders>
              <w:top w:val="nil"/>
              <w:left w:val="nil"/>
              <w:bottom w:val="single" w:sz="4" w:space="0" w:color="auto"/>
              <w:right w:val="single" w:sz="4" w:space="0" w:color="auto"/>
            </w:tcBorders>
            <w:shd w:val="clear" w:color="000000" w:fill="C6EFCE"/>
            <w:vAlign w:val="center"/>
            <w:hideMark/>
          </w:tcPr>
          <w:p w14:paraId="5905125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329CF5EF" w14:textId="77777777" w:rsidR="00CE3BAD" w:rsidRPr="00782BF9" w:rsidRDefault="006B5475">
            <w:pPr>
              <w:pStyle w:val="P68B1DB1-Normal29"/>
              <w:spacing w:after="0" w:line="240" w:lineRule="auto"/>
              <w:rPr>
                <w:noProof/>
                <w:lang w:val="bg-BG"/>
              </w:rPr>
            </w:pPr>
            <w:r w:rsidRPr="00782BF9">
              <w:rPr>
                <w:noProof/>
                <w:lang w:val="bg-BG"/>
              </w:rPr>
              <w:t>Влизане в сила на изменения за укрепване на независимостта на съдебната власт на Върховния съд</w:t>
            </w:r>
          </w:p>
        </w:tc>
      </w:tr>
      <w:tr w:rsidR="00CE3BAD" w:rsidRPr="00782BF9" w14:paraId="60102205" w14:textId="77777777">
        <w:tblPrEx>
          <w:tblCellMar>
            <w:top w:w="0" w:type="dxa"/>
          </w:tblCellMar>
        </w:tblPrEx>
        <w:trPr>
          <w:gridAfter w:val="1"/>
          <w:wAfter w:w="236" w:type="dxa"/>
          <w:trHeight w:val="64"/>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1E94E5C7" w14:textId="77777777" w:rsidR="00CE3BAD" w:rsidRPr="00782BF9" w:rsidRDefault="006B5475">
            <w:pPr>
              <w:pStyle w:val="P68B1DB1-Normal29"/>
              <w:spacing w:after="0" w:line="240" w:lineRule="auto"/>
              <w:rPr>
                <w:noProof/>
                <w:lang w:val="bg-BG"/>
              </w:rPr>
            </w:pPr>
            <w:r w:rsidRPr="00782BF9">
              <w:rPr>
                <w:noProof/>
                <w:lang w:val="bg-BG"/>
              </w:rPr>
              <w:t>215</w:t>
            </w:r>
          </w:p>
        </w:tc>
        <w:tc>
          <w:tcPr>
            <w:tcW w:w="3041" w:type="dxa"/>
            <w:tcBorders>
              <w:top w:val="nil"/>
              <w:left w:val="nil"/>
              <w:bottom w:val="single" w:sz="4" w:space="0" w:color="auto"/>
              <w:right w:val="single" w:sz="4" w:space="0" w:color="auto"/>
            </w:tcBorders>
            <w:shd w:val="clear" w:color="000000" w:fill="C6EFCE"/>
            <w:vAlign w:val="center"/>
            <w:hideMark/>
          </w:tcPr>
          <w:p w14:paraId="513FBB6A" w14:textId="77777777" w:rsidR="00CE3BAD" w:rsidRPr="00782BF9" w:rsidRDefault="006B5475">
            <w:pPr>
              <w:pStyle w:val="P68B1DB1-Normal29"/>
              <w:spacing w:after="0" w:line="240" w:lineRule="auto"/>
              <w:rPr>
                <w:noProof/>
                <w:lang w:val="bg-BG"/>
              </w:rPr>
            </w:pPr>
            <w:r w:rsidRPr="00782BF9">
              <w:rPr>
                <w:noProof/>
                <w:lang w:val="bg-BG"/>
              </w:rPr>
              <w:t>C9.R17 Премахване на пречките пред отправянето на преюдициални запитвания до Съда на Европейския съюз</w:t>
            </w:r>
          </w:p>
        </w:tc>
        <w:tc>
          <w:tcPr>
            <w:tcW w:w="1134" w:type="dxa"/>
            <w:tcBorders>
              <w:top w:val="nil"/>
              <w:left w:val="nil"/>
              <w:bottom w:val="single" w:sz="4" w:space="0" w:color="auto"/>
              <w:right w:val="single" w:sz="4" w:space="0" w:color="auto"/>
            </w:tcBorders>
            <w:shd w:val="clear" w:color="000000" w:fill="C6EFCE"/>
            <w:vAlign w:val="center"/>
            <w:hideMark/>
          </w:tcPr>
          <w:p w14:paraId="1505AD3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15D323C6"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 изменения с цел премахване на пречките пред отправянето на преюдициални запитвания до Съда на Европейския съюз</w:t>
            </w:r>
          </w:p>
        </w:tc>
      </w:tr>
      <w:tr w:rsidR="00CE3BAD" w:rsidRPr="00782BF9" w14:paraId="154F95CA" w14:textId="77777777">
        <w:tblPrEx>
          <w:tblCellMar>
            <w:top w:w="0" w:type="dxa"/>
          </w:tblCellMar>
        </w:tblPrEx>
        <w:trPr>
          <w:gridAfter w:val="1"/>
          <w:wAfter w:w="236" w:type="dxa"/>
          <w:trHeight w:val="56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5F5F168" w14:textId="77777777" w:rsidR="00CE3BAD" w:rsidRPr="00782BF9" w:rsidRDefault="006B5475">
            <w:pPr>
              <w:pStyle w:val="P68B1DB1-Normal29"/>
              <w:spacing w:after="0" w:line="240" w:lineRule="auto"/>
              <w:rPr>
                <w:noProof/>
                <w:lang w:val="bg-BG"/>
              </w:rPr>
            </w:pPr>
            <w:r w:rsidRPr="00782BF9">
              <w:rPr>
                <w:noProof/>
                <w:lang w:val="bg-BG"/>
              </w:rPr>
              <w:t>216</w:t>
            </w:r>
          </w:p>
        </w:tc>
        <w:tc>
          <w:tcPr>
            <w:tcW w:w="3041" w:type="dxa"/>
            <w:tcBorders>
              <w:top w:val="nil"/>
              <w:left w:val="nil"/>
              <w:bottom w:val="single" w:sz="4" w:space="0" w:color="auto"/>
              <w:right w:val="single" w:sz="4" w:space="0" w:color="auto"/>
            </w:tcBorders>
            <w:shd w:val="clear" w:color="000000" w:fill="C6EFCE"/>
            <w:vAlign w:val="center"/>
            <w:hideMark/>
          </w:tcPr>
          <w:p w14:paraId="273B0996" w14:textId="77777777" w:rsidR="00CE3BAD" w:rsidRPr="00782BF9" w:rsidRDefault="006B5475">
            <w:pPr>
              <w:pStyle w:val="P68B1DB1-Normal29"/>
              <w:spacing w:after="0" w:line="240" w:lineRule="auto"/>
              <w:rPr>
                <w:noProof/>
                <w:lang w:val="bg-BG"/>
              </w:rPr>
            </w:pPr>
            <w:r w:rsidRPr="00782BF9">
              <w:rPr>
                <w:noProof/>
                <w:lang w:val="bg-BG"/>
              </w:rPr>
              <w:t>C9.R18 Реформа относно преразглеждането на окончателни решения от Конституционния съд</w:t>
            </w:r>
          </w:p>
        </w:tc>
        <w:tc>
          <w:tcPr>
            <w:tcW w:w="1134" w:type="dxa"/>
            <w:tcBorders>
              <w:top w:val="nil"/>
              <w:left w:val="nil"/>
              <w:bottom w:val="single" w:sz="4" w:space="0" w:color="auto"/>
              <w:right w:val="single" w:sz="4" w:space="0" w:color="auto"/>
            </w:tcBorders>
            <w:shd w:val="clear" w:color="000000" w:fill="C6EFCE"/>
            <w:vAlign w:val="center"/>
            <w:hideMark/>
          </w:tcPr>
          <w:p w14:paraId="1EEB7B1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4ADCD7CC"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 изменения за премахване на възможността публичните органи да оспорват окончателни решения пред Конституционния съд</w:t>
            </w:r>
          </w:p>
        </w:tc>
      </w:tr>
      <w:tr w:rsidR="00CE3BAD" w:rsidRPr="00782BF9" w14:paraId="6A5822F2" w14:textId="77777777">
        <w:tblPrEx>
          <w:tblCellMar>
            <w:top w:w="0" w:type="dxa"/>
          </w:tblCellMar>
        </w:tblPrEx>
        <w:trPr>
          <w:gridAfter w:val="1"/>
          <w:wAfter w:w="236" w:type="dxa"/>
          <w:trHeight w:val="704"/>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29321058" w14:textId="77777777" w:rsidR="00CE3BAD" w:rsidRPr="00782BF9" w:rsidRDefault="006B5475">
            <w:pPr>
              <w:pStyle w:val="P68B1DB1-Normal29"/>
              <w:spacing w:after="0" w:line="240" w:lineRule="auto"/>
              <w:rPr>
                <w:noProof/>
                <w:lang w:val="bg-BG"/>
              </w:rPr>
            </w:pPr>
            <w:r w:rsidRPr="00782BF9">
              <w:rPr>
                <w:noProof/>
                <w:lang w:val="bg-BG"/>
              </w:rPr>
              <w:t>217</w:t>
            </w:r>
          </w:p>
        </w:tc>
        <w:tc>
          <w:tcPr>
            <w:tcW w:w="3041" w:type="dxa"/>
            <w:tcBorders>
              <w:top w:val="nil"/>
              <w:left w:val="nil"/>
              <w:bottom w:val="single" w:sz="4" w:space="0" w:color="auto"/>
              <w:right w:val="single" w:sz="4" w:space="0" w:color="auto"/>
            </w:tcBorders>
            <w:shd w:val="clear" w:color="000000" w:fill="C6EFCE"/>
            <w:vAlign w:val="center"/>
            <w:hideMark/>
          </w:tcPr>
          <w:p w14:paraId="00A9CF06" w14:textId="77777777" w:rsidR="00CE3BAD" w:rsidRPr="00782BF9" w:rsidRDefault="006B5475">
            <w:pPr>
              <w:pStyle w:val="P68B1DB1-Normal29"/>
              <w:spacing w:after="0" w:line="240" w:lineRule="auto"/>
              <w:rPr>
                <w:noProof/>
                <w:lang w:val="bg-BG"/>
              </w:rPr>
            </w:pPr>
            <w:r w:rsidRPr="00782BF9">
              <w:rPr>
                <w:noProof/>
                <w:lang w:val="bg-BG"/>
              </w:rPr>
              <w:t>C9.R19 Засилени правни разпоредби, определящи мерки за изпълнение, мониторинг, одит и контрол, за да се гарантира правилното използване на подкрепата от Съюза</w:t>
            </w:r>
          </w:p>
        </w:tc>
        <w:tc>
          <w:tcPr>
            <w:tcW w:w="1134" w:type="dxa"/>
            <w:tcBorders>
              <w:top w:val="nil"/>
              <w:left w:val="nil"/>
              <w:bottom w:val="single" w:sz="4" w:space="0" w:color="auto"/>
              <w:right w:val="single" w:sz="4" w:space="0" w:color="auto"/>
            </w:tcBorders>
            <w:shd w:val="clear" w:color="000000" w:fill="C6EFCE"/>
            <w:vAlign w:val="center"/>
            <w:hideMark/>
          </w:tcPr>
          <w:p w14:paraId="0D77BE7F"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45D3D326" w14:textId="77777777" w:rsidR="00CE3BAD" w:rsidRPr="00782BF9" w:rsidRDefault="006B5475">
            <w:pPr>
              <w:pStyle w:val="P68B1DB1-Normal29"/>
              <w:spacing w:after="0" w:line="240" w:lineRule="auto"/>
              <w:rPr>
                <w:noProof/>
                <w:lang w:val="bg-BG"/>
              </w:rPr>
            </w:pPr>
            <w:r w:rsidRPr="00782BF9">
              <w:rPr>
                <w:noProof/>
                <w:lang w:val="bg-BG"/>
              </w:rPr>
              <w:t>Правен мандат за изпълнението, одита и контрола на плана за възстановяване и устойчивост</w:t>
            </w:r>
          </w:p>
        </w:tc>
      </w:tr>
      <w:tr w:rsidR="00CE3BAD" w:rsidRPr="00782BF9" w14:paraId="2459D72D" w14:textId="77777777">
        <w:tblPrEx>
          <w:tblCellMar>
            <w:top w:w="0" w:type="dxa"/>
          </w:tblCellMar>
        </w:tblPrEx>
        <w:trPr>
          <w:gridAfter w:val="1"/>
          <w:wAfter w:w="236" w:type="dxa"/>
          <w:trHeight w:val="183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524180AB" w14:textId="77777777" w:rsidR="00CE3BAD" w:rsidRPr="00782BF9" w:rsidRDefault="006B5475">
            <w:pPr>
              <w:pStyle w:val="P68B1DB1-Normal29"/>
              <w:spacing w:after="0" w:line="240" w:lineRule="auto"/>
              <w:rPr>
                <w:noProof/>
                <w:lang w:val="bg-BG"/>
              </w:rPr>
            </w:pPr>
            <w:r w:rsidRPr="00782BF9">
              <w:rPr>
                <w:noProof/>
                <w:lang w:val="bg-BG"/>
              </w:rPr>
              <w:t>218</w:t>
            </w:r>
          </w:p>
        </w:tc>
        <w:tc>
          <w:tcPr>
            <w:tcW w:w="3041" w:type="dxa"/>
            <w:tcBorders>
              <w:top w:val="nil"/>
              <w:left w:val="nil"/>
              <w:bottom w:val="single" w:sz="4" w:space="0" w:color="auto"/>
              <w:right w:val="single" w:sz="4" w:space="0" w:color="auto"/>
            </w:tcBorders>
            <w:shd w:val="clear" w:color="000000" w:fill="C6EFCE"/>
            <w:vAlign w:val="center"/>
            <w:hideMark/>
          </w:tcPr>
          <w:p w14:paraId="35F20965" w14:textId="77777777" w:rsidR="00CE3BAD" w:rsidRPr="00782BF9" w:rsidRDefault="006B5475">
            <w:pPr>
              <w:pStyle w:val="P68B1DB1-Normal29"/>
              <w:spacing w:after="0" w:line="240" w:lineRule="auto"/>
              <w:rPr>
                <w:noProof/>
                <w:lang w:val="bg-BG"/>
              </w:rPr>
            </w:pPr>
            <w:r w:rsidRPr="00782BF9">
              <w:rPr>
                <w:noProof/>
                <w:lang w:val="bg-BG"/>
              </w:rPr>
              <w:t>C9.R19 Засилени правни разпоредби, определящи мерки за изпълнение, мониторинг, одит и контрол, за да се гарантира правилното използване на подкрепата от Съюза</w:t>
            </w:r>
          </w:p>
        </w:tc>
        <w:tc>
          <w:tcPr>
            <w:tcW w:w="1134" w:type="dxa"/>
            <w:tcBorders>
              <w:top w:val="nil"/>
              <w:left w:val="nil"/>
              <w:bottom w:val="single" w:sz="4" w:space="0" w:color="auto"/>
              <w:right w:val="single" w:sz="4" w:space="0" w:color="auto"/>
            </w:tcBorders>
            <w:shd w:val="clear" w:color="000000" w:fill="C6EFCE"/>
            <w:vAlign w:val="center"/>
            <w:hideMark/>
          </w:tcPr>
          <w:p w14:paraId="215F496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5F8FA27F" w14:textId="77777777" w:rsidR="00CE3BAD" w:rsidRPr="00782BF9" w:rsidRDefault="006B5475">
            <w:pPr>
              <w:pStyle w:val="P68B1DB1-Normal29"/>
              <w:spacing w:after="0" w:line="240" w:lineRule="auto"/>
              <w:rPr>
                <w:noProof/>
                <w:lang w:val="bg-BG"/>
              </w:rPr>
            </w:pPr>
            <w:r w:rsidRPr="00782BF9">
              <w:rPr>
                <w:noProof/>
                <w:lang w:val="bg-BG"/>
              </w:rPr>
              <w:t>Изменение на правните разпоредби, свързани с изпълнението, мониторинга, контрола и одита на европейските структурни и инвестиционни фондове и фондовете съгласно Регламент (ЕС) 2021/1060 в Унгария</w:t>
            </w:r>
          </w:p>
        </w:tc>
      </w:tr>
      <w:tr w:rsidR="00CE3BAD" w:rsidRPr="00782BF9" w14:paraId="516772A3" w14:textId="77777777">
        <w:tblPrEx>
          <w:tblCellMar>
            <w:top w:w="0" w:type="dxa"/>
          </w:tblCellMar>
        </w:tblPrEx>
        <w:trPr>
          <w:gridAfter w:val="1"/>
          <w:wAfter w:w="236" w:type="dxa"/>
          <w:trHeight w:val="183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25A0A88C" w14:textId="77777777" w:rsidR="00CE3BAD" w:rsidRPr="00782BF9" w:rsidRDefault="006B5475">
            <w:pPr>
              <w:pStyle w:val="P68B1DB1-Normal29"/>
              <w:spacing w:after="0" w:line="240" w:lineRule="auto"/>
              <w:rPr>
                <w:noProof/>
                <w:lang w:val="bg-BG"/>
              </w:rPr>
            </w:pPr>
            <w:r w:rsidRPr="00782BF9">
              <w:rPr>
                <w:noProof/>
                <w:lang w:val="bg-BG"/>
              </w:rPr>
              <w:t>219</w:t>
            </w:r>
          </w:p>
        </w:tc>
        <w:tc>
          <w:tcPr>
            <w:tcW w:w="3041" w:type="dxa"/>
            <w:tcBorders>
              <w:top w:val="nil"/>
              <w:left w:val="nil"/>
              <w:bottom w:val="single" w:sz="4" w:space="0" w:color="auto"/>
              <w:right w:val="single" w:sz="4" w:space="0" w:color="auto"/>
            </w:tcBorders>
            <w:shd w:val="clear" w:color="000000" w:fill="C6EFCE"/>
            <w:vAlign w:val="center"/>
            <w:hideMark/>
          </w:tcPr>
          <w:p w14:paraId="1F6EDC7A" w14:textId="77777777" w:rsidR="00CE3BAD" w:rsidRPr="00782BF9" w:rsidRDefault="006B5475">
            <w:pPr>
              <w:pStyle w:val="P68B1DB1-Normal29"/>
              <w:spacing w:after="0" w:line="240" w:lineRule="auto"/>
              <w:rPr>
                <w:noProof/>
                <w:lang w:val="bg-BG"/>
              </w:rPr>
            </w:pPr>
            <w:r w:rsidRPr="00782BF9">
              <w:rPr>
                <w:noProof/>
                <w:lang w:val="bg-BG"/>
              </w:rPr>
              <w:t>C9.R19 Засилени правни разпоредби, определящи мерки за изпълнение, мониторинг, одит и контрол, за да се гарантира правилното използване на подкрепата от Съюза</w:t>
            </w:r>
          </w:p>
        </w:tc>
        <w:tc>
          <w:tcPr>
            <w:tcW w:w="1134" w:type="dxa"/>
            <w:tcBorders>
              <w:top w:val="nil"/>
              <w:left w:val="nil"/>
              <w:bottom w:val="single" w:sz="4" w:space="0" w:color="auto"/>
              <w:right w:val="single" w:sz="4" w:space="0" w:color="auto"/>
            </w:tcBorders>
            <w:shd w:val="clear" w:color="000000" w:fill="C6EFCE"/>
            <w:vAlign w:val="center"/>
            <w:hideMark/>
          </w:tcPr>
          <w:p w14:paraId="7B0CF115"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3A89BEBF" w14:textId="77777777" w:rsidR="00CE3BAD" w:rsidRPr="00782BF9" w:rsidRDefault="006B5475">
            <w:pPr>
              <w:pStyle w:val="P68B1DB1-Normal29"/>
              <w:spacing w:after="0" w:line="240" w:lineRule="auto"/>
              <w:rPr>
                <w:noProof/>
                <w:lang w:val="bg-BG"/>
              </w:rPr>
            </w:pPr>
            <w:r w:rsidRPr="00782BF9">
              <w:rPr>
                <w:noProof/>
                <w:lang w:val="bg-BG"/>
              </w:rPr>
              <w:t>Приемане и начало на прилагането на насоки за гарантиране на ефективното предотвратяване, разкриване и коригиране на конфликти на интереси за персонала на всички органи, участващи в изпълнението, контрола и одита на подкрепата от Съюза в Унгария</w:t>
            </w:r>
          </w:p>
        </w:tc>
      </w:tr>
      <w:tr w:rsidR="00CE3BAD" w:rsidRPr="00782BF9" w14:paraId="6BEB6D6A" w14:textId="77777777">
        <w:tblPrEx>
          <w:tblCellMar>
            <w:top w:w="0" w:type="dxa"/>
          </w:tblCellMar>
        </w:tblPrEx>
        <w:trPr>
          <w:gridAfter w:val="1"/>
          <w:wAfter w:w="236" w:type="dxa"/>
          <w:trHeight w:val="183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08A5BB79" w14:textId="77777777" w:rsidR="00CE3BAD" w:rsidRPr="00782BF9" w:rsidRDefault="006B5475">
            <w:pPr>
              <w:pStyle w:val="P68B1DB1-Normal29"/>
              <w:spacing w:after="0" w:line="240" w:lineRule="auto"/>
              <w:rPr>
                <w:noProof/>
                <w:lang w:val="bg-BG"/>
              </w:rPr>
            </w:pPr>
            <w:r w:rsidRPr="00782BF9">
              <w:rPr>
                <w:noProof/>
                <w:lang w:val="bg-BG"/>
              </w:rPr>
              <w:t>220</w:t>
            </w:r>
          </w:p>
        </w:tc>
        <w:tc>
          <w:tcPr>
            <w:tcW w:w="3041" w:type="dxa"/>
            <w:tcBorders>
              <w:top w:val="nil"/>
              <w:left w:val="nil"/>
              <w:bottom w:val="single" w:sz="4" w:space="0" w:color="auto"/>
              <w:right w:val="single" w:sz="4" w:space="0" w:color="auto"/>
            </w:tcBorders>
            <w:shd w:val="clear" w:color="000000" w:fill="C6EFCE"/>
            <w:vAlign w:val="center"/>
            <w:hideMark/>
          </w:tcPr>
          <w:p w14:paraId="5915C5C8" w14:textId="77777777" w:rsidR="00CE3BAD" w:rsidRPr="00782BF9" w:rsidRDefault="006B5475">
            <w:pPr>
              <w:pStyle w:val="P68B1DB1-Normal29"/>
              <w:spacing w:after="0" w:line="240" w:lineRule="auto"/>
              <w:rPr>
                <w:noProof/>
                <w:lang w:val="bg-BG"/>
              </w:rPr>
            </w:pPr>
            <w:r w:rsidRPr="00782BF9">
              <w:rPr>
                <w:noProof/>
                <w:lang w:val="bg-BG"/>
              </w:rPr>
              <w:t>C9.R20 Ефективна стратегия за борба с измамите и корупцията за изпълнението, одита и контрола на подкрепата от Съюза</w:t>
            </w:r>
          </w:p>
        </w:tc>
        <w:tc>
          <w:tcPr>
            <w:tcW w:w="1134" w:type="dxa"/>
            <w:tcBorders>
              <w:top w:val="nil"/>
              <w:left w:val="nil"/>
              <w:bottom w:val="single" w:sz="4" w:space="0" w:color="auto"/>
              <w:right w:val="single" w:sz="4" w:space="0" w:color="auto"/>
            </w:tcBorders>
            <w:shd w:val="clear" w:color="000000" w:fill="C6EFCE"/>
            <w:vAlign w:val="center"/>
            <w:hideMark/>
          </w:tcPr>
          <w:p w14:paraId="335165AB"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54B62D0F" w14:textId="77777777" w:rsidR="00CE3BAD" w:rsidRPr="00782BF9" w:rsidRDefault="006B5475">
            <w:pPr>
              <w:pStyle w:val="P68B1DB1-Normal29"/>
              <w:spacing w:after="0" w:line="240" w:lineRule="auto"/>
              <w:rPr>
                <w:noProof/>
                <w:lang w:val="bg-BG"/>
              </w:rPr>
            </w:pPr>
            <w:r w:rsidRPr="00782BF9">
              <w:rPr>
                <w:noProof/>
                <w:lang w:val="bg-BG"/>
              </w:rPr>
              <w:t>Осигуряване на ефективно предотвратяване, разкриване и коригиране на измами и корупция при изпълнението на подкрепата от Съюза чрез изготвяне и прилагане на ефективна стратегия за борба с измамите и корупцията за подкрепа от Съюза</w:t>
            </w:r>
          </w:p>
        </w:tc>
      </w:tr>
      <w:tr w:rsidR="00CE3BAD" w:rsidRPr="00782BF9" w14:paraId="47E46ECC" w14:textId="77777777">
        <w:tblPrEx>
          <w:tblCellMar>
            <w:top w:w="0" w:type="dxa"/>
          </w:tblCellMar>
        </w:tblPrEx>
        <w:trPr>
          <w:gridAfter w:val="1"/>
          <w:wAfter w:w="236" w:type="dxa"/>
          <w:trHeight w:val="183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41D17AF6" w14:textId="77777777" w:rsidR="00CE3BAD" w:rsidRPr="00782BF9" w:rsidRDefault="006B5475">
            <w:pPr>
              <w:pStyle w:val="P68B1DB1-Normal29"/>
              <w:spacing w:after="0" w:line="240" w:lineRule="auto"/>
              <w:rPr>
                <w:noProof/>
                <w:lang w:val="bg-BG"/>
              </w:rPr>
            </w:pPr>
            <w:r w:rsidRPr="00782BF9">
              <w:rPr>
                <w:noProof/>
                <w:lang w:val="bg-BG"/>
              </w:rPr>
              <w:t>221</w:t>
            </w:r>
          </w:p>
        </w:tc>
        <w:tc>
          <w:tcPr>
            <w:tcW w:w="3041" w:type="dxa"/>
            <w:tcBorders>
              <w:top w:val="nil"/>
              <w:left w:val="nil"/>
              <w:bottom w:val="single" w:sz="4" w:space="0" w:color="auto"/>
              <w:right w:val="single" w:sz="4" w:space="0" w:color="auto"/>
            </w:tcBorders>
            <w:shd w:val="clear" w:color="000000" w:fill="C6EFCE"/>
            <w:vAlign w:val="center"/>
            <w:hideMark/>
          </w:tcPr>
          <w:p w14:paraId="1C670829" w14:textId="77777777" w:rsidR="00CE3BAD" w:rsidRPr="00782BF9" w:rsidRDefault="006B5475">
            <w:pPr>
              <w:pStyle w:val="P68B1DB1-Normal29"/>
              <w:spacing w:after="0" w:line="240" w:lineRule="auto"/>
              <w:rPr>
                <w:noProof/>
                <w:lang w:val="bg-BG"/>
              </w:rPr>
            </w:pPr>
            <w:r w:rsidRPr="00782BF9">
              <w:rPr>
                <w:noProof/>
                <w:lang w:val="bg-BG"/>
              </w:rPr>
              <w:t>C9.R20 Ефективна стратегия за борба с измамите и корупцията за изпълнението, одита и контрола на подкрепата от Съюза</w:t>
            </w:r>
          </w:p>
        </w:tc>
        <w:tc>
          <w:tcPr>
            <w:tcW w:w="1134" w:type="dxa"/>
            <w:tcBorders>
              <w:top w:val="nil"/>
              <w:left w:val="nil"/>
              <w:bottom w:val="single" w:sz="4" w:space="0" w:color="auto"/>
              <w:right w:val="single" w:sz="4" w:space="0" w:color="auto"/>
            </w:tcBorders>
            <w:shd w:val="clear" w:color="000000" w:fill="C6EFCE"/>
            <w:vAlign w:val="center"/>
            <w:hideMark/>
          </w:tcPr>
          <w:p w14:paraId="37B0C9B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14381E05" w14:textId="77777777" w:rsidR="00CE3BAD" w:rsidRPr="00782BF9" w:rsidRDefault="006B5475">
            <w:pPr>
              <w:pStyle w:val="P68B1DB1-Normal29"/>
              <w:spacing w:after="0" w:line="240" w:lineRule="auto"/>
              <w:rPr>
                <w:noProof/>
                <w:lang w:val="bg-BG"/>
              </w:rPr>
            </w:pPr>
            <w:r w:rsidRPr="00782BF9">
              <w:rPr>
                <w:noProof/>
                <w:lang w:val="bg-BG"/>
              </w:rPr>
              <w:t>Осигуряване на ефективно предотвратяване, разкриване и коригиране на измами и корупция при изпълнението на подкрепата от Съюза чрез изготвяне и прилагане на ефективен план за действие, свързан със стратегията за борба с измамите и корупцията за подкрепа от Съюза</w:t>
            </w:r>
          </w:p>
        </w:tc>
      </w:tr>
      <w:tr w:rsidR="00CE3BAD" w:rsidRPr="00782BF9" w14:paraId="03F4B5BE" w14:textId="77777777">
        <w:tblPrEx>
          <w:tblCellMar>
            <w:top w:w="0" w:type="dxa"/>
          </w:tblCellMar>
        </w:tblPrEx>
        <w:trPr>
          <w:gridAfter w:val="1"/>
          <w:wAfter w:w="236" w:type="dxa"/>
          <w:trHeight w:val="183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217B5ECE" w14:textId="77777777" w:rsidR="00CE3BAD" w:rsidRPr="00782BF9" w:rsidRDefault="006B5475">
            <w:pPr>
              <w:pStyle w:val="P68B1DB1-Normal29"/>
              <w:spacing w:after="0" w:line="240" w:lineRule="auto"/>
              <w:rPr>
                <w:noProof/>
                <w:lang w:val="bg-BG"/>
              </w:rPr>
            </w:pPr>
            <w:r w:rsidRPr="00782BF9">
              <w:rPr>
                <w:noProof/>
                <w:lang w:val="bg-BG"/>
              </w:rPr>
              <w:t>222</w:t>
            </w:r>
          </w:p>
        </w:tc>
        <w:tc>
          <w:tcPr>
            <w:tcW w:w="3041" w:type="dxa"/>
            <w:tcBorders>
              <w:top w:val="nil"/>
              <w:left w:val="nil"/>
              <w:bottom w:val="single" w:sz="4" w:space="0" w:color="auto"/>
              <w:right w:val="single" w:sz="4" w:space="0" w:color="auto"/>
            </w:tcBorders>
            <w:shd w:val="clear" w:color="000000" w:fill="C6EFCE"/>
            <w:vAlign w:val="center"/>
            <w:hideMark/>
          </w:tcPr>
          <w:p w14:paraId="14F0BE62" w14:textId="77777777" w:rsidR="00CE3BAD" w:rsidRPr="00782BF9" w:rsidRDefault="006B5475">
            <w:pPr>
              <w:pStyle w:val="P68B1DB1-Normal29"/>
              <w:spacing w:after="0" w:line="240" w:lineRule="auto"/>
              <w:rPr>
                <w:noProof/>
                <w:lang w:val="bg-BG"/>
              </w:rPr>
            </w:pPr>
            <w:r w:rsidRPr="00782BF9">
              <w:rPr>
                <w:noProof/>
                <w:lang w:val="bg-BG"/>
              </w:rPr>
              <w:t>C9.R21 Пълно и ефективно използване на системата Arachne за цялата подкрепа от Съюза</w:t>
            </w:r>
          </w:p>
        </w:tc>
        <w:tc>
          <w:tcPr>
            <w:tcW w:w="1134" w:type="dxa"/>
            <w:tcBorders>
              <w:top w:val="nil"/>
              <w:left w:val="nil"/>
              <w:bottom w:val="single" w:sz="4" w:space="0" w:color="auto"/>
              <w:right w:val="single" w:sz="4" w:space="0" w:color="auto"/>
            </w:tcBorders>
            <w:shd w:val="clear" w:color="000000" w:fill="C6EFCE"/>
            <w:vAlign w:val="center"/>
            <w:hideMark/>
          </w:tcPr>
          <w:p w14:paraId="72C47C4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76DFD4D4" w14:textId="77777777" w:rsidR="00CE3BAD" w:rsidRPr="00782BF9" w:rsidRDefault="006B5475">
            <w:pPr>
              <w:pStyle w:val="P68B1DB1-Normal29"/>
              <w:spacing w:after="0" w:line="240" w:lineRule="auto"/>
              <w:rPr>
                <w:noProof/>
                <w:lang w:val="bg-BG"/>
              </w:rPr>
            </w:pPr>
            <w:r w:rsidRPr="00782BF9">
              <w:rPr>
                <w:noProof/>
                <w:lang w:val="bg-BG"/>
              </w:rPr>
              <w:t>Осигуряване на ефективно предотвратяване, разкриване и коригиране на измами и корупция при изпълнението на подкрепата от Съюза чрез подходящи механизми, гарантиращи ефективното използване на инструмента за оценка на риска Arachne</w:t>
            </w:r>
          </w:p>
        </w:tc>
      </w:tr>
      <w:tr w:rsidR="00CE3BAD" w:rsidRPr="00782BF9" w14:paraId="4594418B" w14:textId="77777777">
        <w:tblPrEx>
          <w:tblCellMar>
            <w:top w:w="0" w:type="dxa"/>
          </w:tblCellMar>
        </w:tblPrEx>
        <w:trPr>
          <w:gridAfter w:val="1"/>
          <w:wAfter w:w="236" w:type="dxa"/>
          <w:trHeight w:val="183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5DECDCB7" w14:textId="77777777" w:rsidR="00CE3BAD" w:rsidRPr="00782BF9" w:rsidRDefault="006B5475">
            <w:pPr>
              <w:pStyle w:val="P68B1DB1-Normal29"/>
              <w:spacing w:after="0" w:line="240" w:lineRule="auto"/>
              <w:rPr>
                <w:noProof/>
                <w:lang w:val="bg-BG"/>
              </w:rPr>
            </w:pPr>
            <w:r w:rsidRPr="00782BF9">
              <w:rPr>
                <w:noProof/>
                <w:lang w:val="bg-BG"/>
              </w:rPr>
              <w:t>223</w:t>
            </w:r>
          </w:p>
        </w:tc>
        <w:tc>
          <w:tcPr>
            <w:tcW w:w="3041" w:type="dxa"/>
            <w:tcBorders>
              <w:top w:val="nil"/>
              <w:left w:val="nil"/>
              <w:bottom w:val="single" w:sz="4" w:space="0" w:color="auto"/>
              <w:right w:val="single" w:sz="4" w:space="0" w:color="auto"/>
            </w:tcBorders>
            <w:shd w:val="clear" w:color="000000" w:fill="C6EFCE"/>
            <w:vAlign w:val="center"/>
            <w:hideMark/>
          </w:tcPr>
          <w:p w14:paraId="62DC3624" w14:textId="77777777" w:rsidR="00CE3BAD" w:rsidRPr="00782BF9" w:rsidRDefault="006B5475">
            <w:pPr>
              <w:pStyle w:val="P68B1DB1-Normal29"/>
              <w:spacing w:after="0" w:line="240" w:lineRule="auto"/>
              <w:rPr>
                <w:noProof/>
                <w:lang w:val="bg-BG"/>
              </w:rPr>
            </w:pPr>
            <w:r w:rsidRPr="00782BF9">
              <w:rPr>
                <w:noProof/>
                <w:lang w:val="bg-BG"/>
              </w:rPr>
              <w:t>C9.R21 Пълно и ефективно използване на системата Arachne за цялата подкрепа от Съюза</w:t>
            </w:r>
          </w:p>
        </w:tc>
        <w:tc>
          <w:tcPr>
            <w:tcW w:w="1134" w:type="dxa"/>
            <w:tcBorders>
              <w:top w:val="nil"/>
              <w:left w:val="nil"/>
              <w:bottom w:val="single" w:sz="4" w:space="0" w:color="auto"/>
              <w:right w:val="single" w:sz="4" w:space="0" w:color="auto"/>
            </w:tcBorders>
            <w:shd w:val="clear" w:color="000000" w:fill="C6EFCE"/>
            <w:vAlign w:val="center"/>
            <w:hideMark/>
          </w:tcPr>
          <w:p w14:paraId="3515DED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2313B1AF" w14:textId="77777777" w:rsidR="00CE3BAD" w:rsidRPr="00782BF9" w:rsidRDefault="006B5475">
            <w:pPr>
              <w:pStyle w:val="P68B1DB1-Normal29"/>
              <w:spacing w:after="0" w:line="240" w:lineRule="auto"/>
              <w:rPr>
                <w:noProof/>
                <w:lang w:val="bg-BG"/>
              </w:rPr>
            </w:pPr>
            <w:r w:rsidRPr="00782BF9">
              <w:rPr>
                <w:noProof/>
                <w:lang w:val="bg-BG"/>
              </w:rPr>
              <w:t>Осигуряване на ефективно предотвратяване, разкриване и коригиране на измами и корупция при прилагането на подкрепата от Съюза чрез потвърждаване на адекватността на процедурите за системно и ефективно използване на инструмента за оценка на риска Arachne</w:t>
            </w:r>
          </w:p>
        </w:tc>
      </w:tr>
      <w:tr w:rsidR="00CE3BAD" w:rsidRPr="00782BF9" w14:paraId="2BFF61AF" w14:textId="77777777">
        <w:tblPrEx>
          <w:tblCellMar>
            <w:top w:w="0" w:type="dxa"/>
          </w:tblCellMar>
        </w:tblPrEx>
        <w:trPr>
          <w:gridAfter w:val="1"/>
          <w:wAfter w:w="236" w:type="dxa"/>
          <w:trHeight w:val="183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3A34976" w14:textId="77777777" w:rsidR="00CE3BAD" w:rsidRPr="00782BF9" w:rsidRDefault="006B5475">
            <w:pPr>
              <w:pStyle w:val="P68B1DB1-Normal29"/>
              <w:spacing w:after="0" w:line="240" w:lineRule="auto"/>
              <w:rPr>
                <w:noProof/>
                <w:lang w:val="bg-BG"/>
              </w:rPr>
            </w:pPr>
            <w:r w:rsidRPr="00782BF9">
              <w:rPr>
                <w:noProof/>
                <w:lang w:val="bg-BG"/>
              </w:rPr>
              <w:t>224</w:t>
            </w:r>
          </w:p>
        </w:tc>
        <w:tc>
          <w:tcPr>
            <w:tcW w:w="3041" w:type="dxa"/>
            <w:tcBorders>
              <w:top w:val="nil"/>
              <w:left w:val="nil"/>
              <w:bottom w:val="single" w:sz="4" w:space="0" w:color="auto"/>
              <w:right w:val="single" w:sz="4" w:space="0" w:color="auto"/>
            </w:tcBorders>
            <w:shd w:val="clear" w:color="000000" w:fill="C6EFCE"/>
            <w:vAlign w:val="center"/>
            <w:hideMark/>
          </w:tcPr>
          <w:p w14:paraId="0A461727" w14:textId="77777777" w:rsidR="00CE3BAD" w:rsidRPr="00782BF9" w:rsidRDefault="006B5475">
            <w:pPr>
              <w:pStyle w:val="P68B1DB1-Normal29"/>
              <w:spacing w:after="0" w:line="240" w:lineRule="auto"/>
              <w:rPr>
                <w:noProof/>
                <w:lang w:val="bg-BG"/>
              </w:rPr>
            </w:pPr>
            <w:r w:rsidRPr="00782BF9">
              <w:rPr>
                <w:noProof/>
                <w:lang w:val="bg-BG"/>
              </w:rPr>
              <w:t>C9.R22 Създаване на дирекция за вътрешен одит и почтеност с цел засилване на контрола върху конфликтите на интереси при изпълнението на подкрепата от Съюза</w:t>
            </w:r>
          </w:p>
        </w:tc>
        <w:tc>
          <w:tcPr>
            <w:tcW w:w="1134" w:type="dxa"/>
            <w:tcBorders>
              <w:top w:val="nil"/>
              <w:left w:val="nil"/>
              <w:bottom w:val="single" w:sz="4" w:space="0" w:color="auto"/>
              <w:right w:val="single" w:sz="4" w:space="0" w:color="auto"/>
            </w:tcBorders>
            <w:shd w:val="clear" w:color="000000" w:fill="C6EFCE"/>
            <w:vAlign w:val="center"/>
            <w:hideMark/>
          </w:tcPr>
          <w:p w14:paraId="3DF2DA2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28A70F36" w14:textId="77777777" w:rsidR="00CE3BAD" w:rsidRPr="00782BF9" w:rsidRDefault="006B5475">
            <w:pPr>
              <w:pStyle w:val="P68B1DB1-Normal29"/>
              <w:spacing w:after="0" w:line="240" w:lineRule="auto"/>
              <w:rPr>
                <w:noProof/>
                <w:lang w:val="bg-BG"/>
              </w:rPr>
            </w:pPr>
            <w:r w:rsidRPr="00782BF9">
              <w:rPr>
                <w:noProof/>
                <w:lang w:val="bg-BG"/>
              </w:rPr>
              <w:t>Осигуряване на ефективно предотвратяване, разкриване и коригиране на измами и корупция при изпълнението на подкрепата от Съюза чрез създаването и пълноценното функциониране на нова дирекция „Вътрешен одит и почтеност“ (DIAI)</w:t>
            </w:r>
          </w:p>
        </w:tc>
      </w:tr>
      <w:tr w:rsidR="00CE3BAD" w:rsidRPr="00782BF9" w14:paraId="2C5035C9" w14:textId="77777777">
        <w:tblPrEx>
          <w:tblCellMar>
            <w:top w:w="0" w:type="dxa"/>
          </w:tblCellMar>
        </w:tblPrEx>
        <w:trPr>
          <w:gridAfter w:val="1"/>
          <w:wAfter w:w="236" w:type="dxa"/>
          <w:trHeight w:val="928"/>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7F5352F5" w14:textId="77777777" w:rsidR="00CE3BAD" w:rsidRPr="00782BF9" w:rsidRDefault="006B5475">
            <w:pPr>
              <w:pStyle w:val="P68B1DB1-Normal29"/>
              <w:spacing w:after="0" w:line="240" w:lineRule="auto"/>
              <w:rPr>
                <w:noProof/>
                <w:lang w:val="bg-BG"/>
              </w:rPr>
            </w:pPr>
            <w:r w:rsidRPr="00782BF9">
              <w:rPr>
                <w:noProof/>
                <w:lang w:val="bg-BG"/>
              </w:rPr>
              <w:t>225</w:t>
            </w:r>
          </w:p>
        </w:tc>
        <w:tc>
          <w:tcPr>
            <w:tcW w:w="3041" w:type="dxa"/>
            <w:tcBorders>
              <w:top w:val="nil"/>
              <w:left w:val="nil"/>
              <w:bottom w:val="single" w:sz="4" w:space="0" w:color="auto"/>
              <w:right w:val="single" w:sz="4" w:space="0" w:color="auto"/>
            </w:tcBorders>
            <w:shd w:val="clear" w:color="000000" w:fill="C6EFCE"/>
            <w:vAlign w:val="center"/>
            <w:hideMark/>
          </w:tcPr>
          <w:p w14:paraId="3AA27FC9" w14:textId="77777777" w:rsidR="00CE3BAD" w:rsidRPr="00782BF9" w:rsidRDefault="006B5475">
            <w:pPr>
              <w:pStyle w:val="P68B1DB1-Normal29"/>
              <w:spacing w:after="0" w:line="240" w:lineRule="auto"/>
              <w:rPr>
                <w:noProof/>
                <w:lang w:val="bg-BG"/>
              </w:rPr>
            </w:pPr>
            <w:r w:rsidRPr="00782BF9">
              <w:rPr>
                <w:noProof/>
                <w:lang w:val="bg-BG"/>
              </w:rPr>
              <w:t>В9.R23 Осигуряване на капацитета на EUTAF да изпълнява ефективно задачите си</w:t>
            </w:r>
          </w:p>
        </w:tc>
        <w:tc>
          <w:tcPr>
            <w:tcW w:w="1134" w:type="dxa"/>
            <w:tcBorders>
              <w:top w:val="nil"/>
              <w:left w:val="nil"/>
              <w:bottom w:val="single" w:sz="4" w:space="0" w:color="auto"/>
              <w:right w:val="single" w:sz="4" w:space="0" w:color="auto"/>
            </w:tcBorders>
            <w:shd w:val="clear" w:color="000000" w:fill="C6EFCE"/>
            <w:vAlign w:val="center"/>
            <w:hideMark/>
          </w:tcPr>
          <w:p w14:paraId="070D0263"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19214491" w14:textId="77777777" w:rsidR="00CE3BAD" w:rsidRPr="00782BF9" w:rsidRDefault="006B5475">
            <w:pPr>
              <w:pStyle w:val="P68B1DB1-Normal29"/>
              <w:spacing w:after="0" w:line="240" w:lineRule="auto"/>
              <w:rPr>
                <w:noProof/>
                <w:lang w:val="bg-BG"/>
              </w:rPr>
            </w:pPr>
            <w:r w:rsidRPr="00782BF9">
              <w:rPr>
                <w:noProof/>
                <w:lang w:val="bg-BG"/>
              </w:rPr>
              <w:t>Осигуряване на ефективно предотвратяване, разкриване и коригиране на измами и корупция при изпълнението на подкрепата от Съюза чрез подходящ капацитет за EUTAF</w:t>
            </w:r>
          </w:p>
        </w:tc>
      </w:tr>
      <w:tr w:rsidR="00CE3BAD" w:rsidRPr="00782BF9" w14:paraId="72CAB098" w14:textId="77777777">
        <w:tblPrEx>
          <w:tblCellMar>
            <w:top w:w="0" w:type="dxa"/>
          </w:tblCellMar>
        </w:tblPrEx>
        <w:trPr>
          <w:gridAfter w:val="1"/>
          <w:wAfter w:w="236" w:type="dxa"/>
          <w:trHeight w:val="798"/>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1C2C21F5" w14:textId="77777777" w:rsidR="00CE3BAD" w:rsidRPr="00782BF9" w:rsidRDefault="006B5475">
            <w:pPr>
              <w:pStyle w:val="P68B1DB1-Normal29"/>
              <w:spacing w:after="0" w:line="240" w:lineRule="auto"/>
              <w:rPr>
                <w:noProof/>
                <w:lang w:val="bg-BG"/>
              </w:rPr>
            </w:pPr>
            <w:r w:rsidRPr="00782BF9">
              <w:rPr>
                <w:noProof/>
                <w:lang w:val="bg-BG"/>
              </w:rPr>
              <w:t>226</w:t>
            </w:r>
          </w:p>
        </w:tc>
        <w:tc>
          <w:tcPr>
            <w:tcW w:w="3041" w:type="dxa"/>
            <w:tcBorders>
              <w:top w:val="nil"/>
              <w:left w:val="nil"/>
              <w:bottom w:val="single" w:sz="4" w:space="0" w:color="auto"/>
              <w:right w:val="single" w:sz="4" w:space="0" w:color="auto"/>
            </w:tcBorders>
            <w:shd w:val="clear" w:color="000000" w:fill="C6EFCE"/>
            <w:vAlign w:val="center"/>
            <w:hideMark/>
          </w:tcPr>
          <w:p w14:paraId="641F87D9" w14:textId="77777777" w:rsidR="00CE3BAD" w:rsidRPr="00782BF9" w:rsidRDefault="006B5475">
            <w:pPr>
              <w:pStyle w:val="P68B1DB1-Normal29"/>
              <w:spacing w:after="0" w:line="240" w:lineRule="auto"/>
              <w:rPr>
                <w:noProof/>
                <w:lang w:val="bg-BG"/>
              </w:rPr>
            </w:pPr>
            <w:r w:rsidRPr="00782BF9">
              <w:rPr>
                <w:noProof/>
                <w:lang w:val="bg-BG"/>
              </w:rPr>
              <w:t>C9.R24 Засилване на сътрудничеството с OLAF с цел засилване на разкриването на измами, свързани с изпълнението на подкрепата на Съюза</w:t>
            </w:r>
          </w:p>
        </w:tc>
        <w:tc>
          <w:tcPr>
            <w:tcW w:w="1134" w:type="dxa"/>
            <w:tcBorders>
              <w:top w:val="nil"/>
              <w:left w:val="nil"/>
              <w:bottom w:val="single" w:sz="4" w:space="0" w:color="auto"/>
              <w:right w:val="single" w:sz="4" w:space="0" w:color="auto"/>
            </w:tcBorders>
            <w:shd w:val="clear" w:color="000000" w:fill="C6EFCE"/>
            <w:vAlign w:val="center"/>
            <w:hideMark/>
          </w:tcPr>
          <w:p w14:paraId="28AB737D"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685" w:type="dxa"/>
            <w:tcBorders>
              <w:top w:val="nil"/>
              <w:left w:val="nil"/>
              <w:bottom w:val="single" w:sz="4" w:space="0" w:color="auto"/>
              <w:right w:val="single" w:sz="4" w:space="0" w:color="auto"/>
            </w:tcBorders>
            <w:shd w:val="clear" w:color="000000" w:fill="C6EFCE"/>
            <w:vAlign w:val="center"/>
            <w:hideMark/>
          </w:tcPr>
          <w:p w14:paraId="547A4C37" w14:textId="77777777" w:rsidR="00CE3BAD" w:rsidRPr="00782BF9" w:rsidRDefault="006B5475">
            <w:pPr>
              <w:pStyle w:val="P68B1DB1-Normal29"/>
              <w:spacing w:after="0" w:line="240" w:lineRule="auto"/>
              <w:rPr>
                <w:noProof/>
                <w:lang w:val="bg-BG"/>
              </w:rPr>
            </w:pPr>
            <w:r w:rsidRPr="00782BF9">
              <w:rPr>
                <w:noProof/>
                <w:lang w:val="bg-BG"/>
              </w:rPr>
              <w:t>Определяне на национален орган, отговарящ за подпомагането на OLAF при проверките на място в Унгария и въвеждането на възможност за налагане на финансови санкции на несътрудничещи икономически субекти</w:t>
            </w:r>
          </w:p>
        </w:tc>
      </w:tr>
      <w:tr w:rsidR="00CE3BAD" w:rsidRPr="00782BF9" w14:paraId="63EDB9B8" w14:textId="77777777">
        <w:tblPrEx>
          <w:tblCellMar>
            <w:top w:w="0" w:type="dxa"/>
          </w:tblCellMar>
        </w:tblPrEx>
        <w:trPr>
          <w:gridAfter w:val="1"/>
          <w:wAfter w:w="236" w:type="dxa"/>
          <w:trHeight w:val="1093"/>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4E5B685" w14:textId="77777777" w:rsidR="00CE3BAD" w:rsidRPr="00782BF9" w:rsidRDefault="006B5475">
            <w:pPr>
              <w:pStyle w:val="P68B1DB1-Normal29"/>
              <w:spacing w:after="0" w:line="240" w:lineRule="auto"/>
              <w:rPr>
                <w:noProof/>
                <w:lang w:val="bg-BG"/>
              </w:rPr>
            </w:pPr>
            <w:r w:rsidRPr="00782BF9">
              <w:rPr>
                <w:noProof/>
                <w:lang w:val="bg-BG"/>
              </w:rPr>
              <w:t>227</w:t>
            </w:r>
          </w:p>
        </w:tc>
        <w:tc>
          <w:tcPr>
            <w:tcW w:w="3041" w:type="dxa"/>
            <w:tcBorders>
              <w:top w:val="nil"/>
              <w:left w:val="nil"/>
              <w:bottom w:val="single" w:sz="4" w:space="0" w:color="auto"/>
              <w:right w:val="single" w:sz="4" w:space="0" w:color="auto"/>
            </w:tcBorders>
            <w:shd w:val="clear" w:color="000000" w:fill="C6EFCE"/>
            <w:vAlign w:val="center"/>
            <w:hideMark/>
          </w:tcPr>
          <w:p w14:paraId="5B97FD88" w14:textId="77777777" w:rsidR="00CE3BAD" w:rsidRPr="00782BF9" w:rsidRDefault="006B5475">
            <w:pPr>
              <w:pStyle w:val="P68B1DB1-Normal29"/>
              <w:spacing w:after="0" w:line="240" w:lineRule="auto"/>
              <w:rPr>
                <w:noProof/>
                <w:lang w:val="bg-BG"/>
              </w:rPr>
            </w:pPr>
            <w:r w:rsidRPr="00782BF9">
              <w:rPr>
                <w:noProof/>
                <w:lang w:val="bg-BG"/>
              </w:rPr>
              <w:t>C9.R25 Ефективно изпълнение, контрол и одит на плана за възстановяване и устойчивост и защита на финансовите интереси на Съюза</w:t>
            </w:r>
          </w:p>
        </w:tc>
        <w:tc>
          <w:tcPr>
            <w:tcW w:w="1134" w:type="dxa"/>
            <w:tcBorders>
              <w:top w:val="nil"/>
              <w:left w:val="nil"/>
              <w:bottom w:val="single" w:sz="4" w:space="0" w:color="auto"/>
              <w:right w:val="single" w:sz="4" w:space="0" w:color="auto"/>
            </w:tcBorders>
            <w:shd w:val="clear" w:color="000000" w:fill="C6EFCE"/>
            <w:vAlign w:val="center"/>
            <w:hideMark/>
          </w:tcPr>
          <w:p w14:paraId="70E635DA"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4AACD82B" w14:textId="77777777" w:rsidR="00CE3BAD" w:rsidRPr="00782BF9" w:rsidRDefault="006B5475">
            <w:pPr>
              <w:pStyle w:val="P68B1DB1-Normal29"/>
              <w:spacing w:after="0" w:line="240" w:lineRule="auto"/>
              <w:rPr>
                <w:noProof/>
                <w:lang w:val="bg-BG"/>
              </w:rPr>
            </w:pPr>
            <w:r w:rsidRPr="00782BF9">
              <w:rPr>
                <w:noProof/>
                <w:lang w:val="bg-BG"/>
              </w:rPr>
              <w:t>Система за мониторинг на изпълнението на унгарския план за възстановяване и устойчивост</w:t>
            </w:r>
          </w:p>
        </w:tc>
      </w:tr>
      <w:tr w:rsidR="00CE3BAD" w:rsidRPr="00782BF9" w14:paraId="08505728" w14:textId="77777777">
        <w:tblPrEx>
          <w:tblCellMar>
            <w:top w:w="0" w:type="dxa"/>
          </w:tblCellMar>
        </w:tblPrEx>
        <w:trPr>
          <w:gridAfter w:val="1"/>
          <w:wAfter w:w="236" w:type="dxa"/>
          <w:trHeight w:val="95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31FAA85A" w14:textId="77777777" w:rsidR="00CE3BAD" w:rsidRPr="00782BF9" w:rsidRDefault="006B5475">
            <w:pPr>
              <w:pStyle w:val="P68B1DB1-Normal29"/>
              <w:spacing w:after="0" w:line="240" w:lineRule="auto"/>
              <w:rPr>
                <w:noProof/>
                <w:lang w:val="bg-BG"/>
              </w:rPr>
            </w:pPr>
            <w:r w:rsidRPr="00782BF9">
              <w:rPr>
                <w:noProof/>
                <w:lang w:val="bg-BG"/>
              </w:rPr>
              <w:t>228</w:t>
            </w:r>
          </w:p>
        </w:tc>
        <w:tc>
          <w:tcPr>
            <w:tcW w:w="3041" w:type="dxa"/>
            <w:tcBorders>
              <w:top w:val="nil"/>
              <w:left w:val="nil"/>
              <w:bottom w:val="single" w:sz="4" w:space="0" w:color="auto"/>
              <w:right w:val="single" w:sz="4" w:space="0" w:color="auto"/>
            </w:tcBorders>
            <w:shd w:val="clear" w:color="000000" w:fill="C6EFCE"/>
            <w:vAlign w:val="center"/>
            <w:hideMark/>
          </w:tcPr>
          <w:p w14:paraId="78195CBC" w14:textId="77777777" w:rsidR="00CE3BAD" w:rsidRPr="00782BF9" w:rsidRDefault="006B5475">
            <w:pPr>
              <w:pStyle w:val="P68B1DB1-Normal29"/>
              <w:spacing w:after="0" w:line="240" w:lineRule="auto"/>
              <w:rPr>
                <w:noProof/>
                <w:lang w:val="bg-BG"/>
              </w:rPr>
            </w:pPr>
            <w:r w:rsidRPr="00782BF9">
              <w:rPr>
                <w:noProof/>
                <w:lang w:val="bg-BG"/>
              </w:rPr>
              <w:t>C9.R25 Ефективно изпълнение, контрол и одит на плана за възстановяване и устойчивост и защита на финансовите интереси на Съюза</w:t>
            </w:r>
          </w:p>
        </w:tc>
        <w:tc>
          <w:tcPr>
            <w:tcW w:w="1134" w:type="dxa"/>
            <w:tcBorders>
              <w:top w:val="nil"/>
              <w:left w:val="nil"/>
              <w:bottom w:val="single" w:sz="4" w:space="0" w:color="auto"/>
              <w:right w:val="single" w:sz="4" w:space="0" w:color="auto"/>
            </w:tcBorders>
            <w:shd w:val="clear" w:color="000000" w:fill="C6EFCE"/>
            <w:vAlign w:val="center"/>
            <w:hideMark/>
          </w:tcPr>
          <w:p w14:paraId="0007828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3B27FE37" w14:textId="77777777" w:rsidR="00CE3BAD" w:rsidRPr="00782BF9" w:rsidRDefault="006B5475">
            <w:pPr>
              <w:pStyle w:val="P68B1DB1-Normal29"/>
              <w:spacing w:after="0" w:line="240" w:lineRule="auto"/>
              <w:rPr>
                <w:noProof/>
                <w:lang w:val="bg-BG"/>
              </w:rPr>
            </w:pPr>
            <w:r w:rsidRPr="00782BF9">
              <w:rPr>
                <w:noProof/>
                <w:lang w:val="bg-BG"/>
              </w:rPr>
              <w:t>Гарантиране на ефективен одит на изпълнението на унгарския план за възстановяване и устойчивост</w:t>
            </w:r>
          </w:p>
        </w:tc>
      </w:tr>
      <w:tr w:rsidR="00CE3BAD" w:rsidRPr="00782BF9" w14:paraId="3633C2C6" w14:textId="77777777">
        <w:tblPrEx>
          <w:tblCellMar>
            <w:top w:w="0" w:type="dxa"/>
          </w:tblCellMar>
        </w:tblPrEx>
        <w:trPr>
          <w:gridAfter w:val="1"/>
          <w:wAfter w:w="236" w:type="dxa"/>
          <w:trHeight w:val="212"/>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0D2C4C1C" w14:textId="77777777" w:rsidR="00CE3BAD" w:rsidRPr="00782BF9" w:rsidRDefault="006B5475">
            <w:pPr>
              <w:pStyle w:val="P68B1DB1-Normal29"/>
              <w:spacing w:after="0" w:line="240" w:lineRule="auto"/>
              <w:rPr>
                <w:noProof/>
                <w:lang w:val="bg-BG"/>
              </w:rPr>
            </w:pPr>
            <w:r w:rsidRPr="00782BF9">
              <w:rPr>
                <w:noProof/>
                <w:lang w:val="bg-BG"/>
              </w:rPr>
              <w:t>229</w:t>
            </w:r>
          </w:p>
        </w:tc>
        <w:tc>
          <w:tcPr>
            <w:tcW w:w="3041" w:type="dxa"/>
            <w:tcBorders>
              <w:top w:val="nil"/>
              <w:left w:val="nil"/>
              <w:bottom w:val="single" w:sz="4" w:space="0" w:color="auto"/>
              <w:right w:val="single" w:sz="4" w:space="0" w:color="auto"/>
            </w:tcBorders>
            <w:shd w:val="clear" w:color="000000" w:fill="C6EFCE"/>
            <w:vAlign w:val="center"/>
            <w:hideMark/>
          </w:tcPr>
          <w:p w14:paraId="777098F2" w14:textId="77777777" w:rsidR="00CE3BAD" w:rsidRPr="00782BF9" w:rsidRDefault="006B5475">
            <w:pPr>
              <w:pStyle w:val="P68B1DB1-Normal29"/>
              <w:spacing w:after="0" w:line="240" w:lineRule="auto"/>
              <w:rPr>
                <w:noProof/>
                <w:lang w:val="bg-BG"/>
              </w:rPr>
            </w:pPr>
            <w:r w:rsidRPr="00782BF9">
              <w:rPr>
                <w:noProof/>
                <w:lang w:val="bg-BG"/>
              </w:rPr>
              <w:t>C9.R26 Подобряване на прозрачността и достъпа до публична информация</w:t>
            </w:r>
          </w:p>
        </w:tc>
        <w:tc>
          <w:tcPr>
            <w:tcW w:w="1134" w:type="dxa"/>
            <w:tcBorders>
              <w:top w:val="nil"/>
              <w:left w:val="nil"/>
              <w:bottom w:val="single" w:sz="4" w:space="0" w:color="auto"/>
              <w:right w:val="single" w:sz="4" w:space="0" w:color="auto"/>
            </w:tcBorders>
            <w:shd w:val="clear" w:color="000000" w:fill="C6EFCE"/>
            <w:vAlign w:val="center"/>
            <w:hideMark/>
          </w:tcPr>
          <w:p w14:paraId="35A886C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1D468A49"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законодателен акт, гарантиращ правна предвидимост при дела за достъп до обществена информация в съда</w:t>
            </w:r>
          </w:p>
        </w:tc>
      </w:tr>
      <w:tr w:rsidR="00CE3BAD" w:rsidRPr="00782BF9" w14:paraId="16631D09" w14:textId="77777777">
        <w:tblPrEx>
          <w:tblCellMar>
            <w:top w:w="0" w:type="dxa"/>
          </w:tblCellMar>
        </w:tblPrEx>
        <w:trPr>
          <w:gridAfter w:val="1"/>
          <w:wAfter w:w="236" w:type="dxa"/>
          <w:trHeight w:val="64"/>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7AC3FEDE" w14:textId="77777777" w:rsidR="00CE3BAD" w:rsidRPr="00782BF9" w:rsidRDefault="006B5475">
            <w:pPr>
              <w:pStyle w:val="P68B1DB1-Normal29"/>
              <w:spacing w:after="0" w:line="240" w:lineRule="auto"/>
              <w:rPr>
                <w:noProof/>
                <w:lang w:val="bg-BG"/>
              </w:rPr>
            </w:pPr>
            <w:r w:rsidRPr="00782BF9">
              <w:rPr>
                <w:noProof/>
                <w:lang w:val="bg-BG"/>
              </w:rPr>
              <w:t>230</w:t>
            </w:r>
          </w:p>
        </w:tc>
        <w:tc>
          <w:tcPr>
            <w:tcW w:w="3041" w:type="dxa"/>
            <w:tcBorders>
              <w:top w:val="nil"/>
              <w:left w:val="nil"/>
              <w:bottom w:val="single" w:sz="4" w:space="0" w:color="auto"/>
              <w:right w:val="single" w:sz="4" w:space="0" w:color="auto"/>
            </w:tcBorders>
            <w:shd w:val="clear" w:color="000000" w:fill="C6EFCE"/>
            <w:vAlign w:val="center"/>
            <w:hideMark/>
          </w:tcPr>
          <w:p w14:paraId="4C157BCA" w14:textId="77777777" w:rsidR="00CE3BAD" w:rsidRPr="00782BF9" w:rsidRDefault="006B5475">
            <w:pPr>
              <w:pStyle w:val="P68B1DB1-Normal29"/>
              <w:spacing w:after="0" w:line="240" w:lineRule="auto"/>
              <w:rPr>
                <w:noProof/>
                <w:lang w:val="bg-BG"/>
              </w:rPr>
            </w:pPr>
            <w:r w:rsidRPr="00782BF9">
              <w:rPr>
                <w:noProof/>
                <w:lang w:val="bg-BG"/>
              </w:rPr>
              <w:t>C9.R26 Подобряване на прозрачността и достъпа до публична информация</w:t>
            </w:r>
          </w:p>
        </w:tc>
        <w:tc>
          <w:tcPr>
            <w:tcW w:w="1134" w:type="dxa"/>
            <w:tcBorders>
              <w:top w:val="nil"/>
              <w:left w:val="nil"/>
              <w:bottom w:val="single" w:sz="4" w:space="0" w:color="auto"/>
              <w:right w:val="single" w:sz="4" w:space="0" w:color="auto"/>
            </w:tcBorders>
            <w:shd w:val="clear" w:color="000000" w:fill="C6EFCE"/>
            <w:vAlign w:val="center"/>
            <w:hideMark/>
          </w:tcPr>
          <w:p w14:paraId="6F3AD90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3FA41FC2"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 изменения, гарантиращи по-голяма прозрачност на публичната информация</w:t>
            </w:r>
          </w:p>
        </w:tc>
      </w:tr>
      <w:tr w:rsidR="00CE3BAD" w:rsidRPr="00782BF9" w14:paraId="14CDC396" w14:textId="77777777">
        <w:tblPrEx>
          <w:tblCellMar>
            <w:top w:w="0" w:type="dxa"/>
          </w:tblCellMar>
        </w:tblPrEx>
        <w:trPr>
          <w:gridAfter w:val="1"/>
          <w:wAfter w:w="236" w:type="dxa"/>
          <w:trHeight w:val="789"/>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735DA7A6" w14:textId="77777777" w:rsidR="00CE3BAD" w:rsidRPr="00782BF9" w:rsidRDefault="006B5475">
            <w:pPr>
              <w:pStyle w:val="P68B1DB1-Normal29"/>
              <w:spacing w:after="0" w:line="240" w:lineRule="auto"/>
              <w:rPr>
                <w:noProof/>
                <w:lang w:val="bg-BG"/>
              </w:rPr>
            </w:pPr>
            <w:r w:rsidRPr="00782BF9">
              <w:rPr>
                <w:noProof/>
                <w:lang w:val="bg-BG"/>
              </w:rPr>
              <w:t>231</w:t>
            </w:r>
          </w:p>
        </w:tc>
        <w:tc>
          <w:tcPr>
            <w:tcW w:w="3041" w:type="dxa"/>
            <w:tcBorders>
              <w:top w:val="nil"/>
              <w:left w:val="nil"/>
              <w:bottom w:val="single" w:sz="4" w:space="0" w:color="auto"/>
              <w:right w:val="single" w:sz="4" w:space="0" w:color="auto"/>
            </w:tcBorders>
            <w:shd w:val="clear" w:color="000000" w:fill="C6EFCE"/>
            <w:vAlign w:val="center"/>
            <w:hideMark/>
          </w:tcPr>
          <w:p w14:paraId="6AF59326" w14:textId="77777777" w:rsidR="00CE3BAD" w:rsidRPr="00782BF9" w:rsidRDefault="006B5475">
            <w:pPr>
              <w:pStyle w:val="P68B1DB1-Normal29"/>
              <w:spacing w:after="0" w:line="240" w:lineRule="auto"/>
              <w:rPr>
                <w:noProof/>
                <w:lang w:val="bg-BG"/>
              </w:rPr>
            </w:pPr>
            <w:r w:rsidRPr="00782BF9">
              <w:rPr>
                <w:noProof/>
                <w:lang w:val="bg-BG"/>
              </w:rPr>
              <w:t>C9.R26 Подобряване на прозрачността и достъпа до публична информация</w:t>
            </w:r>
          </w:p>
        </w:tc>
        <w:tc>
          <w:tcPr>
            <w:tcW w:w="1134" w:type="dxa"/>
            <w:tcBorders>
              <w:top w:val="nil"/>
              <w:left w:val="nil"/>
              <w:bottom w:val="single" w:sz="4" w:space="0" w:color="auto"/>
              <w:right w:val="single" w:sz="4" w:space="0" w:color="auto"/>
            </w:tcBorders>
            <w:shd w:val="clear" w:color="000000" w:fill="C6EFCE"/>
            <w:vAlign w:val="center"/>
            <w:hideMark/>
          </w:tcPr>
          <w:p w14:paraId="6A1AFEC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28AD20BD" w14:textId="77777777" w:rsidR="00CE3BAD" w:rsidRPr="00782BF9" w:rsidRDefault="006B5475">
            <w:pPr>
              <w:pStyle w:val="P68B1DB1-Normal29"/>
              <w:spacing w:after="0" w:line="240" w:lineRule="auto"/>
              <w:rPr>
                <w:noProof/>
                <w:lang w:val="bg-BG"/>
              </w:rPr>
            </w:pPr>
            <w:r w:rsidRPr="00782BF9">
              <w:rPr>
                <w:noProof/>
                <w:lang w:val="bg-BG"/>
              </w:rPr>
              <w:t>Доклад на Националния орган за защита на данните и свобода на информацията относно достъпа до обществена информация (1)</w:t>
            </w:r>
          </w:p>
        </w:tc>
      </w:tr>
      <w:tr w:rsidR="00CE3BAD" w:rsidRPr="00782BF9" w14:paraId="198A0D83" w14:textId="77777777">
        <w:tblPrEx>
          <w:tblCellMar>
            <w:top w:w="0" w:type="dxa"/>
          </w:tblCellMar>
        </w:tblPrEx>
        <w:trPr>
          <w:gridAfter w:val="1"/>
          <w:wAfter w:w="236" w:type="dxa"/>
          <w:trHeight w:val="107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34D50B90" w14:textId="77777777" w:rsidR="00CE3BAD" w:rsidRPr="00782BF9" w:rsidRDefault="006B5475">
            <w:pPr>
              <w:pStyle w:val="P68B1DB1-Normal29"/>
              <w:spacing w:after="0" w:line="240" w:lineRule="auto"/>
              <w:rPr>
                <w:noProof/>
                <w:lang w:val="bg-BG"/>
              </w:rPr>
            </w:pPr>
            <w:r w:rsidRPr="00782BF9">
              <w:rPr>
                <w:noProof/>
                <w:lang w:val="bg-BG"/>
              </w:rPr>
              <w:t>234</w:t>
            </w:r>
          </w:p>
        </w:tc>
        <w:tc>
          <w:tcPr>
            <w:tcW w:w="3041" w:type="dxa"/>
            <w:tcBorders>
              <w:top w:val="nil"/>
              <w:left w:val="nil"/>
              <w:bottom w:val="single" w:sz="4" w:space="0" w:color="auto"/>
              <w:right w:val="single" w:sz="4" w:space="0" w:color="auto"/>
            </w:tcBorders>
            <w:shd w:val="clear" w:color="000000" w:fill="C6EFCE"/>
            <w:vAlign w:val="center"/>
            <w:hideMark/>
          </w:tcPr>
          <w:p w14:paraId="6C296462" w14:textId="77777777" w:rsidR="00CE3BAD" w:rsidRPr="00782BF9" w:rsidRDefault="006B5475">
            <w:pPr>
              <w:pStyle w:val="P68B1DB1-Normal29"/>
              <w:spacing w:after="0" w:line="240" w:lineRule="auto"/>
              <w:rPr>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1134" w:type="dxa"/>
            <w:tcBorders>
              <w:top w:val="nil"/>
              <w:left w:val="nil"/>
              <w:bottom w:val="single" w:sz="4" w:space="0" w:color="auto"/>
              <w:right w:val="single" w:sz="4" w:space="0" w:color="auto"/>
            </w:tcBorders>
            <w:shd w:val="clear" w:color="000000" w:fill="C6EFCE"/>
            <w:vAlign w:val="center"/>
            <w:hideMark/>
          </w:tcPr>
          <w:p w14:paraId="0AFCF1F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24DBA65D"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законодателен акт за определяне на рамката за ефективно включване на всички съответни заинтересовани страни в изпълнението на унгарския план за възстановяване и устойчивост</w:t>
            </w:r>
          </w:p>
        </w:tc>
      </w:tr>
      <w:tr w:rsidR="00CE3BAD" w:rsidRPr="00782BF9" w14:paraId="6C62EBB4" w14:textId="77777777">
        <w:tblPrEx>
          <w:tblCellMar>
            <w:top w:w="0" w:type="dxa"/>
          </w:tblCellMar>
        </w:tblPrEx>
        <w:trPr>
          <w:gridAfter w:val="1"/>
          <w:wAfter w:w="236" w:type="dxa"/>
          <w:trHeight w:val="460"/>
        </w:trPr>
        <w:tc>
          <w:tcPr>
            <w:tcW w:w="1207" w:type="dxa"/>
            <w:tcBorders>
              <w:top w:val="nil"/>
              <w:left w:val="single" w:sz="4" w:space="0" w:color="auto"/>
              <w:bottom w:val="single" w:sz="4" w:space="0" w:color="auto"/>
              <w:right w:val="single" w:sz="4" w:space="0" w:color="auto"/>
            </w:tcBorders>
            <w:shd w:val="clear" w:color="000000" w:fill="C6EFCE"/>
            <w:vAlign w:val="center"/>
            <w:hideMark/>
          </w:tcPr>
          <w:p w14:paraId="60351841" w14:textId="77777777" w:rsidR="00CE3BAD" w:rsidRPr="00782BF9" w:rsidRDefault="006B5475">
            <w:pPr>
              <w:pStyle w:val="P68B1DB1-Normal29"/>
              <w:spacing w:after="0" w:line="240" w:lineRule="auto"/>
              <w:rPr>
                <w:noProof/>
                <w:lang w:val="bg-BG"/>
              </w:rPr>
            </w:pPr>
            <w:r w:rsidRPr="00782BF9">
              <w:rPr>
                <w:noProof/>
                <w:lang w:val="bg-BG"/>
              </w:rPr>
              <w:t>235</w:t>
            </w:r>
          </w:p>
        </w:tc>
        <w:tc>
          <w:tcPr>
            <w:tcW w:w="3041" w:type="dxa"/>
            <w:tcBorders>
              <w:top w:val="nil"/>
              <w:left w:val="nil"/>
              <w:bottom w:val="single" w:sz="4" w:space="0" w:color="auto"/>
              <w:right w:val="single" w:sz="4" w:space="0" w:color="auto"/>
            </w:tcBorders>
            <w:shd w:val="clear" w:color="000000" w:fill="C6EFCE"/>
            <w:vAlign w:val="center"/>
            <w:hideMark/>
          </w:tcPr>
          <w:p w14:paraId="6FF06242" w14:textId="77777777" w:rsidR="00CE3BAD" w:rsidRPr="00782BF9" w:rsidRDefault="006B5475">
            <w:pPr>
              <w:pStyle w:val="P68B1DB1-Normal29"/>
              <w:spacing w:after="0" w:line="240" w:lineRule="auto"/>
              <w:rPr>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1134" w:type="dxa"/>
            <w:tcBorders>
              <w:top w:val="nil"/>
              <w:left w:val="nil"/>
              <w:bottom w:val="single" w:sz="4" w:space="0" w:color="auto"/>
              <w:right w:val="single" w:sz="4" w:space="0" w:color="auto"/>
            </w:tcBorders>
            <w:shd w:val="clear" w:color="000000" w:fill="C6EFCE"/>
            <w:vAlign w:val="center"/>
            <w:hideMark/>
          </w:tcPr>
          <w:p w14:paraId="73F6665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685" w:type="dxa"/>
            <w:tcBorders>
              <w:top w:val="nil"/>
              <w:left w:val="nil"/>
              <w:bottom w:val="single" w:sz="4" w:space="0" w:color="auto"/>
              <w:right w:val="single" w:sz="4" w:space="0" w:color="auto"/>
            </w:tcBorders>
            <w:shd w:val="clear" w:color="000000" w:fill="C6EFCE"/>
            <w:vAlign w:val="center"/>
            <w:hideMark/>
          </w:tcPr>
          <w:p w14:paraId="4EC16595" w14:textId="77777777" w:rsidR="00CE3BAD" w:rsidRPr="00782BF9" w:rsidRDefault="006B5475">
            <w:pPr>
              <w:pStyle w:val="P68B1DB1-Normal29"/>
              <w:spacing w:after="0" w:line="240" w:lineRule="auto"/>
              <w:rPr>
                <w:noProof/>
                <w:lang w:val="bg-BG"/>
              </w:rPr>
            </w:pPr>
            <w:r w:rsidRPr="00782BF9">
              <w:rPr>
                <w:noProof/>
                <w:lang w:val="bg-BG"/>
              </w:rPr>
              <w:t>Влизане в сила на изменения на съответните законодателни актове с цел засилване на използването на обществени консултации и оценки на въздействието в законодателния процес</w:t>
            </w:r>
          </w:p>
        </w:tc>
      </w:tr>
      <w:tr w:rsidR="00CE3BAD" w:rsidRPr="00782BF9" w14:paraId="496298EA" w14:textId="77777777">
        <w:tblPrEx>
          <w:tblCellMar>
            <w:top w:w="0" w:type="dxa"/>
          </w:tblCellMar>
        </w:tblPrEx>
        <w:trPr>
          <w:gridAfter w:val="1"/>
          <w:wAfter w:w="236" w:type="dxa"/>
          <w:trHeight w:val="460"/>
        </w:trPr>
        <w:tc>
          <w:tcPr>
            <w:tcW w:w="5382" w:type="dxa"/>
            <w:gridSpan w:val="3"/>
            <w:tcBorders>
              <w:top w:val="single" w:sz="4" w:space="0" w:color="auto"/>
              <w:left w:val="single" w:sz="4" w:space="0" w:color="auto"/>
              <w:bottom w:val="single" w:sz="4" w:space="0" w:color="auto"/>
              <w:right w:val="single" w:sz="4" w:space="0" w:color="auto"/>
            </w:tcBorders>
            <w:shd w:val="clear" w:color="000000" w:fill="C6EFCE"/>
            <w:vAlign w:val="center"/>
          </w:tcPr>
          <w:p w14:paraId="29F94BC8"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685" w:type="dxa"/>
            <w:tcBorders>
              <w:top w:val="single" w:sz="4" w:space="0" w:color="auto"/>
              <w:left w:val="nil"/>
              <w:bottom w:val="single" w:sz="4" w:space="0" w:color="auto"/>
              <w:right w:val="single" w:sz="4" w:space="0" w:color="auto"/>
            </w:tcBorders>
            <w:shd w:val="clear" w:color="000000" w:fill="C6EFCE"/>
            <w:vAlign w:val="center"/>
          </w:tcPr>
          <w:p w14:paraId="5BDD0701" w14:textId="77777777" w:rsidR="00CE3BAD" w:rsidRPr="00782BF9" w:rsidRDefault="006B5475">
            <w:pPr>
              <w:pStyle w:val="P68B1DB1-Normal29"/>
              <w:spacing w:after="0" w:line="240" w:lineRule="auto"/>
              <w:jc w:val="center"/>
              <w:rPr>
                <w:noProof/>
                <w:lang w:val="bg-BG"/>
              </w:rPr>
            </w:pPr>
            <w:r w:rsidRPr="00782BF9">
              <w:rPr>
                <w:noProof/>
                <w:lang w:val="bg-BG"/>
              </w:rPr>
              <w:t>813 560 000 EUR</w:t>
            </w:r>
          </w:p>
        </w:tc>
      </w:tr>
    </w:tbl>
    <w:p w14:paraId="0EBA3FBC" w14:textId="77777777" w:rsidR="00CE3BAD" w:rsidRPr="00782BF9" w:rsidRDefault="006B5475">
      <w:pPr>
        <w:pStyle w:val="P68B1DB1-Normal30"/>
        <w:spacing w:after="160" w:line="259" w:lineRule="auto"/>
        <w:rPr>
          <w:noProof/>
          <w:lang w:val="bg-BG"/>
        </w:rPr>
      </w:pPr>
      <w:r w:rsidRPr="00782BF9">
        <w:rPr>
          <w:noProof/>
          <w:lang w:val="bg-BG"/>
        </w:rPr>
        <w:br w:type="page"/>
      </w:r>
    </w:p>
    <w:p w14:paraId="20065E7B" w14:textId="77777777" w:rsidR="00CE3BAD" w:rsidRPr="00782BF9" w:rsidRDefault="00CE3BAD">
      <w:pPr>
        <w:spacing w:before="120" w:after="120" w:line="240" w:lineRule="auto"/>
        <w:jc w:val="both"/>
        <w:rPr>
          <w:rFonts w:eastAsia="Calibri" w:cs="Times New Roman"/>
          <w:noProof/>
          <w:lang w:val="bg-BG"/>
        </w:rPr>
      </w:pPr>
    </w:p>
    <w:p w14:paraId="691AEEB1" w14:textId="77777777" w:rsidR="00CE3BAD" w:rsidRPr="00782BF9" w:rsidRDefault="006B5475">
      <w:pPr>
        <w:pStyle w:val="P68B1DB1-ListParagraph27"/>
        <w:numPr>
          <w:ilvl w:val="1"/>
          <w:numId w:val="16"/>
        </w:numPr>
        <w:spacing w:before="120" w:after="120" w:line="240" w:lineRule="auto"/>
        <w:jc w:val="both"/>
        <w:rPr>
          <w:noProof/>
          <w:lang w:val="bg-BG"/>
        </w:rPr>
      </w:pPr>
      <w:r w:rsidRPr="00782BF9">
        <w:rPr>
          <w:noProof/>
          <w:lang w:val="bg-BG"/>
        </w:rPr>
        <w:t>Втора вноска (безвъзмездна подкрепа):</w:t>
      </w:r>
    </w:p>
    <w:p w14:paraId="25663C97" w14:textId="77777777" w:rsidR="00CE3BAD" w:rsidRPr="00782BF9" w:rsidRDefault="00CE3BAD">
      <w:pPr>
        <w:spacing w:before="120" w:after="120" w:line="240" w:lineRule="auto"/>
        <w:jc w:val="both"/>
        <w:rPr>
          <w:rFonts w:eastAsia="Calibri" w:cs="Times New Roman"/>
          <w:noProof/>
          <w:lang w:val="bg-BG"/>
        </w:rPr>
      </w:pP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26E56EEE" w14:textId="77777777">
        <w:trPr>
          <w:trHeight w:val="450"/>
          <w:tblHeader/>
        </w:trPr>
        <w:tc>
          <w:tcPr>
            <w:tcW w:w="1238"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5E2F4199"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55F47521"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1E3E5812"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58C55F4A"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67F13943"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4ADD5A28"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28D88521"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1577F93D"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36A1601E"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459A1C53"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2C2E9B6E"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130D8782"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091430B7"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669D8F94"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550E7D6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43D63C9" w14:textId="77777777" w:rsidR="00CE3BAD" w:rsidRPr="00782BF9" w:rsidRDefault="006B5475">
            <w:pPr>
              <w:pStyle w:val="P68B1DB1-Normal29"/>
              <w:spacing w:after="0" w:line="240" w:lineRule="auto"/>
              <w:rPr>
                <w:noProof/>
                <w:lang w:val="bg-BG"/>
              </w:rPr>
            </w:pPr>
            <w:r w:rsidRPr="00782BF9">
              <w:rPr>
                <w:noProof/>
                <w:lang w:val="bg-BG"/>
              </w:rPr>
              <w:t>7</w:t>
            </w:r>
          </w:p>
        </w:tc>
        <w:tc>
          <w:tcPr>
            <w:tcW w:w="3120" w:type="dxa"/>
            <w:tcBorders>
              <w:top w:val="nil"/>
              <w:left w:val="nil"/>
              <w:bottom w:val="single" w:sz="4" w:space="0" w:color="auto"/>
              <w:right w:val="single" w:sz="4" w:space="0" w:color="auto"/>
            </w:tcBorders>
            <w:shd w:val="clear" w:color="000000" w:fill="C6EFCE"/>
            <w:vAlign w:val="center"/>
          </w:tcPr>
          <w:p w14:paraId="0229E260" w14:textId="77777777" w:rsidR="00CE3BAD" w:rsidRPr="00782BF9" w:rsidRDefault="006B5475">
            <w:pPr>
              <w:pStyle w:val="P68B1DB1-Normal29"/>
              <w:spacing w:after="0" w:line="240" w:lineRule="auto"/>
              <w:rPr>
                <w:noProof/>
                <w:lang w:val="bg-BG"/>
              </w:rPr>
            </w:pPr>
            <w:r w:rsidRPr="00782BF9">
              <w:rPr>
                <w:noProof/>
                <w:lang w:val="bg-BG"/>
              </w:rPr>
              <w:t>C1.I1 Подобряване на достъпа до качествено образование в прогимназиалния етап на основното образование</w:t>
            </w:r>
          </w:p>
        </w:tc>
        <w:tc>
          <w:tcPr>
            <w:tcW w:w="1164" w:type="dxa"/>
            <w:tcBorders>
              <w:top w:val="nil"/>
              <w:left w:val="nil"/>
              <w:bottom w:val="single" w:sz="4" w:space="0" w:color="auto"/>
              <w:right w:val="single" w:sz="4" w:space="0" w:color="auto"/>
            </w:tcBorders>
            <w:shd w:val="clear" w:color="000000" w:fill="C6EFCE"/>
            <w:vAlign w:val="center"/>
          </w:tcPr>
          <w:p w14:paraId="1BDE33E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678D84B" w14:textId="77777777" w:rsidR="00CE3BAD" w:rsidRPr="00782BF9" w:rsidRDefault="006B5475">
            <w:pPr>
              <w:pStyle w:val="P68B1DB1-Normal29"/>
              <w:spacing w:after="0" w:line="240" w:lineRule="auto"/>
              <w:rPr>
                <w:noProof/>
                <w:lang w:val="bg-BG"/>
              </w:rPr>
            </w:pPr>
            <w:r w:rsidRPr="00782BF9">
              <w:rPr>
                <w:noProof/>
                <w:lang w:val="bg-BG"/>
              </w:rPr>
              <w:t>Картографиране на училищната мрежа с цел подбор на училища за интегриране на малки класове на прогимназиалния етап на средното образование в по-големи училища в съседните населени места</w:t>
            </w:r>
          </w:p>
        </w:tc>
      </w:tr>
      <w:tr w:rsidR="00CE3BAD" w:rsidRPr="00782BF9" w14:paraId="6598E67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7EDAF30" w14:textId="77777777" w:rsidR="00CE3BAD" w:rsidRPr="00782BF9" w:rsidRDefault="006B5475">
            <w:pPr>
              <w:pStyle w:val="P68B1DB1-Normal29"/>
              <w:spacing w:after="0" w:line="240" w:lineRule="auto"/>
              <w:rPr>
                <w:noProof/>
                <w:lang w:val="bg-BG"/>
              </w:rPr>
            </w:pPr>
            <w:r w:rsidRPr="00782BF9">
              <w:rPr>
                <w:noProof/>
                <w:lang w:val="bg-BG"/>
              </w:rPr>
              <w:t>10</w:t>
            </w:r>
          </w:p>
        </w:tc>
        <w:tc>
          <w:tcPr>
            <w:tcW w:w="3120" w:type="dxa"/>
            <w:tcBorders>
              <w:top w:val="nil"/>
              <w:left w:val="nil"/>
              <w:bottom w:val="single" w:sz="4" w:space="0" w:color="auto"/>
              <w:right w:val="single" w:sz="4" w:space="0" w:color="auto"/>
            </w:tcBorders>
            <w:shd w:val="clear" w:color="000000" w:fill="C6EFCE"/>
            <w:vAlign w:val="center"/>
          </w:tcPr>
          <w:p w14:paraId="646684F3" w14:textId="77777777" w:rsidR="00CE3BAD" w:rsidRPr="00782BF9" w:rsidRDefault="006B5475">
            <w:pPr>
              <w:pStyle w:val="P68B1DB1-Normal29"/>
              <w:spacing w:after="0" w:line="240" w:lineRule="auto"/>
              <w:rPr>
                <w:noProof/>
                <w:lang w:val="bg-BG"/>
              </w:rPr>
            </w:pPr>
            <w:r w:rsidRPr="00782BF9">
              <w:rPr>
                <w:noProof/>
                <w:lang w:val="bg-BG"/>
              </w:rPr>
              <w:t>C1.I2 Подкрепа за образованието на студенти със специални образователни потребности</w:t>
            </w:r>
          </w:p>
        </w:tc>
        <w:tc>
          <w:tcPr>
            <w:tcW w:w="1164" w:type="dxa"/>
            <w:tcBorders>
              <w:top w:val="nil"/>
              <w:left w:val="nil"/>
              <w:bottom w:val="single" w:sz="4" w:space="0" w:color="auto"/>
              <w:right w:val="single" w:sz="4" w:space="0" w:color="auto"/>
            </w:tcBorders>
            <w:shd w:val="clear" w:color="000000" w:fill="C6EFCE"/>
            <w:vAlign w:val="center"/>
          </w:tcPr>
          <w:p w14:paraId="4C07472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E426E93" w14:textId="77777777" w:rsidR="00CE3BAD" w:rsidRPr="00782BF9" w:rsidRDefault="006B5475">
            <w:pPr>
              <w:pStyle w:val="P68B1DB1-Normal29"/>
              <w:spacing w:after="0" w:line="240" w:lineRule="auto"/>
              <w:rPr>
                <w:noProof/>
                <w:lang w:val="bg-BG"/>
              </w:rPr>
            </w:pPr>
            <w:r w:rsidRPr="00782BF9">
              <w:rPr>
                <w:noProof/>
                <w:lang w:val="bg-BG"/>
              </w:rPr>
              <w:t>Картографиране на нуждите от образование на ученици със специални образователни потребности</w:t>
            </w:r>
          </w:p>
        </w:tc>
      </w:tr>
      <w:tr w:rsidR="00CE3BAD" w:rsidRPr="00782BF9" w14:paraId="1D27CF6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5CDBCF1" w14:textId="77777777" w:rsidR="00CE3BAD" w:rsidRPr="00782BF9" w:rsidRDefault="006B5475">
            <w:pPr>
              <w:pStyle w:val="P68B1DB1-Normal29"/>
              <w:spacing w:after="0" w:line="240" w:lineRule="auto"/>
              <w:rPr>
                <w:noProof/>
                <w:lang w:val="bg-BG"/>
              </w:rPr>
            </w:pPr>
            <w:r w:rsidRPr="00782BF9">
              <w:rPr>
                <w:noProof/>
                <w:lang w:val="bg-BG"/>
              </w:rPr>
              <w:t>14</w:t>
            </w:r>
          </w:p>
        </w:tc>
        <w:tc>
          <w:tcPr>
            <w:tcW w:w="3120" w:type="dxa"/>
            <w:tcBorders>
              <w:top w:val="nil"/>
              <w:left w:val="nil"/>
              <w:bottom w:val="single" w:sz="4" w:space="0" w:color="auto"/>
              <w:right w:val="single" w:sz="4" w:space="0" w:color="auto"/>
            </w:tcBorders>
            <w:shd w:val="clear" w:color="000000" w:fill="C6EFCE"/>
            <w:vAlign w:val="center"/>
          </w:tcPr>
          <w:p w14:paraId="30D64A5C" w14:textId="77777777" w:rsidR="00CE3BAD" w:rsidRPr="00782BF9" w:rsidRDefault="006B5475">
            <w:pPr>
              <w:pStyle w:val="P68B1DB1-Normal29"/>
              <w:spacing w:after="0" w:line="240" w:lineRule="auto"/>
              <w:rPr>
                <w:noProof/>
                <w:lang w:val="bg-BG"/>
              </w:rPr>
            </w:pPr>
            <w:r w:rsidRPr="00782BF9">
              <w:rPr>
                <w:noProof/>
                <w:lang w:val="bg-BG"/>
              </w:rPr>
              <w:t>C1.R2 Намаляване на риска от сегрегация в училищата</w:t>
            </w:r>
          </w:p>
        </w:tc>
        <w:tc>
          <w:tcPr>
            <w:tcW w:w="1164" w:type="dxa"/>
            <w:tcBorders>
              <w:top w:val="nil"/>
              <w:left w:val="nil"/>
              <w:bottom w:val="single" w:sz="4" w:space="0" w:color="auto"/>
              <w:right w:val="single" w:sz="4" w:space="0" w:color="auto"/>
            </w:tcBorders>
            <w:shd w:val="clear" w:color="000000" w:fill="C6EFCE"/>
            <w:vAlign w:val="center"/>
          </w:tcPr>
          <w:p w14:paraId="27EF78F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900C239"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 предвиждащо намаляване на държавната подкрепа за началните и прогимназиалните училища с нисък дял на учениците в неравностойно положение</w:t>
            </w:r>
          </w:p>
        </w:tc>
      </w:tr>
      <w:tr w:rsidR="00CE3BAD" w:rsidRPr="00782BF9" w14:paraId="5130C15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B4CCCA8" w14:textId="77777777" w:rsidR="00CE3BAD" w:rsidRPr="00782BF9" w:rsidRDefault="006B5475">
            <w:pPr>
              <w:pStyle w:val="P68B1DB1-Normal29"/>
              <w:spacing w:after="0" w:line="240" w:lineRule="auto"/>
              <w:rPr>
                <w:noProof/>
                <w:lang w:val="bg-BG"/>
              </w:rPr>
            </w:pPr>
            <w:r w:rsidRPr="00782BF9">
              <w:rPr>
                <w:noProof/>
                <w:lang w:val="bg-BG"/>
              </w:rPr>
              <w:t>16</w:t>
            </w:r>
          </w:p>
        </w:tc>
        <w:tc>
          <w:tcPr>
            <w:tcW w:w="3120" w:type="dxa"/>
            <w:tcBorders>
              <w:top w:val="nil"/>
              <w:left w:val="nil"/>
              <w:bottom w:val="single" w:sz="4" w:space="0" w:color="auto"/>
              <w:right w:val="single" w:sz="4" w:space="0" w:color="auto"/>
            </w:tcBorders>
            <w:shd w:val="clear" w:color="000000" w:fill="C6EFCE"/>
            <w:vAlign w:val="center"/>
          </w:tcPr>
          <w:p w14:paraId="6C5416E1" w14:textId="77777777" w:rsidR="00CE3BAD" w:rsidRPr="00782BF9" w:rsidRDefault="006B5475">
            <w:pPr>
              <w:pStyle w:val="P68B1DB1-Normal29"/>
              <w:spacing w:after="0" w:line="240" w:lineRule="auto"/>
              <w:rPr>
                <w:noProof/>
                <w:lang w:val="bg-BG"/>
              </w:rPr>
            </w:pPr>
            <w:r w:rsidRPr="00782BF9">
              <w:rPr>
                <w:noProof/>
                <w:lang w:val="bg-BG"/>
              </w:rPr>
              <w:t>C1.R3 Подобряване на привлекателността на учителската професия</w:t>
            </w:r>
          </w:p>
        </w:tc>
        <w:tc>
          <w:tcPr>
            <w:tcW w:w="1164" w:type="dxa"/>
            <w:tcBorders>
              <w:top w:val="nil"/>
              <w:left w:val="nil"/>
              <w:bottom w:val="single" w:sz="4" w:space="0" w:color="auto"/>
              <w:right w:val="single" w:sz="4" w:space="0" w:color="auto"/>
            </w:tcBorders>
            <w:shd w:val="clear" w:color="000000" w:fill="C6EFCE"/>
            <w:vAlign w:val="center"/>
          </w:tcPr>
          <w:p w14:paraId="70FEAB6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501629B"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 за увеличаване на заплатите на учителите в системата на общественото образование до най-малко 80 % от средната заплата на завършилите висше образование</w:t>
            </w:r>
          </w:p>
        </w:tc>
      </w:tr>
      <w:tr w:rsidR="00CE3BAD" w:rsidRPr="00782BF9" w14:paraId="380BB57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6759871" w14:textId="77777777" w:rsidR="00CE3BAD" w:rsidRPr="00782BF9" w:rsidRDefault="006B5475">
            <w:pPr>
              <w:pStyle w:val="P68B1DB1-Normal29"/>
              <w:spacing w:after="0" w:line="240" w:lineRule="auto"/>
              <w:rPr>
                <w:noProof/>
                <w:lang w:val="bg-BG"/>
              </w:rPr>
            </w:pPr>
            <w:r w:rsidRPr="00782BF9">
              <w:rPr>
                <w:noProof/>
                <w:lang w:val="bg-BG"/>
              </w:rPr>
              <w:t>17</w:t>
            </w:r>
          </w:p>
        </w:tc>
        <w:tc>
          <w:tcPr>
            <w:tcW w:w="3120" w:type="dxa"/>
            <w:tcBorders>
              <w:top w:val="nil"/>
              <w:left w:val="nil"/>
              <w:bottom w:val="single" w:sz="4" w:space="0" w:color="auto"/>
              <w:right w:val="single" w:sz="4" w:space="0" w:color="auto"/>
            </w:tcBorders>
            <w:shd w:val="clear" w:color="000000" w:fill="C6EFCE"/>
            <w:vAlign w:val="center"/>
          </w:tcPr>
          <w:p w14:paraId="78661A96" w14:textId="77777777" w:rsidR="00CE3BAD" w:rsidRPr="00782BF9" w:rsidRDefault="006B5475">
            <w:pPr>
              <w:pStyle w:val="P68B1DB1-Normal29"/>
              <w:spacing w:after="0" w:line="240" w:lineRule="auto"/>
              <w:rPr>
                <w:noProof/>
                <w:lang w:val="bg-BG"/>
              </w:rPr>
            </w:pPr>
            <w:r w:rsidRPr="00782BF9">
              <w:rPr>
                <w:noProof/>
                <w:lang w:val="bg-BG"/>
              </w:rPr>
              <w:t>C1.R3 Подобряване на привлекателността на учителската професия</w:t>
            </w:r>
          </w:p>
        </w:tc>
        <w:tc>
          <w:tcPr>
            <w:tcW w:w="1164" w:type="dxa"/>
            <w:tcBorders>
              <w:top w:val="nil"/>
              <w:left w:val="nil"/>
              <w:bottom w:val="single" w:sz="4" w:space="0" w:color="auto"/>
              <w:right w:val="single" w:sz="4" w:space="0" w:color="auto"/>
            </w:tcBorders>
            <w:shd w:val="clear" w:color="000000" w:fill="C6EFCE"/>
            <w:vAlign w:val="center"/>
          </w:tcPr>
          <w:p w14:paraId="0016F02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B077477" w14:textId="77777777" w:rsidR="00CE3BAD" w:rsidRPr="00782BF9" w:rsidRDefault="006B5475">
            <w:pPr>
              <w:pStyle w:val="P68B1DB1-Normal29"/>
              <w:spacing w:after="0" w:line="240" w:lineRule="auto"/>
              <w:rPr>
                <w:noProof/>
                <w:lang w:val="bg-BG"/>
              </w:rPr>
            </w:pPr>
            <w:r w:rsidRPr="00782BF9">
              <w:rPr>
                <w:noProof/>
                <w:lang w:val="bg-BG"/>
              </w:rPr>
              <w:t>Средна заплата на учителите в системата на общественото образование през 2023 г. спрямо средната заплата на завършилите висше образование</w:t>
            </w:r>
          </w:p>
        </w:tc>
      </w:tr>
      <w:tr w:rsidR="00CE3BAD" w:rsidRPr="00782BF9" w14:paraId="18F0979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43DCBF4" w14:textId="77777777" w:rsidR="00CE3BAD" w:rsidRPr="00782BF9" w:rsidRDefault="006B5475">
            <w:pPr>
              <w:pStyle w:val="P68B1DB1-Normal29"/>
              <w:spacing w:after="0" w:line="240" w:lineRule="auto"/>
              <w:rPr>
                <w:noProof/>
                <w:lang w:val="bg-BG"/>
              </w:rPr>
            </w:pPr>
            <w:r w:rsidRPr="00782BF9">
              <w:rPr>
                <w:noProof/>
                <w:lang w:val="bg-BG"/>
              </w:rPr>
              <w:t>30</w:t>
            </w:r>
          </w:p>
        </w:tc>
        <w:tc>
          <w:tcPr>
            <w:tcW w:w="3120" w:type="dxa"/>
            <w:tcBorders>
              <w:top w:val="nil"/>
              <w:left w:val="nil"/>
              <w:bottom w:val="single" w:sz="4" w:space="0" w:color="auto"/>
              <w:right w:val="single" w:sz="4" w:space="0" w:color="auto"/>
            </w:tcBorders>
            <w:shd w:val="clear" w:color="000000" w:fill="C6EFCE"/>
            <w:vAlign w:val="center"/>
          </w:tcPr>
          <w:p w14:paraId="41C60D9B" w14:textId="77777777" w:rsidR="00CE3BAD" w:rsidRPr="00782BF9" w:rsidRDefault="006B5475">
            <w:pPr>
              <w:pStyle w:val="P68B1DB1-Normal29"/>
              <w:spacing w:after="0" w:line="240" w:lineRule="auto"/>
              <w:rPr>
                <w:noProof/>
                <w:lang w:val="bg-BG"/>
              </w:rPr>
            </w:pPr>
            <w:r w:rsidRPr="00782BF9">
              <w:rPr>
                <w:noProof/>
                <w:lang w:val="bg-BG"/>
              </w:rPr>
              <w:t xml:space="preserve">C2.I1 Институционални иновации и засилени дейности във висшето образование </w:t>
            </w:r>
          </w:p>
        </w:tc>
        <w:tc>
          <w:tcPr>
            <w:tcW w:w="1164" w:type="dxa"/>
            <w:tcBorders>
              <w:top w:val="nil"/>
              <w:left w:val="nil"/>
              <w:bottom w:val="single" w:sz="4" w:space="0" w:color="auto"/>
              <w:right w:val="single" w:sz="4" w:space="0" w:color="auto"/>
            </w:tcBorders>
            <w:shd w:val="clear" w:color="000000" w:fill="C6EFCE"/>
            <w:vAlign w:val="center"/>
          </w:tcPr>
          <w:p w14:paraId="6604D57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27E0E1F" w14:textId="77777777" w:rsidR="00CE3BAD" w:rsidRPr="00782BF9" w:rsidRDefault="006B5475">
            <w:pPr>
              <w:pStyle w:val="P68B1DB1-Normal29"/>
              <w:spacing w:after="0" w:line="240" w:lineRule="auto"/>
              <w:rPr>
                <w:noProof/>
                <w:lang w:val="bg-BG"/>
              </w:rPr>
            </w:pPr>
            <w:r w:rsidRPr="00782BF9">
              <w:rPr>
                <w:noProof/>
                <w:lang w:val="bg-BG"/>
              </w:rPr>
              <w:t xml:space="preserve">Отправяне на покана за подбор на университети, извършващи разработване на електронни учебни програми </w:t>
            </w:r>
          </w:p>
        </w:tc>
      </w:tr>
      <w:tr w:rsidR="00CE3BAD" w:rsidRPr="00782BF9" w14:paraId="686FC45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0F3B3D9" w14:textId="77777777" w:rsidR="00CE3BAD" w:rsidRPr="00782BF9" w:rsidRDefault="006B5475">
            <w:pPr>
              <w:pStyle w:val="P68B1DB1-Normal29"/>
              <w:spacing w:after="0" w:line="240" w:lineRule="auto"/>
              <w:rPr>
                <w:noProof/>
                <w:lang w:val="bg-BG"/>
              </w:rPr>
            </w:pPr>
            <w:r w:rsidRPr="00782BF9">
              <w:rPr>
                <w:noProof/>
                <w:lang w:val="bg-BG"/>
              </w:rPr>
              <w:t>39</w:t>
            </w:r>
          </w:p>
        </w:tc>
        <w:tc>
          <w:tcPr>
            <w:tcW w:w="3120" w:type="dxa"/>
            <w:tcBorders>
              <w:top w:val="nil"/>
              <w:left w:val="nil"/>
              <w:bottom w:val="single" w:sz="4" w:space="0" w:color="auto"/>
              <w:right w:val="single" w:sz="4" w:space="0" w:color="auto"/>
            </w:tcBorders>
            <w:shd w:val="clear" w:color="000000" w:fill="C6EFCE"/>
            <w:vAlign w:val="center"/>
          </w:tcPr>
          <w:p w14:paraId="004776AF" w14:textId="77777777" w:rsidR="00CE3BAD" w:rsidRPr="00782BF9" w:rsidRDefault="006B5475">
            <w:pPr>
              <w:pStyle w:val="P68B1DB1-Normal29"/>
              <w:spacing w:after="0" w:line="240" w:lineRule="auto"/>
              <w:rPr>
                <w:noProof/>
                <w:lang w:val="bg-BG"/>
              </w:rPr>
            </w:pPr>
            <w:r w:rsidRPr="00782BF9">
              <w:rPr>
                <w:noProof/>
                <w:lang w:val="bg-BG"/>
              </w:rPr>
              <w:t>C2.I3 Разработване на цифрови учебни програми за професионално образование и обучение</w:t>
            </w:r>
          </w:p>
        </w:tc>
        <w:tc>
          <w:tcPr>
            <w:tcW w:w="1164" w:type="dxa"/>
            <w:tcBorders>
              <w:top w:val="nil"/>
              <w:left w:val="nil"/>
              <w:bottom w:val="single" w:sz="4" w:space="0" w:color="auto"/>
              <w:right w:val="single" w:sz="4" w:space="0" w:color="auto"/>
            </w:tcBorders>
            <w:shd w:val="clear" w:color="000000" w:fill="C6EFCE"/>
            <w:vAlign w:val="center"/>
          </w:tcPr>
          <w:p w14:paraId="50A0CBC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3B7421A"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проекти за разработване на цифрови учебни програми</w:t>
            </w:r>
          </w:p>
        </w:tc>
      </w:tr>
      <w:tr w:rsidR="00CE3BAD" w:rsidRPr="00782BF9" w14:paraId="6C98C7B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2CD640E" w14:textId="77777777" w:rsidR="00CE3BAD" w:rsidRPr="00782BF9" w:rsidRDefault="006B5475">
            <w:pPr>
              <w:pStyle w:val="P68B1DB1-Normal29"/>
              <w:spacing w:after="0" w:line="240" w:lineRule="auto"/>
              <w:rPr>
                <w:noProof/>
                <w:lang w:val="bg-BG"/>
              </w:rPr>
            </w:pPr>
            <w:r w:rsidRPr="00782BF9">
              <w:rPr>
                <w:noProof/>
                <w:lang w:val="bg-BG"/>
              </w:rPr>
              <w:t>51</w:t>
            </w:r>
          </w:p>
        </w:tc>
        <w:tc>
          <w:tcPr>
            <w:tcW w:w="3120" w:type="dxa"/>
            <w:tcBorders>
              <w:top w:val="nil"/>
              <w:left w:val="nil"/>
              <w:bottom w:val="single" w:sz="4" w:space="0" w:color="auto"/>
              <w:right w:val="single" w:sz="4" w:space="0" w:color="auto"/>
            </w:tcBorders>
            <w:shd w:val="clear" w:color="000000" w:fill="C6EFCE"/>
            <w:vAlign w:val="center"/>
          </w:tcPr>
          <w:p w14:paraId="3C842402" w14:textId="77777777" w:rsidR="00CE3BAD" w:rsidRPr="00782BF9" w:rsidRDefault="006B5475">
            <w:pPr>
              <w:pStyle w:val="P68B1DB1-Normal29"/>
              <w:spacing w:after="0" w:line="240" w:lineRule="auto"/>
              <w:rPr>
                <w:noProof/>
                <w:lang w:val="bg-BG"/>
              </w:rPr>
            </w:pPr>
            <w:r w:rsidRPr="00782BF9">
              <w:rPr>
                <w:noProof/>
                <w:lang w:val="bg-BG"/>
              </w:rPr>
              <w:t>C3.R1 Създаване на рамкови условия за ефективна интегрирана подкрепа за населените места в най-неравностойно положение</w:t>
            </w:r>
          </w:p>
        </w:tc>
        <w:tc>
          <w:tcPr>
            <w:tcW w:w="1164" w:type="dxa"/>
            <w:tcBorders>
              <w:top w:val="nil"/>
              <w:left w:val="nil"/>
              <w:bottom w:val="single" w:sz="4" w:space="0" w:color="auto"/>
              <w:right w:val="single" w:sz="4" w:space="0" w:color="auto"/>
            </w:tcBorders>
            <w:shd w:val="clear" w:color="000000" w:fill="C6EFCE"/>
            <w:vAlign w:val="center"/>
          </w:tcPr>
          <w:p w14:paraId="3466400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1B374E8" w14:textId="77777777" w:rsidR="00CE3BAD" w:rsidRPr="00782BF9" w:rsidRDefault="006B5475">
            <w:pPr>
              <w:pStyle w:val="P68B1DB1-Normal29"/>
              <w:spacing w:after="0" w:line="240" w:lineRule="auto"/>
              <w:rPr>
                <w:noProof/>
                <w:lang w:val="bg-BG"/>
              </w:rPr>
            </w:pPr>
            <w:r w:rsidRPr="00782BF9">
              <w:rPr>
                <w:noProof/>
                <w:lang w:val="bg-BG"/>
              </w:rPr>
              <w:t>Създаване на мониторингов комитет за подпомагане на населените места в най-неравностойно положение</w:t>
            </w:r>
          </w:p>
        </w:tc>
      </w:tr>
      <w:tr w:rsidR="00CE3BAD" w:rsidRPr="00782BF9" w14:paraId="1EAA59E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C33873C" w14:textId="77777777" w:rsidR="00CE3BAD" w:rsidRPr="00782BF9" w:rsidRDefault="006B5475">
            <w:pPr>
              <w:pStyle w:val="P68B1DB1-Normal29"/>
              <w:spacing w:after="0" w:line="240" w:lineRule="auto"/>
              <w:rPr>
                <w:noProof/>
                <w:lang w:val="bg-BG"/>
              </w:rPr>
            </w:pPr>
            <w:r w:rsidRPr="00782BF9">
              <w:rPr>
                <w:noProof/>
                <w:lang w:val="bg-BG"/>
              </w:rPr>
              <w:t>63</w:t>
            </w:r>
          </w:p>
        </w:tc>
        <w:tc>
          <w:tcPr>
            <w:tcW w:w="3120" w:type="dxa"/>
            <w:tcBorders>
              <w:top w:val="nil"/>
              <w:left w:val="nil"/>
              <w:bottom w:val="single" w:sz="4" w:space="0" w:color="auto"/>
              <w:right w:val="single" w:sz="4" w:space="0" w:color="auto"/>
            </w:tcBorders>
            <w:shd w:val="clear" w:color="000000" w:fill="C6EFCE"/>
            <w:vAlign w:val="center"/>
          </w:tcPr>
          <w:p w14:paraId="1FD7E017" w14:textId="77777777" w:rsidR="00CE3BAD" w:rsidRPr="00782BF9" w:rsidRDefault="006B5475">
            <w:pPr>
              <w:pStyle w:val="P68B1DB1-Normal29"/>
              <w:spacing w:after="0" w:line="240" w:lineRule="auto"/>
              <w:rPr>
                <w:noProof/>
                <w:lang w:val="bg-BG"/>
              </w:rPr>
            </w:pPr>
            <w:r w:rsidRPr="00782BF9">
              <w:rPr>
                <w:noProof/>
                <w:lang w:val="bg-BG"/>
              </w:rPr>
              <w:t>C4.R1 Повишаване на осведомеността</w:t>
            </w:r>
          </w:p>
        </w:tc>
        <w:tc>
          <w:tcPr>
            <w:tcW w:w="1164" w:type="dxa"/>
            <w:tcBorders>
              <w:top w:val="nil"/>
              <w:left w:val="nil"/>
              <w:bottom w:val="single" w:sz="4" w:space="0" w:color="auto"/>
              <w:right w:val="single" w:sz="4" w:space="0" w:color="auto"/>
            </w:tcBorders>
            <w:shd w:val="clear" w:color="000000" w:fill="C6EFCE"/>
            <w:vAlign w:val="center"/>
          </w:tcPr>
          <w:p w14:paraId="37BC9D4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9EAC592" w14:textId="77777777" w:rsidR="00CE3BAD" w:rsidRPr="00782BF9" w:rsidRDefault="006B5475">
            <w:pPr>
              <w:pStyle w:val="P68B1DB1-Normal29"/>
              <w:spacing w:after="0" w:line="240" w:lineRule="auto"/>
              <w:rPr>
                <w:noProof/>
                <w:lang w:val="bg-BG"/>
              </w:rPr>
            </w:pPr>
            <w:r w:rsidRPr="00782BF9">
              <w:rPr>
                <w:noProof/>
                <w:lang w:val="bg-BG"/>
              </w:rPr>
              <w:t>Изменение на Закон CXIII/2019 относно напоителното земеделие и на Правителствено постановление № 302/2020</w:t>
            </w:r>
          </w:p>
        </w:tc>
      </w:tr>
      <w:tr w:rsidR="00CE3BAD" w:rsidRPr="00782BF9" w14:paraId="675E4FF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847503B" w14:textId="77777777" w:rsidR="00CE3BAD" w:rsidRPr="00782BF9" w:rsidRDefault="006B5475">
            <w:pPr>
              <w:pStyle w:val="P68B1DB1-Normal29"/>
              <w:spacing w:after="0" w:line="240" w:lineRule="auto"/>
              <w:rPr>
                <w:noProof/>
                <w:lang w:val="bg-BG"/>
              </w:rPr>
            </w:pPr>
            <w:r w:rsidRPr="00782BF9">
              <w:rPr>
                <w:noProof/>
                <w:lang w:val="bg-BG"/>
              </w:rPr>
              <w:t>75</w:t>
            </w:r>
          </w:p>
        </w:tc>
        <w:tc>
          <w:tcPr>
            <w:tcW w:w="3120" w:type="dxa"/>
            <w:tcBorders>
              <w:top w:val="nil"/>
              <w:left w:val="nil"/>
              <w:bottom w:val="single" w:sz="4" w:space="0" w:color="auto"/>
              <w:right w:val="single" w:sz="4" w:space="0" w:color="auto"/>
            </w:tcBorders>
            <w:shd w:val="clear" w:color="000000" w:fill="C6EFCE"/>
            <w:vAlign w:val="center"/>
          </w:tcPr>
          <w:p w14:paraId="32DD9717" w14:textId="77777777" w:rsidR="00CE3BAD" w:rsidRPr="00782BF9" w:rsidRDefault="006B5475">
            <w:pPr>
              <w:pStyle w:val="P68B1DB1-Normal29"/>
              <w:spacing w:after="0" w:line="240" w:lineRule="auto"/>
              <w:rPr>
                <w:noProof/>
                <w:lang w:val="bg-BG"/>
              </w:rPr>
            </w:pPr>
            <w:r w:rsidRPr="00782BF9">
              <w:rPr>
                <w:noProof/>
                <w:lang w:val="bg-BG"/>
              </w:rPr>
              <w:t>C4.I3 Защита на природата</w:t>
            </w:r>
          </w:p>
        </w:tc>
        <w:tc>
          <w:tcPr>
            <w:tcW w:w="1164" w:type="dxa"/>
            <w:tcBorders>
              <w:top w:val="nil"/>
              <w:left w:val="nil"/>
              <w:bottom w:val="single" w:sz="4" w:space="0" w:color="auto"/>
              <w:right w:val="single" w:sz="4" w:space="0" w:color="auto"/>
            </w:tcBorders>
            <w:shd w:val="clear" w:color="000000" w:fill="C6EFCE"/>
            <w:vAlign w:val="center"/>
          </w:tcPr>
          <w:p w14:paraId="79FA14E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A011A65" w14:textId="77777777" w:rsidR="00CE3BAD" w:rsidRPr="00782BF9" w:rsidRDefault="006B5475">
            <w:pPr>
              <w:pStyle w:val="P68B1DB1-Normal29"/>
              <w:spacing w:after="0" w:line="240" w:lineRule="auto"/>
              <w:rPr>
                <w:noProof/>
                <w:lang w:val="bg-BG"/>
              </w:rPr>
            </w:pPr>
            <w:r w:rsidRPr="00782BF9">
              <w:rPr>
                <w:noProof/>
                <w:lang w:val="bg-BG"/>
              </w:rPr>
              <w:t>Проектиране на проекта „Подобряване на сигурността на екологичното водоснабдяване в защитената зона по „Натура 2000“ Hanság</w:t>
            </w:r>
          </w:p>
        </w:tc>
      </w:tr>
      <w:tr w:rsidR="00CE3BAD" w:rsidRPr="00782BF9" w14:paraId="2E69871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82E5DD8" w14:textId="77777777" w:rsidR="00CE3BAD" w:rsidRPr="00782BF9" w:rsidRDefault="006B5475">
            <w:pPr>
              <w:pStyle w:val="P68B1DB1-Normal29"/>
              <w:spacing w:after="0" w:line="240" w:lineRule="auto"/>
              <w:rPr>
                <w:noProof/>
                <w:lang w:val="bg-BG"/>
              </w:rPr>
            </w:pPr>
            <w:r w:rsidRPr="00782BF9">
              <w:rPr>
                <w:noProof/>
                <w:lang w:val="bg-BG"/>
              </w:rPr>
              <w:t>96</w:t>
            </w:r>
          </w:p>
        </w:tc>
        <w:tc>
          <w:tcPr>
            <w:tcW w:w="3120" w:type="dxa"/>
            <w:tcBorders>
              <w:top w:val="nil"/>
              <w:left w:val="nil"/>
              <w:bottom w:val="single" w:sz="4" w:space="0" w:color="auto"/>
              <w:right w:val="single" w:sz="4" w:space="0" w:color="auto"/>
            </w:tcBorders>
            <w:shd w:val="clear" w:color="000000" w:fill="C6EFCE"/>
            <w:vAlign w:val="center"/>
          </w:tcPr>
          <w:p w14:paraId="15D2FA44" w14:textId="77777777" w:rsidR="00CE3BAD" w:rsidRPr="00782BF9" w:rsidRDefault="006B5475">
            <w:pPr>
              <w:pStyle w:val="P68B1DB1-Normal29"/>
              <w:spacing w:after="0" w:line="240" w:lineRule="auto"/>
              <w:rPr>
                <w:noProof/>
                <w:lang w:val="bg-BG"/>
              </w:rPr>
            </w:pPr>
            <w:r w:rsidRPr="00782BF9">
              <w:rPr>
                <w:noProof/>
                <w:lang w:val="bg-BG"/>
              </w:rPr>
              <w:t>C5.R1 Въвеждане на единна национална система за тарифи, продажба на билети и информация за пътниците за автобусен и железопътен транспорт от националния орган за обществен транспорт</w:t>
            </w:r>
          </w:p>
        </w:tc>
        <w:tc>
          <w:tcPr>
            <w:tcW w:w="1164" w:type="dxa"/>
            <w:tcBorders>
              <w:top w:val="nil"/>
              <w:left w:val="nil"/>
              <w:bottom w:val="single" w:sz="4" w:space="0" w:color="auto"/>
              <w:right w:val="single" w:sz="4" w:space="0" w:color="auto"/>
            </w:tcBorders>
            <w:shd w:val="clear" w:color="000000" w:fill="C6EFCE"/>
            <w:vAlign w:val="center"/>
          </w:tcPr>
          <w:p w14:paraId="59D7D187"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78E052E"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 установяващо институционалната рамка, процедури и процеси</w:t>
            </w:r>
          </w:p>
        </w:tc>
      </w:tr>
      <w:tr w:rsidR="00CE3BAD" w:rsidRPr="00782BF9" w14:paraId="4433DE1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1701483" w14:textId="77777777" w:rsidR="00CE3BAD" w:rsidRPr="00782BF9" w:rsidRDefault="006B5475">
            <w:pPr>
              <w:pStyle w:val="P68B1DB1-Normal29"/>
              <w:spacing w:after="0" w:line="240" w:lineRule="auto"/>
              <w:rPr>
                <w:noProof/>
                <w:lang w:val="bg-BG"/>
              </w:rPr>
            </w:pPr>
            <w:r w:rsidRPr="00782BF9">
              <w:rPr>
                <w:noProof/>
                <w:lang w:val="bg-BG"/>
              </w:rPr>
              <w:t>99</w:t>
            </w:r>
          </w:p>
        </w:tc>
        <w:tc>
          <w:tcPr>
            <w:tcW w:w="3120" w:type="dxa"/>
            <w:tcBorders>
              <w:top w:val="nil"/>
              <w:left w:val="nil"/>
              <w:bottom w:val="single" w:sz="4" w:space="0" w:color="auto"/>
              <w:right w:val="single" w:sz="4" w:space="0" w:color="auto"/>
            </w:tcBorders>
            <w:shd w:val="clear" w:color="000000" w:fill="C6EFCE"/>
            <w:vAlign w:val="center"/>
          </w:tcPr>
          <w:p w14:paraId="63CF9DEF" w14:textId="77777777" w:rsidR="00CE3BAD" w:rsidRPr="00782BF9" w:rsidRDefault="006B5475">
            <w:pPr>
              <w:pStyle w:val="P68B1DB1-Normal29"/>
              <w:spacing w:after="0" w:line="240" w:lineRule="auto"/>
              <w:rPr>
                <w:noProof/>
                <w:lang w:val="bg-BG"/>
              </w:rPr>
            </w:pPr>
            <w:r w:rsidRPr="00782BF9">
              <w:rPr>
                <w:noProof/>
                <w:lang w:val="bg-BG"/>
              </w:rPr>
              <w:t>C6.R1 Преобразуване на регулиране на електроенергията</w:t>
            </w:r>
          </w:p>
        </w:tc>
        <w:tc>
          <w:tcPr>
            <w:tcW w:w="1164" w:type="dxa"/>
            <w:tcBorders>
              <w:top w:val="nil"/>
              <w:left w:val="nil"/>
              <w:bottom w:val="single" w:sz="4" w:space="0" w:color="auto"/>
              <w:right w:val="single" w:sz="4" w:space="0" w:color="auto"/>
            </w:tcBorders>
            <w:shd w:val="clear" w:color="000000" w:fill="C6EFCE"/>
            <w:vAlign w:val="center"/>
          </w:tcPr>
          <w:p w14:paraId="2EEACA7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0652B1E"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 изменения на Правителствено постановление 273/2007. (X.19.)</w:t>
            </w:r>
          </w:p>
        </w:tc>
      </w:tr>
      <w:tr w:rsidR="00CE3BAD" w:rsidRPr="00782BF9" w14:paraId="4B819FB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4DCCB91" w14:textId="77777777" w:rsidR="00CE3BAD" w:rsidRPr="00782BF9" w:rsidRDefault="006B5475">
            <w:pPr>
              <w:pStyle w:val="P68B1DB1-Normal29"/>
              <w:spacing w:after="0" w:line="240" w:lineRule="auto"/>
              <w:rPr>
                <w:noProof/>
                <w:lang w:val="bg-BG"/>
              </w:rPr>
            </w:pPr>
            <w:r w:rsidRPr="00782BF9">
              <w:rPr>
                <w:noProof/>
                <w:lang w:val="bg-BG"/>
              </w:rPr>
              <w:t>100</w:t>
            </w:r>
          </w:p>
        </w:tc>
        <w:tc>
          <w:tcPr>
            <w:tcW w:w="3120" w:type="dxa"/>
            <w:tcBorders>
              <w:top w:val="nil"/>
              <w:left w:val="nil"/>
              <w:bottom w:val="single" w:sz="4" w:space="0" w:color="auto"/>
              <w:right w:val="single" w:sz="4" w:space="0" w:color="auto"/>
            </w:tcBorders>
            <w:shd w:val="clear" w:color="000000" w:fill="C6EFCE"/>
            <w:vAlign w:val="center"/>
          </w:tcPr>
          <w:p w14:paraId="757A310B" w14:textId="77777777" w:rsidR="00CE3BAD" w:rsidRPr="00782BF9" w:rsidRDefault="006B5475">
            <w:pPr>
              <w:pStyle w:val="P68B1DB1-Normal29"/>
              <w:spacing w:after="0" w:line="240" w:lineRule="auto"/>
              <w:rPr>
                <w:noProof/>
                <w:lang w:val="bg-BG"/>
              </w:rPr>
            </w:pPr>
            <w:r w:rsidRPr="00782BF9">
              <w:rPr>
                <w:noProof/>
                <w:lang w:val="bg-BG"/>
              </w:rPr>
              <w:t>C6.R2 Насърчаване на развитието на вятърна енергия на сушата</w:t>
            </w:r>
          </w:p>
        </w:tc>
        <w:tc>
          <w:tcPr>
            <w:tcW w:w="1164" w:type="dxa"/>
            <w:tcBorders>
              <w:top w:val="nil"/>
              <w:left w:val="nil"/>
              <w:bottom w:val="single" w:sz="4" w:space="0" w:color="auto"/>
              <w:right w:val="single" w:sz="4" w:space="0" w:color="auto"/>
            </w:tcBorders>
            <w:shd w:val="clear" w:color="000000" w:fill="C6EFCE"/>
            <w:vAlign w:val="center"/>
          </w:tcPr>
          <w:p w14:paraId="6BB87C1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F7E4DF6" w14:textId="77777777" w:rsidR="00CE3BAD" w:rsidRPr="00782BF9" w:rsidRDefault="006B5475">
            <w:pPr>
              <w:pStyle w:val="P68B1DB1-Normal29"/>
              <w:spacing w:after="0" w:line="240" w:lineRule="auto"/>
              <w:rPr>
                <w:noProof/>
                <w:lang w:val="bg-BG"/>
              </w:rPr>
            </w:pPr>
            <w:r w:rsidRPr="00782BF9">
              <w:rPr>
                <w:noProof/>
                <w:lang w:val="bg-BG"/>
              </w:rPr>
              <w:t>Изменение на законодателството в полза на използването на вятърна енергия</w:t>
            </w:r>
          </w:p>
        </w:tc>
      </w:tr>
      <w:tr w:rsidR="00CE3BAD" w:rsidRPr="00782BF9" w14:paraId="02F782A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6D94F61" w14:textId="77777777" w:rsidR="00CE3BAD" w:rsidRPr="00782BF9" w:rsidRDefault="006B5475">
            <w:pPr>
              <w:pStyle w:val="P68B1DB1-Normal29"/>
              <w:spacing w:after="0" w:line="240" w:lineRule="auto"/>
              <w:rPr>
                <w:noProof/>
                <w:lang w:val="bg-BG"/>
              </w:rPr>
            </w:pPr>
            <w:r w:rsidRPr="00782BF9">
              <w:rPr>
                <w:noProof/>
                <w:lang w:val="bg-BG"/>
              </w:rPr>
              <w:t>101</w:t>
            </w:r>
          </w:p>
        </w:tc>
        <w:tc>
          <w:tcPr>
            <w:tcW w:w="3120" w:type="dxa"/>
            <w:tcBorders>
              <w:top w:val="nil"/>
              <w:left w:val="nil"/>
              <w:bottom w:val="single" w:sz="4" w:space="0" w:color="auto"/>
              <w:right w:val="single" w:sz="4" w:space="0" w:color="auto"/>
            </w:tcBorders>
            <w:shd w:val="clear" w:color="000000" w:fill="C6EFCE"/>
            <w:vAlign w:val="center"/>
          </w:tcPr>
          <w:p w14:paraId="19C7078B" w14:textId="77777777" w:rsidR="00CE3BAD" w:rsidRPr="00782BF9" w:rsidRDefault="006B5475">
            <w:pPr>
              <w:pStyle w:val="P68B1DB1-Normal29"/>
              <w:spacing w:after="0" w:line="240" w:lineRule="auto"/>
              <w:rPr>
                <w:noProof/>
                <w:lang w:val="bg-BG"/>
              </w:rPr>
            </w:pPr>
            <w:r w:rsidRPr="00782BF9">
              <w:rPr>
                <w:noProof/>
                <w:lang w:val="bg-BG"/>
              </w:rPr>
              <w:t>C6.R2 Насърчаване на развитието на вятърна енергия на сушата</w:t>
            </w:r>
          </w:p>
        </w:tc>
        <w:tc>
          <w:tcPr>
            <w:tcW w:w="1164" w:type="dxa"/>
            <w:tcBorders>
              <w:top w:val="nil"/>
              <w:left w:val="nil"/>
              <w:bottom w:val="single" w:sz="4" w:space="0" w:color="auto"/>
              <w:right w:val="single" w:sz="4" w:space="0" w:color="auto"/>
            </w:tcBorders>
            <w:shd w:val="clear" w:color="000000" w:fill="C6EFCE"/>
            <w:vAlign w:val="center"/>
          </w:tcPr>
          <w:p w14:paraId="0379280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A0167C9" w14:textId="77777777" w:rsidR="00CE3BAD" w:rsidRPr="00782BF9" w:rsidRDefault="006B5475">
            <w:pPr>
              <w:pStyle w:val="P68B1DB1-Normal29"/>
              <w:spacing w:after="0" w:line="240" w:lineRule="auto"/>
              <w:rPr>
                <w:noProof/>
                <w:lang w:val="bg-BG"/>
              </w:rPr>
            </w:pPr>
            <w:r w:rsidRPr="00782BF9">
              <w:rPr>
                <w:noProof/>
                <w:lang w:val="bg-BG"/>
              </w:rPr>
              <w:t>Създаване на зони за вятърна енергия</w:t>
            </w:r>
          </w:p>
        </w:tc>
      </w:tr>
      <w:tr w:rsidR="00CE3BAD" w:rsidRPr="00782BF9" w14:paraId="6E25C88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C5C2B70" w14:textId="77777777" w:rsidR="00CE3BAD" w:rsidRPr="00782BF9" w:rsidRDefault="006B5475">
            <w:pPr>
              <w:pStyle w:val="P68B1DB1-Normal29"/>
              <w:spacing w:after="0" w:line="240" w:lineRule="auto"/>
              <w:rPr>
                <w:noProof/>
                <w:lang w:val="bg-BG"/>
              </w:rPr>
            </w:pPr>
            <w:r w:rsidRPr="00782BF9">
              <w:rPr>
                <w:noProof/>
                <w:lang w:val="bg-BG"/>
              </w:rPr>
              <w:t>102</w:t>
            </w:r>
          </w:p>
        </w:tc>
        <w:tc>
          <w:tcPr>
            <w:tcW w:w="3120" w:type="dxa"/>
            <w:tcBorders>
              <w:top w:val="nil"/>
              <w:left w:val="nil"/>
              <w:bottom w:val="single" w:sz="4" w:space="0" w:color="auto"/>
              <w:right w:val="single" w:sz="4" w:space="0" w:color="auto"/>
            </w:tcBorders>
            <w:shd w:val="clear" w:color="000000" w:fill="C6EFCE"/>
            <w:vAlign w:val="center"/>
          </w:tcPr>
          <w:p w14:paraId="26FB61AD" w14:textId="77777777" w:rsidR="00CE3BAD" w:rsidRPr="00782BF9" w:rsidRDefault="006B5475">
            <w:pPr>
              <w:pStyle w:val="P68B1DB1-Normal29"/>
              <w:spacing w:after="0" w:line="240" w:lineRule="auto"/>
              <w:rPr>
                <w:noProof/>
                <w:lang w:val="bg-BG"/>
              </w:rPr>
            </w:pPr>
            <w:r w:rsidRPr="00782BF9">
              <w:rPr>
                <w:noProof/>
                <w:lang w:val="bg-BG"/>
              </w:rPr>
              <w:t>C6.R3 Подобряване на процедурите за издаване на разрешения за проекти за енергия от възобновяеми източници</w:t>
            </w:r>
          </w:p>
        </w:tc>
        <w:tc>
          <w:tcPr>
            <w:tcW w:w="1164" w:type="dxa"/>
            <w:tcBorders>
              <w:top w:val="nil"/>
              <w:left w:val="nil"/>
              <w:bottom w:val="single" w:sz="4" w:space="0" w:color="auto"/>
              <w:right w:val="single" w:sz="4" w:space="0" w:color="auto"/>
            </w:tcBorders>
            <w:shd w:val="clear" w:color="000000" w:fill="C6EFCE"/>
            <w:vAlign w:val="center"/>
          </w:tcPr>
          <w:p w14:paraId="14DEE95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6A97622" w14:textId="77777777" w:rsidR="00CE3BAD" w:rsidRPr="00782BF9" w:rsidRDefault="006B5475">
            <w:pPr>
              <w:pStyle w:val="P68B1DB1-Normal29"/>
              <w:spacing w:after="0" w:line="240" w:lineRule="auto"/>
              <w:rPr>
                <w:noProof/>
                <w:lang w:val="bg-BG"/>
              </w:rPr>
            </w:pPr>
            <w:r w:rsidRPr="00782BF9">
              <w:rPr>
                <w:noProof/>
                <w:lang w:val="bg-BG"/>
              </w:rPr>
              <w:t>Интегрирана процедура за издаване на разрешения за ВЕИ</w:t>
            </w:r>
          </w:p>
        </w:tc>
      </w:tr>
      <w:tr w:rsidR="00CE3BAD" w:rsidRPr="00782BF9" w14:paraId="34D105E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A8B86AA" w14:textId="77777777" w:rsidR="00CE3BAD" w:rsidRPr="00782BF9" w:rsidRDefault="006B5475">
            <w:pPr>
              <w:pStyle w:val="P68B1DB1-Normal29"/>
              <w:spacing w:after="0" w:line="240" w:lineRule="auto"/>
              <w:rPr>
                <w:noProof/>
                <w:lang w:val="bg-BG"/>
              </w:rPr>
            </w:pPr>
            <w:r w:rsidRPr="00782BF9">
              <w:rPr>
                <w:noProof/>
                <w:lang w:val="bg-BG"/>
              </w:rPr>
              <w:t>103</w:t>
            </w:r>
          </w:p>
        </w:tc>
        <w:tc>
          <w:tcPr>
            <w:tcW w:w="3120" w:type="dxa"/>
            <w:tcBorders>
              <w:top w:val="nil"/>
              <w:left w:val="nil"/>
              <w:bottom w:val="single" w:sz="4" w:space="0" w:color="auto"/>
              <w:right w:val="single" w:sz="4" w:space="0" w:color="auto"/>
            </w:tcBorders>
            <w:shd w:val="clear" w:color="000000" w:fill="C6EFCE"/>
            <w:vAlign w:val="center"/>
          </w:tcPr>
          <w:p w14:paraId="15B9FF80" w14:textId="77777777" w:rsidR="00CE3BAD" w:rsidRPr="00782BF9" w:rsidRDefault="006B5475">
            <w:pPr>
              <w:pStyle w:val="P68B1DB1-Normal29"/>
              <w:spacing w:after="0" w:line="240" w:lineRule="auto"/>
              <w:rPr>
                <w:noProof/>
                <w:lang w:val="bg-BG"/>
              </w:rPr>
            </w:pPr>
            <w:r w:rsidRPr="00782BF9">
              <w:rPr>
                <w:noProof/>
                <w:lang w:val="bg-BG"/>
              </w:rPr>
              <w:t>C6.R3 Подобряване на процедурите за издаване на разрешения за проекти за енергия от възобновяеми източници</w:t>
            </w:r>
          </w:p>
        </w:tc>
        <w:tc>
          <w:tcPr>
            <w:tcW w:w="1164" w:type="dxa"/>
            <w:tcBorders>
              <w:top w:val="nil"/>
              <w:left w:val="nil"/>
              <w:bottom w:val="single" w:sz="4" w:space="0" w:color="auto"/>
              <w:right w:val="single" w:sz="4" w:space="0" w:color="auto"/>
            </w:tcBorders>
            <w:shd w:val="clear" w:color="000000" w:fill="C6EFCE"/>
            <w:vAlign w:val="center"/>
          </w:tcPr>
          <w:p w14:paraId="1B8B9FE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6812E10" w14:textId="77777777" w:rsidR="00CE3BAD" w:rsidRPr="00782BF9" w:rsidRDefault="006B5475">
            <w:pPr>
              <w:pStyle w:val="P68B1DB1-Normal29"/>
              <w:spacing w:after="0" w:line="240" w:lineRule="auto"/>
              <w:rPr>
                <w:noProof/>
                <w:lang w:val="bg-BG"/>
              </w:rPr>
            </w:pPr>
            <w:r w:rsidRPr="00782BF9">
              <w:rPr>
                <w:noProof/>
                <w:lang w:val="bg-BG"/>
              </w:rPr>
              <w:t>Обслужване на едно гише за издаване на разрешения за ВЕИ</w:t>
            </w:r>
          </w:p>
        </w:tc>
      </w:tr>
      <w:tr w:rsidR="00CE3BAD" w:rsidRPr="00782BF9" w14:paraId="7466BB4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1DC9D46" w14:textId="77777777" w:rsidR="00CE3BAD" w:rsidRPr="00782BF9" w:rsidRDefault="006B5475">
            <w:pPr>
              <w:pStyle w:val="P68B1DB1-Normal29"/>
              <w:spacing w:after="0" w:line="240" w:lineRule="auto"/>
              <w:rPr>
                <w:noProof/>
                <w:lang w:val="bg-BG"/>
              </w:rPr>
            </w:pPr>
            <w:r w:rsidRPr="00782BF9">
              <w:rPr>
                <w:noProof/>
                <w:lang w:val="bg-BG"/>
              </w:rPr>
              <w:t>104</w:t>
            </w:r>
          </w:p>
        </w:tc>
        <w:tc>
          <w:tcPr>
            <w:tcW w:w="3120" w:type="dxa"/>
            <w:tcBorders>
              <w:top w:val="nil"/>
              <w:left w:val="nil"/>
              <w:bottom w:val="single" w:sz="4" w:space="0" w:color="auto"/>
              <w:right w:val="single" w:sz="4" w:space="0" w:color="auto"/>
            </w:tcBorders>
            <w:shd w:val="clear" w:color="000000" w:fill="C6EFCE"/>
            <w:vAlign w:val="center"/>
          </w:tcPr>
          <w:p w14:paraId="178A7A46" w14:textId="77777777" w:rsidR="00CE3BAD" w:rsidRPr="00782BF9" w:rsidRDefault="006B5475">
            <w:pPr>
              <w:pStyle w:val="P68B1DB1-Normal29"/>
              <w:spacing w:after="0" w:line="240" w:lineRule="auto"/>
              <w:rPr>
                <w:noProof/>
                <w:lang w:val="bg-BG"/>
              </w:rPr>
            </w:pPr>
            <w:r w:rsidRPr="00782BF9">
              <w:rPr>
                <w:noProof/>
                <w:lang w:val="bg-BG"/>
              </w:rPr>
              <w:t>C6.R3 Подобряване на процедурите за издаване на разрешения за проекти за енергия от възобновяеми източници</w:t>
            </w:r>
          </w:p>
        </w:tc>
        <w:tc>
          <w:tcPr>
            <w:tcW w:w="1164" w:type="dxa"/>
            <w:tcBorders>
              <w:top w:val="nil"/>
              <w:left w:val="nil"/>
              <w:bottom w:val="single" w:sz="4" w:space="0" w:color="auto"/>
              <w:right w:val="single" w:sz="4" w:space="0" w:color="auto"/>
            </w:tcBorders>
            <w:shd w:val="clear" w:color="000000" w:fill="C6EFCE"/>
            <w:vAlign w:val="center"/>
          </w:tcPr>
          <w:p w14:paraId="36817BD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0799C1D" w14:textId="77777777" w:rsidR="00CE3BAD" w:rsidRPr="00782BF9" w:rsidRDefault="006B5475">
            <w:pPr>
              <w:pStyle w:val="P68B1DB1-Normal29"/>
              <w:spacing w:after="0" w:line="240" w:lineRule="auto"/>
              <w:rPr>
                <w:noProof/>
                <w:lang w:val="bg-BG"/>
              </w:rPr>
            </w:pPr>
            <w:r w:rsidRPr="00782BF9">
              <w:rPr>
                <w:noProof/>
                <w:lang w:val="bg-BG"/>
              </w:rPr>
              <w:t>Проста връзка към мрежата на малки фотоволтаични инсталации</w:t>
            </w:r>
          </w:p>
        </w:tc>
      </w:tr>
      <w:tr w:rsidR="00CE3BAD" w:rsidRPr="00782BF9" w14:paraId="5CCCA41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42C9713" w14:textId="77777777" w:rsidR="00CE3BAD" w:rsidRPr="00782BF9" w:rsidRDefault="006B5475">
            <w:pPr>
              <w:pStyle w:val="P68B1DB1-Normal29"/>
              <w:spacing w:after="0" w:line="240" w:lineRule="auto"/>
              <w:rPr>
                <w:noProof/>
                <w:lang w:val="bg-BG"/>
              </w:rPr>
            </w:pPr>
            <w:r w:rsidRPr="00782BF9">
              <w:rPr>
                <w:noProof/>
                <w:lang w:val="bg-BG"/>
              </w:rPr>
              <w:t>107</w:t>
            </w:r>
          </w:p>
        </w:tc>
        <w:tc>
          <w:tcPr>
            <w:tcW w:w="3120" w:type="dxa"/>
            <w:tcBorders>
              <w:top w:val="nil"/>
              <w:left w:val="nil"/>
              <w:bottom w:val="single" w:sz="4" w:space="0" w:color="auto"/>
              <w:right w:val="single" w:sz="4" w:space="0" w:color="auto"/>
            </w:tcBorders>
            <w:shd w:val="clear" w:color="000000" w:fill="C6EFCE"/>
            <w:vAlign w:val="center"/>
          </w:tcPr>
          <w:p w14:paraId="5DAC7191" w14:textId="77777777" w:rsidR="00CE3BAD" w:rsidRPr="00782BF9" w:rsidRDefault="006B5475">
            <w:pPr>
              <w:pStyle w:val="P68B1DB1-Normal29"/>
              <w:spacing w:after="0" w:line="240" w:lineRule="auto"/>
              <w:rPr>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1164" w:type="dxa"/>
            <w:tcBorders>
              <w:top w:val="nil"/>
              <w:left w:val="nil"/>
              <w:bottom w:val="single" w:sz="4" w:space="0" w:color="auto"/>
              <w:right w:val="single" w:sz="4" w:space="0" w:color="auto"/>
            </w:tcBorders>
            <w:shd w:val="clear" w:color="000000" w:fill="C6EFCE"/>
            <w:vAlign w:val="center"/>
          </w:tcPr>
          <w:p w14:paraId="3B8DB453"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64B962A" w14:textId="77777777" w:rsidR="00CE3BAD" w:rsidRPr="00782BF9" w:rsidRDefault="006B5475">
            <w:pPr>
              <w:pStyle w:val="P68B1DB1-Normal29"/>
              <w:spacing w:after="0" w:line="240" w:lineRule="auto"/>
              <w:rPr>
                <w:noProof/>
                <w:lang w:val="bg-BG"/>
              </w:rPr>
            </w:pPr>
            <w:r w:rsidRPr="00782BF9">
              <w:rPr>
                <w:noProof/>
                <w:lang w:val="bg-BG"/>
              </w:rPr>
              <w:t>Публикуване на информация относно заявките за присъединяване към мрежата и капацитета</w:t>
            </w:r>
          </w:p>
        </w:tc>
      </w:tr>
      <w:tr w:rsidR="00CE3BAD" w:rsidRPr="00782BF9" w14:paraId="6FC4B4E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1BF2613" w14:textId="77777777" w:rsidR="00CE3BAD" w:rsidRPr="00782BF9" w:rsidRDefault="006B5475">
            <w:pPr>
              <w:pStyle w:val="P68B1DB1-Normal29"/>
              <w:spacing w:after="0" w:line="240" w:lineRule="auto"/>
              <w:rPr>
                <w:noProof/>
                <w:lang w:val="bg-BG"/>
              </w:rPr>
            </w:pPr>
            <w:r w:rsidRPr="00782BF9">
              <w:rPr>
                <w:noProof/>
                <w:lang w:val="bg-BG"/>
              </w:rPr>
              <w:t>112</w:t>
            </w:r>
          </w:p>
        </w:tc>
        <w:tc>
          <w:tcPr>
            <w:tcW w:w="3120" w:type="dxa"/>
            <w:tcBorders>
              <w:top w:val="nil"/>
              <w:left w:val="nil"/>
              <w:bottom w:val="single" w:sz="4" w:space="0" w:color="auto"/>
              <w:right w:val="single" w:sz="4" w:space="0" w:color="auto"/>
            </w:tcBorders>
            <w:shd w:val="clear" w:color="000000" w:fill="C6EFCE"/>
            <w:vAlign w:val="center"/>
          </w:tcPr>
          <w:p w14:paraId="0D247116" w14:textId="77777777" w:rsidR="00CE3BAD" w:rsidRPr="00782BF9" w:rsidRDefault="006B5475">
            <w:pPr>
              <w:pStyle w:val="P68B1DB1-Normal29"/>
              <w:spacing w:after="0" w:line="240" w:lineRule="auto"/>
              <w:rPr>
                <w:noProof/>
                <w:lang w:val="bg-BG"/>
              </w:rPr>
            </w:pPr>
            <w:r w:rsidRPr="00782BF9">
              <w:rPr>
                <w:noProof/>
                <w:lang w:val="bg-BG"/>
              </w:rPr>
              <w:t>C6.R5 Засилване на изискванията за енергийна ефективност</w:t>
            </w:r>
          </w:p>
        </w:tc>
        <w:tc>
          <w:tcPr>
            <w:tcW w:w="1164" w:type="dxa"/>
            <w:tcBorders>
              <w:top w:val="nil"/>
              <w:left w:val="nil"/>
              <w:bottom w:val="single" w:sz="4" w:space="0" w:color="auto"/>
              <w:right w:val="single" w:sz="4" w:space="0" w:color="auto"/>
            </w:tcBorders>
            <w:shd w:val="clear" w:color="000000" w:fill="C6EFCE"/>
            <w:vAlign w:val="center"/>
          </w:tcPr>
          <w:p w14:paraId="4A1305B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6CF74E7" w14:textId="77777777" w:rsidR="00CE3BAD" w:rsidRPr="00782BF9" w:rsidRDefault="006B5475">
            <w:pPr>
              <w:pStyle w:val="P68B1DB1-Normal29"/>
              <w:spacing w:after="0" w:line="240" w:lineRule="auto"/>
              <w:rPr>
                <w:noProof/>
                <w:lang w:val="bg-BG"/>
              </w:rPr>
            </w:pPr>
            <w:r w:rsidRPr="00782BF9">
              <w:rPr>
                <w:noProof/>
                <w:lang w:val="bg-BG"/>
              </w:rPr>
              <w:t>Засилване на изискванията за енергийна ефективност на схемите за подпомагане на санирането на сгради</w:t>
            </w:r>
          </w:p>
        </w:tc>
      </w:tr>
      <w:tr w:rsidR="00CE3BAD" w:rsidRPr="00782BF9" w14:paraId="6574D06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85E07B1" w14:textId="77777777" w:rsidR="00CE3BAD" w:rsidRPr="00782BF9" w:rsidRDefault="006B5475">
            <w:pPr>
              <w:pStyle w:val="P68B1DB1-Normal29"/>
              <w:spacing w:after="0" w:line="240" w:lineRule="auto"/>
              <w:rPr>
                <w:noProof/>
                <w:lang w:val="bg-BG"/>
              </w:rPr>
            </w:pPr>
            <w:r w:rsidRPr="00782BF9">
              <w:rPr>
                <w:noProof/>
                <w:lang w:val="bg-BG"/>
              </w:rPr>
              <w:t>131</w:t>
            </w:r>
          </w:p>
        </w:tc>
        <w:tc>
          <w:tcPr>
            <w:tcW w:w="3120" w:type="dxa"/>
            <w:tcBorders>
              <w:top w:val="nil"/>
              <w:left w:val="nil"/>
              <w:bottom w:val="single" w:sz="4" w:space="0" w:color="auto"/>
              <w:right w:val="single" w:sz="4" w:space="0" w:color="auto"/>
            </w:tcBorders>
            <w:shd w:val="clear" w:color="000000" w:fill="C6EFCE"/>
            <w:vAlign w:val="center"/>
          </w:tcPr>
          <w:p w14:paraId="7A5A0D9B" w14:textId="77777777" w:rsidR="00CE3BAD" w:rsidRPr="00782BF9" w:rsidRDefault="006B5475">
            <w:pPr>
              <w:pStyle w:val="P68B1DB1-Normal29"/>
              <w:spacing w:after="0" w:line="240" w:lineRule="auto"/>
              <w:rPr>
                <w:noProof/>
                <w:lang w:val="bg-BG"/>
              </w:rPr>
            </w:pPr>
            <w:r w:rsidRPr="00782BF9">
              <w:rPr>
                <w:noProof/>
                <w:lang w:val="bg-BG"/>
              </w:rPr>
              <w:t>C6.I5 Разпространяване на интелигентни измервателни уреди</w:t>
            </w:r>
          </w:p>
        </w:tc>
        <w:tc>
          <w:tcPr>
            <w:tcW w:w="1164" w:type="dxa"/>
            <w:tcBorders>
              <w:top w:val="nil"/>
              <w:left w:val="nil"/>
              <w:bottom w:val="single" w:sz="4" w:space="0" w:color="auto"/>
              <w:right w:val="single" w:sz="4" w:space="0" w:color="auto"/>
            </w:tcBorders>
            <w:shd w:val="clear" w:color="000000" w:fill="C6EFCE"/>
            <w:vAlign w:val="center"/>
          </w:tcPr>
          <w:p w14:paraId="6BC8DA4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36A05FF" w14:textId="77777777" w:rsidR="00CE3BAD" w:rsidRPr="00782BF9" w:rsidRDefault="006B5475">
            <w:pPr>
              <w:pStyle w:val="P68B1DB1-Normal29"/>
              <w:spacing w:after="0" w:line="240" w:lineRule="auto"/>
              <w:rPr>
                <w:noProof/>
                <w:lang w:val="bg-BG"/>
              </w:rPr>
            </w:pPr>
            <w:r w:rsidRPr="00782BF9">
              <w:rPr>
                <w:noProof/>
                <w:lang w:val="bg-BG"/>
              </w:rPr>
              <w:t xml:space="preserve">Сключване на всички договори за отпускане на безвъзмездна финансова помощ за закупуване и инсталиране на интелигентни измервателни уреди </w:t>
            </w:r>
          </w:p>
        </w:tc>
      </w:tr>
      <w:tr w:rsidR="00CE3BAD" w:rsidRPr="00782BF9" w14:paraId="5FFEB44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D6B747A" w14:textId="77777777" w:rsidR="00CE3BAD" w:rsidRPr="00782BF9" w:rsidRDefault="006B5475">
            <w:pPr>
              <w:pStyle w:val="P68B1DB1-Normal29"/>
              <w:spacing w:after="0" w:line="240" w:lineRule="auto"/>
              <w:rPr>
                <w:noProof/>
                <w:lang w:val="bg-BG"/>
              </w:rPr>
            </w:pPr>
            <w:r w:rsidRPr="00782BF9">
              <w:rPr>
                <w:noProof/>
                <w:lang w:val="bg-BG"/>
              </w:rPr>
              <w:t>135</w:t>
            </w:r>
          </w:p>
        </w:tc>
        <w:tc>
          <w:tcPr>
            <w:tcW w:w="3120" w:type="dxa"/>
            <w:tcBorders>
              <w:top w:val="nil"/>
              <w:left w:val="nil"/>
              <w:bottom w:val="single" w:sz="4" w:space="0" w:color="auto"/>
              <w:right w:val="single" w:sz="4" w:space="0" w:color="auto"/>
            </w:tcBorders>
            <w:shd w:val="clear" w:color="000000" w:fill="C6EFCE"/>
            <w:vAlign w:val="center"/>
          </w:tcPr>
          <w:p w14:paraId="2E605898" w14:textId="77777777" w:rsidR="00CE3BAD" w:rsidRPr="00782BF9" w:rsidRDefault="006B5475">
            <w:pPr>
              <w:pStyle w:val="P68B1DB1-Normal29"/>
              <w:spacing w:after="0" w:line="240" w:lineRule="auto"/>
              <w:rPr>
                <w:noProof/>
                <w:lang w:val="bg-BG"/>
              </w:rPr>
            </w:pPr>
            <w:r w:rsidRPr="00782BF9">
              <w:rPr>
                <w:noProof/>
                <w:lang w:val="bg-BG"/>
              </w:rPr>
              <w:t>C7.R1 Вътрешно регулиране на прехода към кръгова икономика</w:t>
            </w:r>
          </w:p>
        </w:tc>
        <w:tc>
          <w:tcPr>
            <w:tcW w:w="1164" w:type="dxa"/>
            <w:tcBorders>
              <w:top w:val="nil"/>
              <w:left w:val="nil"/>
              <w:bottom w:val="single" w:sz="4" w:space="0" w:color="auto"/>
              <w:right w:val="single" w:sz="4" w:space="0" w:color="auto"/>
            </w:tcBorders>
            <w:shd w:val="clear" w:color="000000" w:fill="C6EFCE"/>
            <w:vAlign w:val="center"/>
          </w:tcPr>
          <w:p w14:paraId="413384C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078A92A" w14:textId="77777777" w:rsidR="00CE3BAD" w:rsidRPr="00782BF9" w:rsidRDefault="006B5475">
            <w:pPr>
              <w:pStyle w:val="P68B1DB1-Normal29"/>
              <w:spacing w:after="0" w:line="240" w:lineRule="auto"/>
              <w:rPr>
                <w:noProof/>
                <w:lang w:val="bg-BG"/>
              </w:rPr>
            </w:pPr>
            <w:r w:rsidRPr="00782BF9">
              <w:rPr>
                <w:noProof/>
                <w:lang w:val="bg-BG"/>
              </w:rPr>
              <w:t>Приемане на националната стратегия за кръговата икономика и плана за действие, както и на националния план за управление на отпадъците</w:t>
            </w:r>
          </w:p>
        </w:tc>
      </w:tr>
      <w:tr w:rsidR="00CE3BAD" w:rsidRPr="00782BF9" w14:paraId="2590FD3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9570A18" w14:textId="77777777" w:rsidR="00CE3BAD" w:rsidRPr="00782BF9" w:rsidRDefault="006B5475">
            <w:pPr>
              <w:pStyle w:val="P68B1DB1-Normal29"/>
              <w:spacing w:after="0" w:line="240" w:lineRule="auto"/>
              <w:rPr>
                <w:noProof/>
                <w:lang w:val="bg-BG"/>
              </w:rPr>
            </w:pPr>
            <w:r w:rsidRPr="00782BF9">
              <w:rPr>
                <w:noProof/>
                <w:lang w:val="bg-BG"/>
              </w:rPr>
              <w:t>142</w:t>
            </w:r>
          </w:p>
        </w:tc>
        <w:tc>
          <w:tcPr>
            <w:tcW w:w="3120" w:type="dxa"/>
            <w:tcBorders>
              <w:top w:val="nil"/>
              <w:left w:val="nil"/>
              <w:bottom w:val="single" w:sz="4" w:space="0" w:color="auto"/>
              <w:right w:val="single" w:sz="4" w:space="0" w:color="auto"/>
            </w:tcBorders>
            <w:shd w:val="clear" w:color="000000" w:fill="C6EFCE"/>
            <w:vAlign w:val="center"/>
          </w:tcPr>
          <w:p w14:paraId="2B2B0FB0" w14:textId="77777777" w:rsidR="00CE3BAD" w:rsidRPr="00782BF9" w:rsidRDefault="006B5475">
            <w:pPr>
              <w:pStyle w:val="P68B1DB1-Normal29"/>
              <w:spacing w:after="0" w:line="240" w:lineRule="auto"/>
              <w:rPr>
                <w:noProof/>
                <w:lang w:val="bg-BG"/>
              </w:rPr>
            </w:pPr>
            <w:r w:rsidRPr="00782BF9">
              <w:rPr>
                <w:noProof/>
                <w:lang w:val="bg-BG"/>
              </w:rPr>
              <w:t>C8.I1 Развиване на условията за здравно обслужване през 21-ви век </w:t>
            </w:r>
          </w:p>
        </w:tc>
        <w:tc>
          <w:tcPr>
            <w:tcW w:w="1164" w:type="dxa"/>
            <w:tcBorders>
              <w:top w:val="nil"/>
              <w:left w:val="nil"/>
              <w:bottom w:val="single" w:sz="4" w:space="0" w:color="auto"/>
              <w:right w:val="single" w:sz="4" w:space="0" w:color="auto"/>
            </w:tcBorders>
            <w:shd w:val="clear" w:color="000000" w:fill="C6EFCE"/>
            <w:vAlign w:val="center"/>
          </w:tcPr>
          <w:p w14:paraId="2E05AC07" w14:textId="77777777" w:rsidR="00CE3BAD" w:rsidRPr="00782BF9" w:rsidRDefault="006B5475">
            <w:pPr>
              <w:pStyle w:val="P68B1DB1-Normal29"/>
              <w:spacing w:after="0" w:line="240" w:lineRule="auto"/>
              <w:rPr>
                <w:noProof/>
                <w:lang w:val="bg-BG"/>
              </w:rPr>
            </w:pPr>
            <w:r w:rsidRPr="00782BF9">
              <w:rPr>
                <w:noProof/>
                <w:lang w:val="bg-BG"/>
              </w:rPr>
              <w:t>Ключов етап </w:t>
            </w:r>
          </w:p>
        </w:tc>
        <w:tc>
          <w:tcPr>
            <w:tcW w:w="3781" w:type="dxa"/>
            <w:tcBorders>
              <w:top w:val="nil"/>
              <w:left w:val="nil"/>
              <w:bottom w:val="single" w:sz="4" w:space="0" w:color="auto"/>
              <w:right w:val="single" w:sz="4" w:space="0" w:color="auto"/>
            </w:tcBorders>
            <w:shd w:val="clear" w:color="000000" w:fill="C6EFCE"/>
            <w:vAlign w:val="center"/>
          </w:tcPr>
          <w:p w14:paraId="2AA56142" w14:textId="77777777" w:rsidR="00CE3BAD" w:rsidRPr="00782BF9" w:rsidRDefault="006B5475">
            <w:pPr>
              <w:pStyle w:val="P68B1DB1-Normal29"/>
              <w:spacing w:after="0" w:line="240" w:lineRule="auto"/>
              <w:rPr>
                <w:noProof/>
                <w:lang w:val="bg-BG"/>
              </w:rPr>
            </w:pPr>
            <w:r w:rsidRPr="00782BF9">
              <w:rPr>
                <w:noProof/>
                <w:lang w:val="bg-BG"/>
              </w:rPr>
              <w:t>Завършване на процес на картографиране за създаване на районна болнична система с интегрирани лечебни пътеки </w:t>
            </w:r>
          </w:p>
        </w:tc>
      </w:tr>
      <w:tr w:rsidR="00CE3BAD" w:rsidRPr="00782BF9" w14:paraId="349C018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64EF176" w14:textId="77777777" w:rsidR="00CE3BAD" w:rsidRPr="00782BF9" w:rsidRDefault="006B5475">
            <w:pPr>
              <w:pStyle w:val="P68B1DB1-Normal29"/>
              <w:spacing w:after="0" w:line="240" w:lineRule="auto"/>
              <w:rPr>
                <w:noProof/>
                <w:lang w:val="bg-BG"/>
              </w:rPr>
            </w:pPr>
            <w:r w:rsidRPr="00782BF9">
              <w:rPr>
                <w:noProof/>
                <w:lang w:val="bg-BG"/>
              </w:rPr>
              <w:t>161</w:t>
            </w:r>
          </w:p>
        </w:tc>
        <w:tc>
          <w:tcPr>
            <w:tcW w:w="3120" w:type="dxa"/>
            <w:tcBorders>
              <w:top w:val="nil"/>
              <w:left w:val="nil"/>
              <w:bottom w:val="single" w:sz="4" w:space="0" w:color="auto"/>
              <w:right w:val="single" w:sz="4" w:space="0" w:color="auto"/>
            </w:tcBorders>
            <w:shd w:val="clear" w:color="000000" w:fill="C6EFCE"/>
            <w:vAlign w:val="center"/>
          </w:tcPr>
          <w:p w14:paraId="5D920479" w14:textId="77777777" w:rsidR="00CE3BAD" w:rsidRPr="00782BF9" w:rsidRDefault="006B5475">
            <w:pPr>
              <w:pStyle w:val="P68B1DB1-Normal29"/>
              <w:spacing w:after="0" w:line="240" w:lineRule="auto"/>
              <w:rPr>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1164" w:type="dxa"/>
            <w:tcBorders>
              <w:top w:val="nil"/>
              <w:left w:val="nil"/>
              <w:bottom w:val="single" w:sz="4" w:space="0" w:color="auto"/>
              <w:right w:val="single" w:sz="4" w:space="0" w:color="auto"/>
            </w:tcBorders>
            <w:shd w:val="clear" w:color="000000" w:fill="C6EFCE"/>
            <w:vAlign w:val="center"/>
          </w:tcPr>
          <w:p w14:paraId="45C2702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F561622" w14:textId="77777777" w:rsidR="00CE3BAD" w:rsidRPr="00782BF9" w:rsidRDefault="006B5475">
            <w:pPr>
              <w:pStyle w:val="P68B1DB1-Normal29"/>
              <w:spacing w:after="0" w:line="240" w:lineRule="auto"/>
              <w:rPr>
                <w:noProof/>
                <w:lang w:val="bg-BG"/>
              </w:rPr>
            </w:pPr>
            <w:r w:rsidRPr="00782BF9">
              <w:rPr>
                <w:noProof/>
                <w:lang w:val="bg-BG"/>
              </w:rPr>
              <w:t>Доклад относно учението за оценка на риска във връзка с почтеността</w:t>
            </w:r>
          </w:p>
        </w:tc>
      </w:tr>
      <w:tr w:rsidR="00CE3BAD" w:rsidRPr="00782BF9" w14:paraId="1CB48DB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FF25B99" w14:textId="77777777" w:rsidR="00CE3BAD" w:rsidRPr="00782BF9" w:rsidRDefault="006B5475">
            <w:pPr>
              <w:pStyle w:val="P68B1DB1-Normal29"/>
              <w:spacing w:after="0" w:line="240" w:lineRule="auto"/>
              <w:rPr>
                <w:noProof/>
                <w:lang w:val="bg-BG"/>
              </w:rPr>
            </w:pPr>
            <w:r w:rsidRPr="00782BF9">
              <w:rPr>
                <w:noProof/>
                <w:lang w:val="bg-BG"/>
              </w:rPr>
              <w:t>162</w:t>
            </w:r>
          </w:p>
        </w:tc>
        <w:tc>
          <w:tcPr>
            <w:tcW w:w="3120" w:type="dxa"/>
            <w:tcBorders>
              <w:top w:val="nil"/>
              <w:left w:val="nil"/>
              <w:bottom w:val="single" w:sz="4" w:space="0" w:color="auto"/>
              <w:right w:val="single" w:sz="4" w:space="0" w:color="auto"/>
            </w:tcBorders>
            <w:shd w:val="clear" w:color="000000" w:fill="C6EFCE"/>
            <w:vAlign w:val="center"/>
          </w:tcPr>
          <w:p w14:paraId="6FB0DD16" w14:textId="77777777" w:rsidR="00CE3BAD" w:rsidRPr="00782BF9" w:rsidRDefault="006B5475">
            <w:pPr>
              <w:pStyle w:val="P68B1DB1-Normal29"/>
              <w:spacing w:after="0" w:line="240" w:lineRule="auto"/>
              <w:rPr>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1164" w:type="dxa"/>
            <w:tcBorders>
              <w:top w:val="nil"/>
              <w:left w:val="nil"/>
              <w:bottom w:val="single" w:sz="4" w:space="0" w:color="auto"/>
              <w:right w:val="single" w:sz="4" w:space="0" w:color="auto"/>
            </w:tcBorders>
            <w:shd w:val="clear" w:color="000000" w:fill="C6EFCE"/>
            <w:vAlign w:val="center"/>
          </w:tcPr>
          <w:p w14:paraId="6F1E9365"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3097405" w14:textId="77777777" w:rsidR="00CE3BAD" w:rsidRPr="00782BF9" w:rsidRDefault="006B5475">
            <w:pPr>
              <w:pStyle w:val="P68B1DB1-Normal29"/>
              <w:spacing w:after="0" w:line="240" w:lineRule="auto"/>
              <w:rPr>
                <w:noProof/>
                <w:lang w:val="bg-BG"/>
              </w:rPr>
            </w:pPr>
            <w:r w:rsidRPr="00782BF9">
              <w:rPr>
                <w:noProof/>
                <w:lang w:val="bg-BG"/>
              </w:rPr>
              <w:t>Начало на прилагането на правомощията и компетенциите за проверка на декларациите за имуществено състояние от Органа по интегритета</w:t>
            </w:r>
          </w:p>
        </w:tc>
      </w:tr>
      <w:tr w:rsidR="00CE3BAD" w:rsidRPr="00782BF9" w14:paraId="3103D3A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5ACFA79" w14:textId="77777777" w:rsidR="00CE3BAD" w:rsidRPr="00782BF9" w:rsidRDefault="006B5475">
            <w:pPr>
              <w:pStyle w:val="P68B1DB1-Normal29"/>
              <w:spacing w:after="0" w:line="240" w:lineRule="auto"/>
              <w:rPr>
                <w:noProof/>
                <w:lang w:val="bg-BG"/>
              </w:rPr>
            </w:pPr>
            <w:r w:rsidRPr="00782BF9">
              <w:rPr>
                <w:noProof/>
                <w:lang w:val="bg-BG"/>
              </w:rPr>
              <w:t>163</w:t>
            </w:r>
          </w:p>
        </w:tc>
        <w:tc>
          <w:tcPr>
            <w:tcW w:w="3120" w:type="dxa"/>
            <w:tcBorders>
              <w:top w:val="nil"/>
              <w:left w:val="nil"/>
              <w:bottom w:val="single" w:sz="4" w:space="0" w:color="auto"/>
              <w:right w:val="single" w:sz="4" w:space="0" w:color="auto"/>
            </w:tcBorders>
            <w:shd w:val="clear" w:color="000000" w:fill="C6EFCE"/>
            <w:vAlign w:val="center"/>
          </w:tcPr>
          <w:p w14:paraId="6811DAC2" w14:textId="77777777" w:rsidR="00CE3BAD" w:rsidRPr="00782BF9" w:rsidRDefault="006B5475">
            <w:pPr>
              <w:pStyle w:val="P68B1DB1-Normal29"/>
              <w:spacing w:after="0" w:line="240" w:lineRule="auto"/>
              <w:rPr>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1164" w:type="dxa"/>
            <w:tcBorders>
              <w:top w:val="nil"/>
              <w:left w:val="nil"/>
              <w:bottom w:val="single" w:sz="4" w:space="0" w:color="auto"/>
              <w:right w:val="single" w:sz="4" w:space="0" w:color="auto"/>
            </w:tcBorders>
            <w:shd w:val="clear" w:color="000000" w:fill="C6EFCE"/>
            <w:vAlign w:val="center"/>
          </w:tcPr>
          <w:p w14:paraId="1002266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D884D22" w14:textId="77777777" w:rsidR="00CE3BAD" w:rsidRPr="00782BF9" w:rsidRDefault="006B5475">
            <w:pPr>
              <w:pStyle w:val="P68B1DB1-Normal29"/>
              <w:spacing w:after="0" w:line="240" w:lineRule="auto"/>
              <w:rPr>
                <w:noProof/>
                <w:lang w:val="bg-BG"/>
              </w:rPr>
            </w:pPr>
            <w:r w:rsidRPr="00782BF9">
              <w:rPr>
                <w:noProof/>
                <w:lang w:val="bg-BG"/>
              </w:rPr>
              <w:t>Годишният доклад за интегритета за 2022 г. е публично достъпен</w:t>
            </w:r>
          </w:p>
        </w:tc>
      </w:tr>
      <w:tr w:rsidR="00CE3BAD" w:rsidRPr="00782BF9" w14:paraId="0BDB06C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ADBF114" w14:textId="77777777" w:rsidR="00CE3BAD" w:rsidRPr="00782BF9" w:rsidRDefault="006B5475">
            <w:pPr>
              <w:pStyle w:val="P68B1DB1-Normal29"/>
              <w:spacing w:after="0" w:line="240" w:lineRule="auto"/>
              <w:rPr>
                <w:noProof/>
                <w:lang w:val="bg-BG"/>
              </w:rPr>
            </w:pPr>
            <w:r w:rsidRPr="00782BF9">
              <w:rPr>
                <w:noProof/>
                <w:lang w:val="bg-BG"/>
              </w:rPr>
              <w:t>167</w:t>
            </w:r>
          </w:p>
        </w:tc>
        <w:tc>
          <w:tcPr>
            <w:tcW w:w="3120" w:type="dxa"/>
            <w:tcBorders>
              <w:top w:val="nil"/>
              <w:left w:val="nil"/>
              <w:bottom w:val="single" w:sz="4" w:space="0" w:color="auto"/>
              <w:right w:val="single" w:sz="4" w:space="0" w:color="auto"/>
            </w:tcBorders>
            <w:shd w:val="clear" w:color="000000" w:fill="C6EFCE"/>
            <w:vAlign w:val="center"/>
          </w:tcPr>
          <w:p w14:paraId="62BC81AD" w14:textId="77777777" w:rsidR="00CE3BAD" w:rsidRPr="00782BF9" w:rsidRDefault="006B5475">
            <w:pPr>
              <w:pStyle w:val="P68B1DB1-Normal29"/>
              <w:spacing w:after="0" w:line="240" w:lineRule="auto"/>
              <w:rPr>
                <w:noProof/>
                <w:lang w:val="bg-BG"/>
              </w:rPr>
            </w:pPr>
            <w:r w:rsidRPr="00782BF9">
              <w:rPr>
                <w:noProof/>
                <w:lang w:val="bg-BG"/>
              </w:rPr>
              <w:t>C9.R2 Създаване на работна група за борба с корупцията, която да наблюдава и преразглежда мерките, предприети в Унгария за предотвратяване, разкриване, наказателно преследване и санкциониране на корупцията</w:t>
            </w:r>
          </w:p>
        </w:tc>
        <w:tc>
          <w:tcPr>
            <w:tcW w:w="1164" w:type="dxa"/>
            <w:tcBorders>
              <w:top w:val="nil"/>
              <w:left w:val="nil"/>
              <w:bottom w:val="single" w:sz="4" w:space="0" w:color="auto"/>
              <w:right w:val="single" w:sz="4" w:space="0" w:color="auto"/>
            </w:tcBorders>
            <w:shd w:val="clear" w:color="000000" w:fill="C6EFCE"/>
            <w:vAlign w:val="center"/>
          </w:tcPr>
          <w:p w14:paraId="74C7BBF6" w14:textId="77777777" w:rsidR="00CE3BAD" w:rsidRPr="00782BF9" w:rsidRDefault="006B5475">
            <w:pPr>
              <w:pStyle w:val="P68B1DB1-Normal29"/>
              <w:spacing w:after="0" w:line="240" w:lineRule="auto"/>
              <w:rPr>
                <w:noProof/>
                <w:lang w:val="bg-BG"/>
              </w:rPr>
            </w:pPr>
            <w:r w:rsidRPr="00782BF9">
              <w:rPr>
                <w:noProof/>
                <w:lang w:val="bg-BG"/>
              </w:rPr>
              <w:t>Ключов етап </w:t>
            </w:r>
          </w:p>
        </w:tc>
        <w:tc>
          <w:tcPr>
            <w:tcW w:w="3781" w:type="dxa"/>
            <w:tcBorders>
              <w:top w:val="nil"/>
              <w:left w:val="nil"/>
              <w:bottom w:val="single" w:sz="4" w:space="0" w:color="auto"/>
              <w:right w:val="single" w:sz="4" w:space="0" w:color="auto"/>
            </w:tcBorders>
            <w:shd w:val="clear" w:color="000000" w:fill="C6EFCE"/>
            <w:vAlign w:val="center"/>
          </w:tcPr>
          <w:p w14:paraId="2D82BEB6" w14:textId="77777777" w:rsidR="00CE3BAD" w:rsidRPr="00782BF9" w:rsidRDefault="006B5475">
            <w:pPr>
              <w:pStyle w:val="P68B1DB1-Normal29"/>
              <w:spacing w:after="0" w:line="240" w:lineRule="auto"/>
              <w:rPr>
                <w:noProof/>
                <w:lang w:val="bg-BG"/>
              </w:rPr>
            </w:pPr>
            <w:r w:rsidRPr="00782BF9">
              <w:rPr>
                <w:noProof/>
                <w:lang w:val="bg-BG"/>
              </w:rPr>
              <w:t>Годишният анализ на работната група за борба с корупцията за 2022 г. е публично достъпен</w:t>
            </w:r>
          </w:p>
        </w:tc>
      </w:tr>
      <w:tr w:rsidR="00CE3BAD" w:rsidRPr="00782BF9" w14:paraId="10BDB5A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CA02F79" w14:textId="77777777" w:rsidR="00CE3BAD" w:rsidRPr="00782BF9" w:rsidRDefault="006B5475">
            <w:pPr>
              <w:pStyle w:val="P68B1DB1-Normal29"/>
              <w:spacing w:after="0" w:line="240" w:lineRule="auto"/>
              <w:rPr>
                <w:noProof/>
                <w:lang w:val="bg-BG"/>
              </w:rPr>
            </w:pPr>
            <w:r w:rsidRPr="00782BF9">
              <w:rPr>
                <w:noProof/>
                <w:lang w:val="bg-BG"/>
              </w:rPr>
              <w:t>168</w:t>
            </w:r>
          </w:p>
        </w:tc>
        <w:tc>
          <w:tcPr>
            <w:tcW w:w="3120" w:type="dxa"/>
            <w:tcBorders>
              <w:top w:val="nil"/>
              <w:left w:val="nil"/>
              <w:bottom w:val="single" w:sz="4" w:space="0" w:color="auto"/>
              <w:right w:val="single" w:sz="4" w:space="0" w:color="auto"/>
            </w:tcBorders>
            <w:shd w:val="clear" w:color="000000" w:fill="C6EFCE"/>
            <w:vAlign w:val="center"/>
          </w:tcPr>
          <w:p w14:paraId="584A28B8" w14:textId="77777777" w:rsidR="00CE3BAD" w:rsidRPr="00782BF9" w:rsidRDefault="006B5475">
            <w:pPr>
              <w:pStyle w:val="P68B1DB1-Normal29"/>
              <w:spacing w:after="0" w:line="240" w:lineRule="auto"/>
              <w:rPr>
                <w:noProof/>
                <w:lang w:val="bg-BG"/>
              </w:rPr>
            </w:pPr>
            <w:r w:rsidRPr="00782BF9">
              <w:rPr>
                <w:noProof/>
                <w:lang w:val="bg-BG"/>
              </w:rPr>
              <w:t>C9.R2 Създаване на работна група за борба с корупцията, която да наблюдава и преразглежда мерките, предприети в Унгария за предотвратяване, разкриване, наказателно преследване и санкциониране на корупцията</w:t>
            </w:r>
          </w:p>
        </w:tc>
        <w:tc>
          <w:tcPr>
            <w:tcW w:w="1164" w:type="dxa"/>
            <w:tcBorders>
              <w:top w:val="nil"/>
              <w:left w:val="nil"/>
              <w:bottom w:val="single" w:sz="4" w:space="0" w:color="auto"/>
              <w:right w:val="single" w:sz="4" w:space="0" w:color="auto"/>
            </w:tcBorders>
            <w:shd w:val="clear" w:color="000000" w:fill="C6EFCE"/>
            <w:vAlign w:val="center"/>
          </w:tcPr>
          <w:p w14:paraId="30090D1C" w14:textId="77777777" w:rsidR="00CE3BAD" w:rsidRPr="00782BF9" w:rsidRDefault="006B5475">
            <w:pPr>
              <w:pStyle w:val="P68B1DB1-Normal29"/>
              <w:spacing w:after="0" w:line="240" w:lineRule="auto"/>
              <w:rPr>
                <w:noProof/>
                <w:lang w:val="bg-BG"/>
              </w:rPr>
            </w:pPr>
            <w:r w:rsidRPr="00782BF9">
              <w:rPr>
                <w:noProof/>
                <w:lang w:val="bg-BG"/>
              </w:rPr>
              <w:t>Ключов етап </w:t>
            </w:r>
          </w:p>
        </w:tc>
        <w:tc>
          <w:tcPr>
            <w:tcW w:w="3781" w:type="dxa"/>
            <w:tcBorders>
              <w:top w:val="nil"/>
              <w:left w:val="nil"/>
              <w:bottom w:val="single" w:sz="4" w:space="0" w:color="auto"/>
              <w:right w:val="single" w:sz="4" w:space="0" w:color="auto"/>
            </w:tcBorders>
            <w:shd w:val="clear" w:color="000000" w:fill="C6EFCE"/>
            <w:vAlign w:val="center"/>
          </w:tcPr>
          <w:p w14:paraId="6648C515" w14:textId="77777777" w:rsidR="00CE3BAD" w:rsidRPr="00782BF9" w:rsidRDefault="006B5475">
            <w:pPr>
              <w:pStyle w:val="P68B1DB1-Normal29"/>
              <w:spacing w:after="0" w:line="240" w:lineRule="auto"/>
              <w:rPr>
                <w:noProof/>
                <w:lang w:val="bg-BG"/>
              </w:rPr>
            </w:pPr>
            <w:r w:rsidRPr="00782BF9">
              <w:rPr>
                <w:noProof/>
                <w:lang w:val="bg-BG"/>
              </w:rPr>
              <w:t>Правителството разглежда първия доклад на работната група</w:t>
            </w:r>
          </w:p>
        </w:tc>
      </w:tr>
      <w:tr w:rsidR="00CE3BAD" w:rsidRPr="00782BF9" w14:paraId="02A475B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8EDDD1E" w14:textId="77777777" w:rsidR="00CE3BAD" w:rsidRPr="00782BF9" w:rsidRDefault="006B5475">
            <w:pPr>
              <w:pStyle w:val="P68B1DB1-Normal29"/>
              <w:spacing w:after="0" w:line="240" w:lineRule="auto"/>
              <w:rPr>
                <w:noProof/>
                <w:lang w:val="bg-BG"/>
              </w:rPr>
            </w:pPr>
            <w:r w:rsidRPr="00782BF9">
              <w:rPr>
                <w:noProof/>
                <w:lang w:val="bg-BG"/>
              </w:rPr>
              <w:t>172</w:t>
            </w:r>
          </w:p>
        </w:tc>
        <w:tc>
          <w:tcPr>
            <w:tcW w:w="3120" w:type="dxa"/>
            <w:tcBorders>
              <w:top w:val="nil"/>
              <w:left w:val="nil"/>
              <w:bottom w:val="single" w:sz="4" w:space="0" w:color="auto"/>
              <w:right w:val="single" w:sz="4" w:space="0" w:color="auto"/>
            </w:tcBorders>
            <w:shd w:val="clear" w:color="000000" w:fill="C6EFCE"/>
            <w:vAlign w:val="center"/>
          </w:tcPr>
          <w:p w14:paraId="3848BCDD" w14:textId="77777777" w:rsidR="00CE3BAD" w:rsidRPr="00782BF9" w:rsidRDefault="006B5475">
            <w:pPr>
              <w:pStyle w:val="P68B1DB1-Normal29"/>
              <w:spacing w:after="0" w:line="240" w:lineRule="auto"/>
              <w:rPr>
                <w:noProof/>
                <w:lang w:val="bg-BG"/>
              </w:rPr>
            </w:pPr>
            <w:r w:rsidRPr="00782BF9">
              <w:rPr>
                <w:noProof/>
                <w:lang w:val="bg-BG"/>
              </w:rPr>
              <w:t>C9.R4 Укрепване на правилата, свързани с декларациите за имущественото състояние</w:t>
            </w:r>
          </w:p>
        </w:tc>
        <w:tc>
          <w:tcPr>
            <w:tcW w:w="1164" w:type="dxa"/>
            <w:tcBorders>
              <w:top w:val="nil"/>
              <w:left w:val="nil"/>
              <w:bottom w:val="single" w:sz="4" w:space="0" w:color="auto"/>
              <w:right w:val="single" w:sz="4" w:space="0" w:color="auto"/>
            </w:tcBorders>
            <w:shd w:val="clear" w:color="000000" w:fill="C6EFCE"/>
            <w:vAlign w:val="center"/>
          </w:tcPr>
          <w:p w14:paraId="5982328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2D8CFB0" w14:textId="77777777" w:rsidR="00CE3BAD" w:rsidRPr="00782BF9" w:rsidRDefault="006B5475">
            <w:pPr>
              <w:pStyle w:val="P68B1DB1-Normal29"/>
              <w:spacing w:after="0" w:line="240" w:lineRule="auto"/>
              <w:rPr>
                <w:noProof/>
                <w:lang w:val="bg-BG"/>
              </w:rPr>
            </w:pPr>
            <w:r w:rsidRPr="00782BF9">
              <w:rPr>
                <w:noProof/>
                <w:lang w:val="bg-BG"/>
              </w:rPr>
              <w:t>Създаване на нова система за електронно подаване на декларации за имущественото състояние в цифров формат и публична база данни за декларациите за имущественото състояние</w:t>
            </w:r>
          </w:p>
        </w:tc>
      </w:tr>
      <w:tr w:rsidR="00CE3BAD" w:rsidRPr="00782BF9" w14:paraId="673AFC2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A43F0B9" w14:textId="77777777" w:rsidR="00CE3BAD" w:rsidRPr="00782BF9" w:rsidRDefault="006B5475">
            <w:pPr>
              <w:pStyle w:val="P68B1DB1-Normal29"/>
              <w:spacing w:after="0" w:line="240" w:lineRule="auto"/>
              <w:rPr>
                <w:noProof/>
                <w:lang w:val="bg-BG"/>
              </w:rPr>
            </w:pPr>
            <w:r w:rsidRPr="00782BF9">
              <w:rPr>
                <w:noProof/>
                <w:lang w:val="bg-BG"/>
              </w:rPr>
              <w:t>176</w:t>
            </w:r>
          </w:p>
        </w:tc>
        <w:tc>
          <w:tcPr>
            <w:tcW w:w="3120" w:type="dxa"/>
            <w:tcBorders>
              <w:top w:val="nil"/>
              <w:left w:val="nil"/>
              <w:bottom w:val="single" w:sz="4" w:space="0" w:color="auto"/>
              <w:right w:val="single" w:sz="4" w:space="0" w:color="auto"/>
            </w:tcBorders>
            <w:shd w:val="clear" w:color="000000" w:fill="C6EFCE"/>
            <w:vAlign w:val="center"/>
          </w:tcPr>
          <w:p w14:paraId="1B76D8DB" w14:textId="77777777" w:rsidR="00CE3BAD" w:rsidRPr="00782BF9" w:rsidRDefault="006B5475">
            <w:pPr>
              <w:pStyle w:val="P68B1DB1-Normal29"/>
              <w:spacing w:after="0" w:line="240" w:lineRule="auto"/>
              <w:rPr>
                <w:noProof/>
                <w:lang w:val="bg-BG"/>
              </w:rPr>
            </w:pPr>
            <w:r w:rsidRPr="00782BF9">
              <w:rPr>
                <w:noProof/>
                <w:lang w:val="bg-BG"/>
              </w:rPr>
              <w:t>C9.R6 Повишаване на прозрачността на публичните разходи</w:t>
            </w:r>
          </w:p>
        </w:tc>
        <w:tc>
          <w:tcPr>
            <w:tcW w:w="1164" w:type="dxa"/>
            <w:tcBorders>
              <w:top w:val="nil"/>
              <w:left w:val="nil"/>
              <w:bottom w:val="single" w:sz="4" w:space="0" w:color="auto"/>
              <w:right w:val="single" w:sz="4" w:space="0" w:color="auto"/>
            </w:tcBorders>
            <w:shd w:val="clear" w:color="000000" w:fill="C6EFCE"/>
            <w:vAlign w:val="center"/>
          </w:tcPr>
          <w:p w14:paraId="396A067A"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38743A6" w14:textId="77777777" w:rsidR="00CE3BAD" w:rsidRPr="00782BF9" w:rsidRDefault="006B5475">
            <w:pPr>
              <w:pStyle w:val="P68B1DB1-Normal29"/>
              <w:spacing w:after="0" w:line="240" w:lineRule="auto"/>
              <w:rPr>
                <w:noProof/>
                <w:lang w:val="bg-BG"/>
              </w:rPr>
            </w:pPr>
            <w:r w:rsidRPr="00782BF9">
              <w:rPr>
                <w:noProof/>
                <w:lang w:val="bg-BG"/>
              </w:rPr>
              <w:t>Централният регистър, създаден в рамките на коригиращите мерки в процедурата за обвързаност с условия, е напълно функциониращ и пълният набор от изисквана информация е на разположение в него</w:t>
            </w:r>
          </w:p>
        </w:tc>
      </w:tr>
      <w:tr w:rsidR="00CE3BAD" w:rsidRPr="00782BF9" w14:paraId="2BEED27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CE8AE53" w14:textId="77777777" w:rsidR="00CE3BAD" w:rsidRPr="00782BF9" w:rsidRDefault="006B5475">
            <w:pPr>
              <w:pStyle w:val="P68B1DB1-Normal29"/>
              <w:spacing w:after="0" w:line="240" w:lineRule="auto"/>
              <w:rPr>
                <w:noProof/>
                <w:lang w:val="bg-BG"/>
              </w:rPr>
            </w:pPr>
            <w:r w:rsidRPr="00782BF9">
              <w:rPr>
                <w:noProof/>
                <w:lang w:val="bg-BG"/>
              </w:rPr>
              <w:t>177</w:t>
            </w:r>
          </w:p>
        </w:tc>
        <w:tc>
          <w:tcPr>
            <w:tcW w:w="3120" w:type="dxa"/>
            <w:tcBorders>
              <w:top w:val="nil"/>
              <w:left w:val="nil"/>
              <w:bottom w:val="single" w:sz="4" w:space="0" w:color="auto"/>
              <w:right w:val="single" w:sz="4" w:space="0" w:color="auto"/>
            </w:tcBorders>
            <w:shd w:val="clear" w:color="000000" w:fill="C6EFCE"/>
            <w:vAlign w:val="center"/>
          </w:tcPr>
          <w:p w14:paraId="65748289" w14:textId="77777777" w:rsidR="00CE3BAD" w:rsidRPr="00782BF9" w:rsidRDefault="006B5475">
            <w:pPr>
              <w:pStyle w:val="P68B1DB1-Normal29"/>
              <w:spacing w:after="0" w:line="240" w:lineRule="auto"/>
              <w:rPr>
                <w:noProof/>
                <w:lang w:val="bg-BG"/>
              </w:rPr>
            </w:pPr>
            <w:r w:rsidRPr="00782BF9">
              <w:rPr>
                <w:noProof/>
                <w:lang w:val="bg-BG"/>
              </w:rPr>
              <w:t>C9.R7 Разработване и прилагане на национална стратегия и план за действие за борба с корупцията</w:t>
            </w:r>
          </w:p>
        </w:tc>
        <w:tc>
          <w:tcPr>
            <w:tcW w:w="1164" w:type="dxa"/>
            <w:tcBorders>
              <w:top w:val="nil"/>
              <w:left w:val="nil"/>
              <w:bottom w:val="single" w:sz="4" w:space="0" w:color="auto"/>
              <w:right w:val="single" w:sz="4" w:space="0" w:color="auto"/>
            </w:tcBorders>
            <w:shd w:val="clear" w:color="000000" w:fill="C6EFCE"/>
            <w:vAlign w:val="center"/>
          </w:tcPr>
          <w:p w14:paraId="41C0C08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AA7A197" w14:textId="77777777" w:rsidR="00CE3BAD" w:rsidRPr="00782BF9" w:rsidRDefault="006B5475">
            <w:pPr>
              <w:pStyle w:val="P68B1DB1-Normal29"/>
              <w:spacing w:after="0" w:line="240" w:lineRule="auto"/>
              <w:rPr>
                <w:noProof/>
                <w:lang w:val="bg-BG"/>
              </w:rPr>
            </w:pPr>
            <w:r w:rsidRPr="00782BF9">
              <w:rPr>
                <w:noProof/>
                <w:lang w:val="bg-BG"/>
              </w:rPr>
              <w:t>Укрепване на рамката за борба с корупцията в Унгария чрез изпълнение на конкретни действия в рамките на националната стратегия за борба с корупцията и свързания с нея план за действие за периода 2020—2022 г.</w:t>
            </w:r>
          </w:p>
        </w:tc>
      </w:tr>
      <w:tr w:rsidR="00CE3BAD" w:rsidRPr="00782BF9" w14:paraId="05F4F83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40C999D" w14:textId="77777777" w:rsidR="00CE3BAD" w:rsidRPr="00782BF9" w:rsidRDefault="006B5475">
            <w:pPr>
              <w:pStyle w:val="P68B1DB1-Normal29"/>
              <w:spacing w:after="0" w:line="240" w:lineRule="auto"/>
              <w:rPr>
                <w:noProof/>
                <w:lang w:val="bg-BG"/>
              </w:rPr>
            </w:pPr>
            <w:r w:rsidRPr="00782BF9">
              <w:rPr>
                <w:noProof/>
                <w:lang w:val="bg-BG"/>
              </w:rPr>
              <w:t>178</w:t>
            </w:r>
          </w:p>
        </w:tc>
        <w:tc>
          <w:tcPr>
            <w:tcW w:w="3120" w:type="dxa"/>
            <w:tcBorders>
              <w:top w:val="nil"/>
              <w:left w:val="nil"/>
              <w:bottom w:val="single" w:sz="4" w:space="0" w:color="auto"/>
              <w:right w:val="single" w:sz="4" w:space="0" w:color="auto"/>
            </w:tcBorders>
            <w:shd w:val="clear" w:color="000000" w:fill="C6EFCE"/>
            <w:vAlign w:val="center"/>
          </w:tcPr>
          <w:p w14:paraId="726DDDF8" w14:textId="77777777" w:rsidR="00CE3BAD" w:rsidRPr="00782BF9" w:rsidRDefault="006B5475">
            <w:pPr>
              <w:pStyle w:val="P68B1DB1-Normal29"/>
              <w:spacing w:after="0" w:line="240" w:lineRule="auto"/>
              <w:rPr>
                <w:noProof/>
                <w:lang w:val="bg-BG"/>
              </w:rPr>
            </w:pPr>
            <w:r w:rsidRPr="00782BF9">
              <w:rPr>
                <w:noProof/>
                <w:lang w:val="bg-BG"/>
              </w:rPr>
              <w:t>C9.R7 Разработване и прилагане на национална стратегия и план за действие за борба с корупцията</w:t>
            </w:r>
          </w:p>
        </w:tc>
        <w:tc>
          <w:tcPr>
            <w:tcW w:w="1164" w:type="dxa"/>
            <w:tcBorders>
              <w:top w:val="nil"/>
              <w:left w:val="nil"/>
              <w:bottom w:val="single" w:sz="4" w:space="0" w:color="auto"/>
              <w:right w:val="single" w:sz="4" w:space="0" w:color="auto"/>
            </w:tcBorders>
            <w:shd w:val="clear" w:color="000000" w:fill="C6EFCE"/>
            <w:vAlign w:val="center"/>
          </w:tcPr>
          <w:p w14:paraId="7BE96D4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51306B4" w14:textId="77777777" w:rsidR="00CE3BAD" w:rsidRPr="00782BF9" w:rsidRDefault="006B5475">
            <w:pPr>
              <w:pStyle w:val="P68B1DB1-Normal29"/>
              <w:spacing w:after="0" w:line="240" w:lineRule="auto"/>
              <w:rPr>
                <w:noProof/>
                <w:lang w:val="bg-BG"/>
              </w:rPr>
            </w:pPr>
            <w:r w:rsidRPr="00782BF9">
              <w:rPr>
                <w:noProof/>
                <w:lang w:val="bg-BG"/>
              </w:rPr>
              <w:t>Укрепване на рамката за борба с корупцията в Унгария чрез въвеждане на нова национална стратегия за борба с корупцията и свързан с нея план за действие</w:t>
            </w:r>
          </w:p>
        </w:tc>
      </w:tr>
      <w:tr w:rsidR="00CE3BAD" w:rsidRPr="00782BF9" w14:paraId="2F400FD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1E415A0" w14:textId="77777777" w:rsidR="00CE3BAD" w:rsidRPr="00782BF9" w:rsidRDefault="006B5475">
            <w:pPr>
              <w:pStyle w:val="P68B1DB1-Normal29"/>
              <w:spacing w:after="0" w:line="240" w:lineRule="auto"/>
              <w:rPr>
                <w:noProof/>
                <w:lang w:val="bg-BG"/>
              </w:rPr>
            </w:pPr>
            <w:r w:rsidRPr="00782BF9">
              <w:rPr>
                <w:noProof/>
                <w:lang w:val="bg-BG"/>
              </w:rPr>
              <w:t>185</w:t>
            </w:r>
          </w:p>
        </w:tc>
        <w:tc>
          <w:tcPr>
            <w:tcW w:w="3120" w:type="dxa"/>
            <w:tcBorders>
              <w:top w:val="nil"/>
              <w:left w:val="nil"/>
              <w:bottom w:val="single" w:sz="4" w:space="0" w:color="auto"/>
              <w:right w:val="single" w:sz="4" w:space="0" w:color="auto"/>
            </w:tcBorders>
            <w:shd w:val="clear" w:color="000000" w:fill="C6EFCE"/>
            <w:vAlign w:val="center"/>
          </w:tcPr>
          <w:p w14:paraId="461E7052"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18C7C16C"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2541896" w14:textId="77777777" w:rsidR="00CE3BAD" w:rsidRPr="00782BF9" w:rsidRDefault="006B5475">
            <w:pPr>
              <w:pStyle w:val="P68B1DB1-Normal29"/>
              <w:spacing w:after="0" w:line="240" w:lineRule="auto"/>
              <w:rPr>
                <w:noProof/>
                <w:lang w:val="bg-BG"/>
              </w:rPr>
            </w:pPr>
            <w:r w:rsidRPr="00782BF9">
              <w:rPr>
                <w:noProof/>
                <w:lang w:val="bg-BG"/>
              </w:rPr>
              <w:t>Делът на тръжните процедури с една оферта за обществени поръчки, финансирани с подкрепа от Съюза, не надвишава 15 %</w:t>
            </w:r>
          </w:p>
        </w:tc>
      </w:tr>
      <w:tr w:rsidR="00CE3BAD" w:rsidRPr="00782BF9" w14:paraId="6642144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7AD0479" w14:textId="77777777" w:rsidR="00CE3BAD" w:rsidRPr="00782BF9" w:rsidRDefault="006B5475">
            <w:pPr>
              <w:pStyle w:val="P68B1DB1-Normal29"/>
              <w:spacing w:after="0" w:line="240" w:lineRule="auto"/>
              <w:rPr>
                <w:noProof/>
                <w:lang w:val="bg-BG"/>
              </w:rPr>
            </w:pPr>
            <w:r w:rsidRPr="00782BF9">
              <w:rPr>
                <w:noProof/>
                <w:lang w:val="bg-BG"/>
              </w:rPr>
              <w:t>186</w:t>
            </w:r>
          </w:p>
        </w:tc>
        <w:tc>
          <w:tcPr>
            <w:tcW w:w="3120" w:type="dxa"/>
            <w:tcBorders>
              <w:top w:val="nil"/>
              <w:left w:val="nil"/>
              <w:bottom w:val="single" w:sz="4" w:space="0" w:color="auto"/>
              <w:right w:val="single" w:sz="4" w:space="0" w:color="auto"/>
            </w:tcBorders>
            <w:shd w:val="clear" w:color="000000" w:fill="C6EFCE"/>
            <w:vAlign w:val="center"/>
          </w:tcPr>
          <w:p w14:paraId="53916D79"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0D219ACB"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D3C1D6F" w14:textId="77777777" w:rsidR="00CE3BAD" w:rsidRPr="00782BF9" w:rsidRDefault="006B5475">
            <w:pPr>
              <w:pStyle w:val="P68B1DB1-Normal29"/>
              <w:spacing w:after="0" w:line="240" w:lineRule="auto"/>
              <w:rPr>
                <w:noProof/>
                <w:lang w:val="bg-BG"/>
              </w:rPr>
            </w:pPr>
            <w:r w:rsidRPr="00782BF9">
              <w:rPr>
                <w:noProof/>
                <w:lang w:val="bg-BG"/>
              </w:rPr>
              <w:t>Делът на тръжните процедури с една оферта за обществени поръчки, финансирани с национални ресурси, не надвишава 32 %</w:t>
            </w:r>
          </w:p>
        </w:tc>
      </w:tr>
      <w:tr w:rsidR="00CE3BAD" w:rsidRPr="00782BF9" w14:paraId="51825FF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01193CF" w14:textId="77777777" w:rsidR="00CE3BAD" w:rsidRPr="00782BF9" w:rsidRDefault="006B5475">
            <w:pPr>
              <w:pStyle w:val="P68B1DB1-Normal29"/>
              <w:spacing w:after="0" w:line="240" w:lineRule="auto"/>
              <w:rPr>
                <w:noProof/>
                <w:lang w:val="bg-BG"/>
              </w:rPr>
            </w:pPr>
            <w:r w:rsidRPr="00782BF9">
              <w:rPr>
                <w:noProof/>
                <w:lang w:val="bg-BG"/>
              </w:rPr>
              <w:t>196</w:t>
            </w:r>
          </w:p>
        </w:tc>
        <w:tc>
          <w:tcPr>
            <w:tcW w:w="3120" w:type="dxa"/>
            <w:tcBorders>
              <w:top w:val="nil"/>
              <w:left w:val="nil"/>
              <w:bottom w:val="single" w:sz="4" w:space="0" w:color="auto"/>
              <w:right w:val="single" w:sz="4" w:space="0" w:color="auto"/>
            </w:tcBorders>
            <w:shd w:val="clear" w:color="000000" w:fill="C6EFCE"/>
            <w:vAlign w:val="center"/>
          </w:tcPr>
          <w:p w14:paraId="0D602AC5"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3D556E6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1785C87" w14:textId="77777777" w:rsidR="00CE3BAD" w:rsidRPr="00782BF9" w:rsidRDefault="006B5475">
            <w:pPr>
              <w:pStyle w:val="P68B1DB1-Normal29"/>
              <w:spacing w:after="0" w:line="240" w:lineRule="auto"/>
              <w:rPr>
                <w:noProof/>
                <w:lang w:val="bg-BG"/>
              </w:rPr>
            </w:pPr>
            <w:r w:rsidRPr="00782BF9">
              <w:rPr>
                <w:noProof/>
                <w:lang w:val="bg-BG"/>
              </w:rPr>
              <w:t>Предоставя се първият доклад, основаващ се на „инструмента за докладване въз основа на една оферта“</w:t>
            </w:r>
          </w:p>
        </w:tc>
      </w:tr>
      <w:tr w:rsidR="00CE3BAD" w:rsidRPr="00782BF9" w14:paraId="7E12824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1A9488D" w14:textId="77777777" w:rsidR="00CE3BAD" w:rsidRPr="00782BF9" w:rsidRDefault="006B5475">
            <w:pPr>
              <w:pStyle w:val="P68B1DB1-Normal29"/>
              <w:spacing w:after="0" w:line="240" w:lineRule="auto"/>
              <w:rPr>
                <w:noProof/>
                <w:lang w:val="bg-BG"/>
              </w:rPr>
            </w:pPr>
            <w:r w:rsidRPr="00782BF9">
              <w:rPr>
                <w:noProof/>
                <w:lang w:val="bg-BG"/>
              </w:rPr>
              <w:t>199</w:t>
            </w:r>
          </w:p>
        </w:tc>
        <w:tc>
          <w:tcPr>
            <w:tcW w:w="3120" w:type="dxa"/>
            <w:tcBorders>
              <w:top w:val="nil"/>
              <w:left w:val="nil"/>
              <w:bottom w:val="single" w:sz="4" w:space="0" w:color="auto"/>
              <w:right w:val="single" w:sz="4" w:space="0" w:color="auto"/>
            </w:tcBorders>
            <w:shd w:val="clear" w:color="000000" w:fill="C6EFCE"/>
            <w:vAlign w:val="center"/>
          </w:tcPr>
          <w:p w14:paraId="26510252" w14:textId="77777777" w:rsidR="00CE3BAD" w:rsidRPr="00782BF9" w:rsidRDefault="006B5475">
            <w:pPr>
              <w:pStyle w:val="P68B1DB1-Normal29"/>
              <w:spacing w:after="0" w:line="240" w:lineRule="auto"/>
              <w:rPr>
                <w:noProof/>
                <w:lang w:val="bg-BG"/>
              </w:rPr>
            </w:pPr>
            <w:r w:rsidRPr="00782BF9">
              <w:rPr>
                <w:noProof/>
                <w:lang w:val="bg-BG"/>
              </w:rPr>
              <w:t>C9.R11 Разработване на електронната система за обществени поръчки (ЕОП) с цел повишаване на прозрачността</w:t>
            </w:r>
          </w:p>
        </w:tc>
        <w:tc>
          <w:tcPr>
            <w:tcW w:w="1164" w:type="dxa"/>
            <w:tcBorders>
              <w:top w:val="nil"/>
              <w:left w:val="nil"/>
              <w:bottom w:val="single" w:sz="4" w:space="0" w:color="auto"/>
              <w:right w:val="single" w:sz="4" w:space="0" w:color="auto"/>
            </w:tcBorders>
            <w:shd w:val="clear" w:color="000000" w:fill="C6EFCE"/>
            <w:vAlign w:val="center"/>
          </w:tcPr>
          <w:p w14:paraId="0CD2C70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D292238" w14:textId="77777777" w:rsidR="00CE3BAD" w:rsidRPr="00782BF9" w:rsidRDefault="006B5475">
            <w:pPr>
              <w:pStyle w:val="P68B1DB1-Normal29"/>
              <w:spacing w:after="0" w:line="240" w:lineRule="auto"/>
              <w:rPr>
                <w:noProof/>
                <w:lang w:val="bg-BG"/>
              </w:rPr>
            </w:pPr>
            <w:r w:rsidRPr="00782BF9">
              <w:rPr>
                <w:noProof/>
                <w:lang w:val="bg-BG"/>
              </w:rPr>
              <w:t>Функциите на ЕОП, позволяващи структурирано търсене и масово експортиране на данни от обявленията за възлагане на обществени поръчки от 1 януари 2014 г., са на разположение на обществеността</w:t>
            </w:r>
          </w:p>
        </w:tc>
      </w:tr>
      <w:tr w:rsidR="00CE3BAD" w:rsidRPr="00782BF9" w14:paraId="0D3BAC3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71DBA83" w14:textId="77777777" w:rsidR="00CE3BAD" w:rsidRPr="00782BF9" w:rsidRDefault="006B5475">
            <w:pPr>
              <w:pStyle w:val="P68B1DB1-Normal29"/>
              <w:spacing w:after="0" w:line="240" w:lineRule="auto"/>
              <w:rPr>
                <w:noProof/>
                <w:lang w:val="bg-BG"/>
              </w:rPr>
            </w:pPr>
            <w:r w:rsidRPr="00782BF9">
              <w:rPr>
                <w:noProof/>
                <w:lang w:val="bg-BG"/>
              </w:rPr>
              <w:t>202</w:t>
            </w:r>
          </w:p>
        </w:tc>
        <w:tc>
          <w:tcPr>
            <w:tcW w:w="3120" w:type="dxa"/>
            <w:tcBorders>
              <w:top w:val="nil"/>
              <w:left w:val="nil"/>
              <w:bottom w:val="single" w:sz="4" w:space="0" w:color="auto"/>
              <w:right w:val="single" w:sz="4" w:space="0" w:color="auto"/>
            </w:tcBorders>
            <w:shd w:val="clear" w:color="000000" w:fill="C6EFCE"/>
            <w:vAlign w:val="center"/>
          </w:tcPr>
          <w:p w14:paraId="3A88F4DA" w14:textId="77777777" w:rsidR="00CE3BAD" w:rsidRPr="00782BF9" w:rsidRDefault="006B5475">
            <w:pPr>
              <w:pStyle w:val="P68B1DB1-Normal29"/>
              <w:spacing w:after="0" w:line="240" w:lineRule="auto"/>
              <w:rPr>
                <w:noProof/>
                <w:lang w:val="bg-BG"/>
              </w:rPr>
            </w:pPr>
            <w:r w:rsidRPr="00782BF9">
              <w:rPr>
                <w:noProof/>
                <w:lang w:val="bg-BG"/>
              </w:rPr>
              <w:t>C9.R12 Рамка за измерване на изпълнението при обществените поръчки</w:t>
            </w:r>
          </w:p>
        </w:tc>
        <w:tc>
          <w:tcPr>
            <w:tcW w:w="1164" w:type="dxa"/>
            <w:tcBorders>
              <w:top w:val="nil"/>
              <w:left w:val="nil"/>
              <w:bottom w:val="single" w:sz="4" w:space="0" w:color="auto"/>
              <w:right w:val="single" w:sz="4" w:space="0" w:color="auto"/>
            </w:tcBorders>
            <w:shd w:val="clear" w:color="000000" w:fill="C6EFCE"/>
            <w:vAlign w:val="center"/>
          </w:tcPr>
          <w:p w14:paraId="3326310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B34A21A" w14:textId="77777777" w:rsidR="00CE3BAD" w:rsidRPr="00782BF9" w:rsidRDefault="006B5475">
            <w:pPr>
              <w:pStyle w:val="P68B1DB1-Normal29"/>
              <w:spacing w:after="0" w:line="240" w:lineRule="auto"/>
              <w:rPr>
                <w:noProof/>
                <w:lang w:val="bg-BG"/>
              </w:rPr>
            </w:pPr>
            <w:r w:rsidRPr="00782BF9">
              <w:rPr>
                <w:noProof/>
                <w:lang w:val="bg-BG"/>
              </w:rPr>
              <w:t>Първи годишен анализ, извършен съгласно рамката за измерване на изпълнението на обществените поръчки</w:t>
            </w:r>
          </w:p>
        </w:tc>
      </w:tr>
      <w:tr w:rsidR="00CE3BAD" w:rsidRPr="00782BF9" w14:paraId="27CB78C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54B9679" w14:textId="77777777" w:rsidR="00CE3BAD" w:rsidRPr="00782BF9" w:rsidRDefault="006B5475">
            <w:pPr>
              <w:pStyle w:val="P68B1DB1-Normal29"/>
              <w:spacing w:after="0" w:line="240" w:lineRule="auto"/>
              <w:rPr>
                <w:noProof/>
                <w:lang w:val="bg-BG"/>
              </w:rPr>
            </w:pPr>
            <w:r w:rsidRPr="00782BF9">
              <w:rPr>
                <w:noProof/>
                <w:lang w:val="bg-BG"/>
              </w:rPr>
              <w:t>203</w:t>
            </w:r>
          </w:p>
        </w:tc>
        <w:tc>
          <w:tcPr>
            <w:tcW w:w="3120" w:type="dxa"/>
            <w:tcBorders>
              <w:top w:val="nil"/>
              <w:left w:val="nil"/>
              <w:bottom w:val="single" w:sz="4" w:space="0" w:color="auto"/>
              <w:right w:val="single" w:sz="4" w:space="0" w:color="auto"/>
            </w:tcBorders>
            <w:shd w:val="clear" w:color="000000" w:fill="C6EFCE"/>
            <w:vAlign w:val="center"/>
          </w:tcPr>
          <w:p w14:paraId="7FD87286" w14:textId="77777777" w:rsidR="00CE3BAD" w:rsidRPr="00782BF9" w:rsidRDefault="006B5475">
            <w:pPr>
              <w:pStyle w:val="P68B1DB1-Normal29"/>
              <w:spacing w:after="0" w:line="240" w:lineRule="auto"/>
              <w:rPr>
                <w:noProof/>
                <w:lang w:val="bg-BG"/>
              </w:rPr>
            </w:pPr>
            <w:r w:rsidRPr="00782BF9">
              <w:rPr>
                <w:noProof/>
                <w:lang w:val="bg-BG"/>
              </w:rPr>
              <w:t>C9.R13 План за действие за повишаване на равнището на конкуренция в областта на обществените поръчки</w:t>
            </w:r>
          </w:p>
        </w:tc>
        <w:tc>
          <w:tcPr>
            <w:tcW w:w="1164" w:type="dxa"/>
            <w:tcBorders>
              <w:top w:val="nil"/>
              <w:left w:val="nil"/>
              <w:bottom w:val="single" w:sz="4" w:space="0" w:color="auto"/>
              <w:right w:val="single" w:sz="4" w:space="0" w:color="auto"/>
            </w:tcBorders>
            <w:shd w:val="clear" w:color="000000" w:fill="C6EFCE"/>
            <w:vAlign w:val="center"/>
          </w:tcPr>
          <w:p w14:paraId="2DAE8554"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781" w:type="dxa"/>
            <w:tcBorders>
              <w:top w:val="nil"/>
              <w:left w:val="nil"/>
              <w:bottom w:val="single" w:sz="4" w:space="0" w:color="auto"/>
              <w:right w:val="single" w:sz="4" w:space="0" w:color="auto"/>
            </w:tcBorders>
            <w:shd w:val="clear" w:color="000000" w:fill="C6EFCE"/>
            <w:vAlign w:val="center"/>
          </w:tcPr>
          <w:p w14:paraId="1B3DAABB" w14:textId="77777777" w:rsidR="00CE3BAD" w:rsidRPr="00782BF9" w:rsidRDefault="006B5475">
            <w:pPr>
              <w:pStyle w:val="P68B1DB1-Normal29"/>
              <w:spacing w:after="0" w:line="240" w:lineRule="auto"/>
              <w:rPr>
                <w:noProof/>
                <w:lang w:val="bg-BG"/>
              </w:rPr>
            </w:pPr>
            <w:r w:rsidRPr="00782BF9">
              <w:rPr>
                <w:noProof/>
                <w:lang w:val="bg-BG"/>
              </w:rPr>
              <w:t xml:space="preserve">Приемане на план за действие за повишаване на равнището на конкуренция при обществените поръчки </w:t>
            </w:r>
          </w:p>
        </w:tc>
      </w:tr>
      <w:tr w:rsidR="00CE3BAD" w:rsidRPr="00782BF9" w14:paraId="47C12B7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3E5A158" w14:textId="77777777" w:rsidR="00CE3BAD" w:rsidRPr="00782BF9" w:rsidRDefault="006B5475">
            <w:pPr>
              <w:pStyle w:val="P68B1DB1-Normal29"/>
              <w:spacing w:after="0" w:line="240" w:lineRule="auto"/>
              <w:rPr>
                <w:noProof/>
                <w:lang w:val="bg-BG"/>
              </w:rPr>
            </w:pPr>
            <w:r w:rsidRPr="00782BF9">
              <w:rPr>
                <w:noProof/>
                <w:lang w:val="bg-BG"/>
              </w:rPr>
              <w:t>205</w:t>
            </w:r>
          </w:p>
        </w:tc>
        <w:tc>
          <w:tcPr>
            <w:tcW w:w="3120" w:type="dxa"/>
            <w:tcBorders>
              <w:top w:val="nil"/>
              <w:left w:val="nil"/>
              <w:bottom w:val="single" w:sz="4" w:space="0" w:color="auto"/>
              <w:right w:val="single" w:sz="4" w:space="0" w:color="auto"/>
            </w:tcBorders>
            <w:shd w:val="clear" w:color="000000" w:fill="C6EFCE"/>
            <w:vAlign w:val="center"/>
          </w:tcPr>
          <w:p w14:paraId="5B6B7D24" w14:textId="77777777" w:rsidR="00CE3BAD" w:rsidRPr="00782BF9" w:rsidRDefault="006B5475">
            <w:pPr>
              <w:pStyle w:val="P68B1DB1-Normal29"/>
              <w:spacing w:after="0" w:line="240" w:lineRule="auto"/>
              <w:rPr>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1164" w:type="dxa"/>
            <w:tcBorders>
              <w:top w:val="nil"/>
              <w:left w:val="nil"/>
              <w:bottom w:val="single" w:sz="4" w:space="0" w:color="auto"/>
              <w:right w:val="single" w:sz="4" w:space="0" w:color="auto"/>
            </w:tcBorders>
            <w:shd w:val="clear" w:color="000000" w:fill="C6EFCE"/>
            <w:vAlign w:val="center"/>
          </w:tcPr>
          <w:p w14:paraId="45ACB58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DBDDC82" w14:textId="77777777" w:rsidR="00CE3BAD" w:rsidRPr="00782BF9" w:rsidRDefault="006B5475">
            <w:pPr>
              <w:pStyle w:val="P68B1DB1-Normal29"/>
              <w:spacing w:after="0" w:line="240" w:lineRule="auto"/>
              <w:rPr>
                <w:noProof/>
                <w:lang w:val="bg-BG"/>
              </w:rPr>
            </w:pPr>
            <w:r w:rsidRPr="00782BF9">
              <w:rPr>
                <w:noProof/>
                <w:lang w:val="bg-BG"/>
              </w:rPr>
              <w:t>Стартиране на схема за обучение за улесняване на участието на микро-, малки и средни предприятия в процедури за възлагане на обществени поръчки</w:t>
            </w:r>
          </w:p>
        </w:tc>
      </w:tr>
      <w:tr w:rsidR="00CE3BAD" w:rsidRPr="00782BF9" w14:paraId="4E9068C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8AE2018" w14:textId="77777777" w:rsidR="00CE3BAD" w:rsidRPr="00782BF9" w:rsidRDefault="006B5475">
            <w:pPr>
              <w:pStyle w:val="P68B1DB1-Normal29"/>
              <w:spacing w:after="0" w:line="240" w:lineRule="auto"/>
              <w:rPr>
                <w:noProof/>
                <w:lang w:val="bg-BG"/>
              </w:rPr>
            </w:pPr>
            <w:r w:rsidRPr="00782BF9">
              <w:rPr>
                <w:noProof/>
                <w:lang w:val="bg-BG"/>
              </w:rPr>
              <w:t>209</w:t>
            </w:r>
          </w:p>
        </w:tc>
        <w:tc>
          <w:tcPr>
            <w:tcW w:w="3120" w:type="dxa"/>
            <w:tcBorders>
              <w:top w:val="nil"/>
              <w:left w:val="nil"/>
              <w:bottom w:val="single" w:sz="4" w:space="0" w:color="auto"/>
              <w:right w:val="single" w:sz="4" w:space="0" w:color="auto"/>
            </w:tcBorders>
            <w:shd w:val="clear" w:color="000000" w:fill="C6EFCE"/>
            <w:vAlign w:val="center"/>
          </w:tcPr>
          <w:p w14:paraId="2B120FB6" w14:textId="77777777" w:rsidR="00CE3BAD" w:rsidRPr="00782BF9" w:rsidRDefault="006B5475">
            <w:pPr>
              <w:pStyle w:val="P68B1DB1-Normal29"/>
              <w:spacing w:after="0" w:line="240" w:lineRule="auto"/>
              <w:rPr>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1164" w:type="dxa"/>
            <w:tcBorders>
              <w:top w:val="nil"/>
              <w:left w:val="nil"/>
              <w:bottom w:val="single" w:sz="4" w:space="0" w:color="auto"/>
              <w:right w:val="single" w:sz="4" w:space="0" w:color="auto"/>
            </w:tcBorders>
            <w:shd w:val="clear" w:color="000000" w:fill="C6EFCE"/>
            <w:vAlign w:val="center"/>
          </w:tcPr>
          <w:p w14:paraId="6EF18E8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3F5FA4E" w14:textId="77777777" w:rsidR="00CE3BAD" w:rsidRPr="00782BF9" w:rsidRDefault="006B5475">
            <w:pPr>
              <w:pStyle w:val="P68B1DB1-Normal29"/>
              <w:spacing w:after="0" w:line="240" w:lineRule="auto"/>
              <w:rPr>
                <w:noProof/>
                <w:lang w:val="bg-BG"/>
              </w:rPr>
            </w:pPr>
            <w:r w:rsidRPr="00782BF9">
              <w:rPr>
                <w:noProof/>
                <w:lang w:val="bg-BG"/>
              </w:rPr>
              <w:t xml:space="preserve">Създаване на схема за подпомагане за компенсиране на разходите, свързани с участието в обществени поръчки на микро-, малки и средни предприятия </w:t>
            </w:r>
          </w:p>
        </w:tc>
      </w:tr>
      <w:tr w:rsidR="00CE3BAD" w:rsidRPr="00782BF9" w14:paraId="33643EF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50FE64C" w14:textId="77777777" w:rsidR="00CE3BAD" w:rsidRPr="00782BF9" w:rsidRDefault="006B5475">
            <w:pPr>
              <w:pStyle w:val="P68B1DB1-Normal29"/>
              <w:spacing w:after="0" w:line="240" w:lineRule="auto"/>
              <w:rPr>
                <w:noProof/>
                <w:lang w:val="bg-BG"/>
              </w:rPr>
            </w:pPr>
            <w:r w:rsidRPr="00782BF9">
              <w:rPr>
                <w:noProof/>
                <w:lang w:val="bg-BG"/>
              </w:rPr>
              <w:t>237</w:t>
            </w:r>
          </w:p>
        </w:tc>
        <w:tc>
          <w:tcPr>
            <w:tcW w:w="3120" w:type="dxa"/>
            <w:tcBorders>
              <w:top w:val="nil"/>
              <w:left w:val="nil"/>
              <w:bottom w:val="single" w:sz="4" w:space="0" w:color="auto"/>
              <w:right w:val="single" w:sz="4" w:space="0" w:color="auto"/>
            </w:tcBorders>
            <w:shd w:val="clear" w:color="000000" w:fill="C6EFCE"/>
            <w:vAlign w:val="center"/>
          </w:tcPr>
          <w:p w14:paraId="1E02A2D7" w14:textId="77777777" w:rsidR="00CE3BAD" w:rsidRPr="00782BF9" w:rsidRDefault="006B5475">
            <w:pPr>
              <w:pStyle w:val="P68B1DB1-Normal29"/>
              <w:spacing w:after="0" w:line="240" w:lineRule="auto"/>
              <w:rPr>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1164" w:type="dxa"/>
            <w:tcBorders>
              <w:top w:val="nil"/>
              <w:left w:val="nil"/>
              <w:bottom w:val="single" w:sz="4" w:space="0" w:color="auto"/>
              <w:right w:val="single" w:sz="4" w:space="0" w:color="auto"/>
            </w:tcBorders>
            <w:shd w:val="clear" w:color="000000" w:fill="C6EFCE"/>
            <w:vAlign w:val="center"/>
          </w:tcPr>
          <w:p w14:paraId="662DD28B"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6F3006E" w14:textId="77777777" w:rsidR="00CE3BAD" w:rsidRPr="00782BF9" w:rsidRDefault="006B5475">
            <w:pPr>
              <w:pStyle w:val="P68B1DB1-Normal29"/>
              <w:spacing w:after="0" w:line="240" w:lineRule="auto"/>
              <w:rPr>
                <w:noProof/>
                <w:lang w:val="bg-BG"/>
              </w:rPr>
            </w:pPr>
            <w:r w:rsidRPr="00782BF9">
              <w:rPr>
                <w:noProof/>
                <w:lang w:val="bg-BG"/>
              </w:rPr>
              <w:t>Засилване на ефективното прилагане на правилата относно задължителната обществена консултация със законодателните актове и системното публикуване на предварителните обобщения на оценките на въздействието (1)</w:t>
            </w:r>
          </w:p>
        </w:tc>
      </w:tr>
      <w:tr w:rsidR="00CE3BAD" w:rsidRPr="00782BF9" w14:paraId="3CC2395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7CFB297" w14:textId="77777777" w:rsidR="00CE3BAD" w:rsidRPr="00782BF9" w:rsidRDefault="006B5475">
            <w:pPr>
              <w:pStyle w:val="P68B1DB1-Normal29"/>
              <w:spacing w:after="0" w:line="240" w:lineRule="auto"/>
              <w:rPr>
                <w:noProof/>
                <w:lang w:val="bg-BG"/>
              </w:rPr>
            </w:pPr>
            <w:r w:rsidRPr="00782BF9">
              <w:rPr>
                <w:noProof/>
                <w:lang w:val="bg-BG"/>
              </w:rPr>
              <w:t>267</w:t>
            </w:r>
          </w:p>
        </w:tc>
        <w:tc>
          <w:tcPr>
            <w:tcW w:w="3120" w:type="dxa"/>
            <w:tcBorders>
              <w:top w:val="nil"/>
              <w:left w:val="nil"/>
              <w:bottom w:val="single" w:sz="4" w:space="0" w:color="auto"/>
              <w:right w:val="single" w:sz="4" w:space="0" w:color="auto"/>
            </w:tcBorders>
            <w:shd w:val="clear" w:color="000000" w:fill="C6EFCE"/>
            <w:vAlign w:val="center"/>
          </w:tcPr>
          <w:p w14:paraId="66031B2D" w14:textId="77777777" w:rsidR="00CE3BAD" w:rsidRPr="00782BF9" w:rsidRDefault="006B5475">
            <w:pPr>
              <w:pStyle w:val="P68B1DB1-Normal29"/>
              <w:spacing w:after="0" w:line="240" w:lineRule="auto"/>
              <w:rPr>
                <w:noProof/>
                <w:lang w:val="bg-BG"/>
              </w:rPr>
            </w:pPr>
            <w:r w:rsidRPr="00782BF9">
              <w:rPr>
                <w:noProof/>
                <w:lang w:val="bg-BG"/>
              </w:rPr>
              <w:t>C9.R38 Подобряване на ефективността на публичните разходи чрез извършване на прегледи на разходите</w:t>
            </w:r>
          </w:p>
        </w:tc>
        <w:tc>
          <w:tcPr>
            <w:tcW w:w="1164" w:type="dxa"/>
            <w:tcBorders>
              <w:top w:val="nil"/>
              <w:left w:val="nil"/>
              <w:bottom w:val="single" w:sz="4" w:space="0" w:color="auto"/>
              <w:right w:val="single" w:sz="4" w:space="0" w:color="auto"/>
            </w:tcBorders>
            <w:shd w:val="clear" w:color="000000" w:fill="C6EFCE"/>
            <w:vAlign w:val="center"/>
          </w:tcPr>
          <w:p w14:paraId="203682C3"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6433E84" w14:textId="77777777" w:rsidR="00CE3BAD" w:rsidRPr="00782BF9" w:rsidRDefault="006B5475">
            <w:pPr>
              <w:pStyle w:val="P68B1DB1-Normal29"/>
              <w:spacing w:after="0" w:line="240" w:lineRule="auto"/>
              <w:rPr>
                <w:noProof/>
                <w:lang w:val="bg-BG"/>
              </w:rPr>
            </w:pPr>
            <w:r w:rsidRPr="00782BF9">
              <w:rPr>
                <w:noProof/>
                <w:lang w:val="bg-BG"/>
              </w:rPr>
              <w:t>Създаване на правна и институционална рамка за провеждане на годишни прегледи на разходите</w:t>
            </w:r>
          </w:p>
        </w:tc>
      </w:tr>
      <w:tr w:rsidR="00CE3BAD" w:rsidRPr="00782BF9" w14:paraId="0920EA05" w14:textId="77777777">
        <w:tblPrEx>
          <w:tblCellMar>
            <w:top w:w="0" w:type="dxa"/>
          </w:tblCellMar>
        </w:tblPrEx>
        <w:trPr>
          <w:trHeight w:val="460"/>
        </w:trPr>
        <w:tc>
          <w:tcPr>
            <w:tcW w:w="5522" w:type="dxa"/>
            <w:gridSpan w:val="3"/>
            <w:tcBorders>
              <w:top w:val="single" w:sz="4" w:space="0" w:color="auto"/>
              <w:left w:val="single" w:sz="4" w:space="0" w:color="auto"/>
              <w:bottom w:val="single" w:sz="4" w:space="0" w:color="auto"/>
              <w:right w:val="single" w:sz="4" w:space="0" w:color="auto"/>
            </w:tcBorders>
            <w:shd w:val="clear" w:color="000000" w:fill="C6EFCE"/>
            <w:vAlign w:val="center"/>
          </w:tcPr>
          <w:p w14:paraId="021E0A29"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single" w:sz="4" w:space="0" w:color="auto"/>
              <w:left w:val="nil"/>
              <w:bottom w:val="single" w:sz="4" w:space="0" w:color="auto"/>
              <w:right w:val="single" w:sz="4" w:space="0" w:color="auto"/>
            </w:tcBorders>
            <w:shd w:val="clear" w:color="000000" w:fill="C6EFCE"/>
            <w:vAlign w:val="center"/>
          </w:tcPr>
          <w:p w14:paraId="557874AD" w14:textId="77777777" w:rsidR="00CE3BAD" w:rsidRPr="00782BF9" w:rsidRDefault="006B5475">
            <w:pPr>
              <w:pStyle w:val="P68B1DB1-Normal29"/>
              <w:spacing w:after="0" w:line="240" w:lineRule="auto"/>
              <w:jc w:val="center"/>
              <w:rPr>
                <w:noProof/>
                <w:lang w:val="bg-BG"/>
              </w:rPr>
            </w:pPr>
            <w:r w:rsidRPr="00782BF9">
              <w:rPr>
                <w:noProof/>
                <w:lang w:val="bg-BG"/>
              </w:rPr>
              <w:t>771 780 000 EUR</w:t>
            </w:r>
          </w:p>
        </w:tc>
      </w:tr>
    </w:tbl>
    <w:p w14:paraId="4EBE6BC7" w14:textId="77777777" w:rsidR="00CE3BAD" w:rsidRPr="00782BF9" w:rsidRDefault="00CE3BAD">
      <w:pPr>
        <w:spacing w:before="120" w:after="120" w:line="240" w:lineRule="auto"/>
        <w:jc w:val="both"/>
        <w:rPr>
          <w:rFonts w:eastAsia="Calibri" w:cs="Times New Roman"/>
          <w:noProof/>
          <w:lang w:val="bg-BG"/>
        </w:rPr>
      </w:pPr>
    </w:p>
    <w:p w14:paraId="7A398057" w14:textId="20A113EC" w:rsidR="00CE3BAD" w:rsidRPr="00782BF9" w:rsidRDefault="006B5475">
      <w:pPr>
        <w:pStyle w:val="P68B1DB1-Normal30"/>
        <w:spacing w:after="160" w:line="259" w:lineRule="auto"/>
        <w:rPr>
          <w:noProof/>
          <w:lang w:val="bg-BG"/>
        </w:rPr>
      </w:pPr>
      <w:r w:rsidRPr="00782BF9">
        <w:rPr>
          <w:noProof/>
          <w:lang w:val="bg-BG"/>
        </w:rPr>
        <w:br w:type="page"/>
      </w:r>
    </w:p>
    <w:p w14:paraId="579D421A" w14:textId="77777777" w:rsidR="00CE3BAD" w:rsidRPr="00782BF9" w:rsidRDefault="006B5475">
      <w:pPr>
        <w:pStyle w:val="P68B1DB1-ListParagraph27"/>
        <w:numPr>
          <w:ilvl w:val="1"/>
          <w:numId w:val="16"/>
        </w:numPr>
        <w:spacing w:before="120" w:after="120" w:line="240" w:lineRule="auto"/>
        <w:jc w:val="both"/>
        <w:rPr>
          <w:noProof/>
          <w:lang w:val="bg-BG"/>
        </w:rPr>
      </w:pPr>
      <w:r w:rsidRPr="00782BF9">
        <w:rPr>
          <w:noProof/>
          <w:lang w:val="bg-BG"/>
        </w:rPr>
        <w:t>Трета вноска (безвъзмездна подкрепа):</w:t>
      </w: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5745C9BD" w14:textId="77777777">
        <w:trPr>
          <w:trHeight w:val="450"/>
          <w:tblHeader/>
        </w:trPr>
        <w:tc>
          <w:tcPr>
            <w:tcW w:w="1238"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46FDB95C"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0EBCD711"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7D935614"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185A323B"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182A34B4"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2B593C5E"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196D9A6C"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1CC9E486"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0850A081"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5E0E511C"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2634ADF1"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4E01B424"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3268AEC2"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75050E9B"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3999A0E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64A824D" w14:textId="77777777" w:rsidR="00CE3BAD" w:rsidRPr="00782BF9" w:rsidRDefault="006B5475">
            <w:pPr>
              <w:pStyle w:val="P68B1DB1-Normal29"/>
              <w:spacing w:after="0" w:line="240" w:lineRule="auto"/>
              <w:rPr>
                <w:noProof/>
                <w:lang w:val="bg-BG"/>
              </w:rPr>
            </w:pPr>
            <w:r w:rsidRPr="00782BF9">
              <w:rPr>
                <w:noProof/>
                <w:lang w:val="bg-BG"/>
              </w:rPr>
              <w:t>3</w:t>
            </w:r>
          </w:p>
        </w:tc>
        <w:tc>
          <w:tcPr>
            <w:tcW w:w="3120" w:type="dxa"/>
            <w:tcBorders>
              <w:top w:val="nil"/>
              <w:left w:val="nil"/>
              <w:bottom w:val="single" w:sz="4" w:space="0" w:color="auto"/>
              <w:right w:val="single" w:sz="4" w:space="0" w:color="auto"/>
            </w:tcBorders>
            <w:shd w:val="clear" w:color="000000" w:fill="C6EFCE"/>
            <w:vAlign w:val="center"/>
          </w:tcPr>
          <w:p w14:paraId="5375A9B9" w14:textId="77777777" w:rsidR="00CE3BAD" w:rsidRPr="00782BF9" w:rsidRDefault="006B5475">
            <w:pPr>
              <w:pStyle w:val="P68B1DB1-Normal29"/>
              <w:spacing w:after="0" w:line="240" w:lineRule="auto"/>
              <w:rPr>
                <w:noProof/>
                <w:lang w:val="bg-BG"/>
              </w:rPr>
            </w:pPr>
            <w:r w:rsidRPr="00782BF9">
              <w:rPr>
                <w:noProof/>
                <w:lang w:val="bg-BG"/>
              </w:rPr>
              <w:t>В1.R1 Развитие на конкурентоспособно публично образование с използване на технологията на 21-ви век</w:t>
            </w:r>
          </w:p>
        </w:tc>
        <w:tc>
          <w:tcPr>
            <w:tcW w:w="1164" w:type="dxa"/>
            <w:tcBorders>
              <w:top w:val="nil"/>
              <w:left w:val="nil"/>
              <w:bottom w:val="single" w:sz="4" w:space="0" w:color="auto"/>
              <w:right w:val="single" w:sz="4" w:space="0" w:color="auto"/>
            </w:tcBorders>
            <w:shd w:val="clear" w:color="000000" w:fill="C6EFCE"/>
            <w:vAlign w:val="center"/>
          </w:tcPr>
          <w:p w14:paraId="63FD11AB"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E9BC9CC" w14:textId="77777777" w:rsidR="00CE3BAD" w:rsidRPr="00782BF9" w:rsidRDefault="006B5475">
            <w:pPr>
              <w:pStyle w:val="P68B1DB1-Normal29"/>
              <w:spacing w:after="0" w:line="240" w:lineRule="auto"/>
              <w:rPr>
                <w:noProof/>
                <w:lang w:val="bg-BG"/>
              </w:rPr>
            </w:pPr>
            <w:r w:rsidRPr="00782BF9">
              <w:rPr>
                <w:noProof/>
                <w:lang w:val="bg-BG"/>
              </w:rPr>
              <w:t>Дял на учителите, използващи информационни и комуникационни технологии, в поне 40 % от своите класове</w:t>
            </w:r>
          </w:p>
        </w:tc>
      </w:tr>
      <w:tr w:rsidR="00CE3BAD" w:rsidRPr="00782BF9" w14:paraId="5DCE157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5BE9941" w14:textId="77777777" w:rsidR="00CE3BAD" w:rsidRPr="00782BF9" w:rsidRDefault="006B5475">
            <w:pPr>
              <w:pStyle w:val="P68B1DB1-Normal29"/>
              <w:spacing w:after="0" w:line="240" w:lineRule="auto"/>
              <w:rPr>
                <w:noProof/>
                <w:lang w:val="bg-BG"/>
              </w:rPr>
            </w:pPr>
            <w:r w:rsidRPr="00782BF9">
              <w:rPr>
                <w:noProof/>
                <w:lang w:val="bg-BG"/>
              </w:rPr>
              <w:t>8</w:t>
            </w:r>
          </w:p>
        </w:tc>
        <w:tc>
          <w:tcPr>
            <w:tcW w:w="3120" w:type="dxa"/>
            <w:tcBorders>
              <w:top w:val="nil"/>
              <w:left w:val="nil"/>
              <w:bottom w:val="single" w:sz="4" w:space="0" w:color="auto"/>
              <w:right w:val="single" w:sz="4" w:space="0" w:color="auto"/>
            </w:tcBorders>
            <w:shd w:val="clear" w:color="000000" w:fill="C6EFCE"/>
            <w:vAlign w:val="center"/>
          </w:tcPr>
          <w:p w14:paraId="0C0A3C91" w14:textId="77777777" w:rsidR="00CE3BAD" w:rsidRPr="00782BF9" w:rsidRDefault="006B5475">
            <w:pPr>
              <w:pStyle w:val="P68B1DB1-Normal29"/>
              <w:spacing w:after="0" w:line="240" w:lineRule="auto"/>
              <w:rPr>
                <w:noProof/>
                <w:lang w:val="bg-BG"/>
              </w:rPr>
            </w:pPr>
            <w:r w:rsidRPr="00782BF9">
              <w:rPr>
                <w:noProof/>
                <w:lang w:val="bg-BG"/>
              </w:rPr>
              <w:t>C1.I1 Подобряване на достъпа до качествено образование в прогимназиалния етап на основното образование</w:t>
            </w:r>
          </w:p>
        </w:tc>
        <w:tc>
          <w:tcPr>
            <w:tcW w:w="1164" w:type="dxa"/>
            <w:tcBorders>
              <w:top w:val="nil"/>
              <w:left w:val="nil"/>
              <w:bottom w:val="single" w:sz="4" w:space="0" w:color="auto"/>
              <w:right w:val="single" w:sz="4" w:space="0" w:color="auto"/>
            </w:tcBorders>
            <w:shd w:val="clear" w:color="000000" w:fill="C6EFCE"/>
            <w:vAlign w:val="center"/>
          </w:tcPr>
          <w:p w14:paraId="7FC23401"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8520672" w14:textId="77777777" w:rsidR="00CE3BAD" w:rsidRPr="00782BF9" w:rsidRDefault="006B5475">
            <w:pPr>
              <w:pStyle w:val="P68B1DB1-Normal29"/>
              <w:spacing w:after="0" w:line="240" w:lineRule="auto"/>
              <w:rPr>
                <w:noProof/>
                <w:lang w:val="bg-BG"/>
              </w:rPr>
            </w:pPr>
            <w:r w:rsidRPr="00782BF9">
              <w:rPr>
                <w:noProof/>
                <w:lang w:val="bg-BG"/>
              </w:rPr>
              <w:t>Осъществяване на пилотни институционални реорганизации за интегриране на малки прогимназиални класове в по-големи училища в съседните населени места</w:t>
            </w:r>
          </w:p>
        </w:tc>
      </w:tr>
      <w:tr w:rsidR="00CE3BAD" w:rsidRPr="00782BF9" w14:paraId="0C4B97E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61A25BC" w14:textId="77777777" w:rsidR="00CE3BAD" w:rsidRPr="00782BF9" w:rsidRDefault="006B5475">
            <w:pPr>
              <w:pStyle w:val="P68B1DB1-Normal29"/>
              <w:spacing w:after="0" w:line="240" w:lineRule="auto"/>
              <w:rPr>
                <w:noProof/>
                <w:lang w:val="bg-BG"/>
              </w:rPr>
            </w:pPr>
            <w:r w:rsidRPr="00782BF9">
              <w:rPr>
                <w:noProof/>
                <w:lang w:val="bg-BG"/>
              </w:rPr>
              <w:t>26</w:t>
            </w:r>
          </w:p>
        </w:tc>
        <w:tc>
          <w:tcPr>
            <w:tcW w:w="3120" w:type="dxa"/>
            <w:tcBorders>
              <w:top w:val="nil"/>
              <w:left w:val="nil"/>
              <w:bottom w:val="single" w:sz="4" w:space="0" w:color="auto"/>
              <w:right w:val="single" w:sz="4" w:space="0" w:color="auto"/>
            </w:tcBorders>
            <w:shd w:val="clear" w:color="000000" w:fill="C6EFCE"/>
            <w:vAlign w:val="center"/>
          </w:tcPr>
          <w:p w14:paraId="74267D47" w14:textId="77777777" w:rsidR="00CE3BAD" w:rsidRPr="00782BF9" w:rsidRDefault="006B5475">
            <w:pPr>
              <w:pStyle w:val="P68B1DB1-Normal29"/>
              <w:spacing w:after="0" w:line="240" w:lineRule="auto"/>
              <w:rPr>
                <w:noProof/>
                <w:lang w:val="bg-BG"/>
              </w:rPr>
            </w:pPr>
            <w:r w:rsidRPr="00782BF9">
              <w:rPr>
                <w:noProof/>
                <w:lang w:val="bg-BG"/>
              </w:rPr>
              <w:t xml:space="preserve">C1.R4 Подобряване на устойчивостта на пенсионната система </w:t>
            </w:r>
          </w:p>
        </w:tc>
        <w:tc>
          <w:tcPr>
            <w:tcW w:w="1164" w:type="dxa"/>
            <w:tcBorders>
              <w:top w:val="nil"/>
              <w:left w:val="nil"/>
              <w:bottom w:val="single" w:sz="4" w:space="0" w:color="auto"/>
              <w:right w:val="single" w:sz="4" w:space="0" w:color="auto"/>
            </w:tcBorders>
            <w:shd w:val="clear" w:color="000000" w:fill="C6EFCE"/>
            <w:vAlign w:val="center"/>
          </w:tcPr>
          <w:p w14:paraId="03A100C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2A7D963" w14:textId="77777777" w:rsidR="00CE3BAD" w:rsidRPr="00782BF9" w:rsidRDefault="006B5475">
            <w:pPr>
              <w:pStyle w:val="P68B1DB1-Normal29"/>
              <w:spacing w:after="0" w:line="240" w:lineRule="auto"/>
              <w:rPr>
                <w:noProof/>
                <w:lang w:val="bg-BG"/>
              </w:rPr>
            </w:pPr>
            <w:r w:rsidRPr="00782BF9">
              <w:rPr>
                <w:noProof/>
                <w:lang w:val="bg-BG"/>
              </w:rPr>
              <w:t>Независим международен експертен доклад относно вариантите на политиката за справяне с дългосрочните предизвикателства пред устойчивостта на унгарската пенсионна система</w:t>
            </w:r>
          </w:p>
        </w:tc>
      </w:tr>
      <w:tr w:rsidR="00CE3BAD" w:rsidRPr="00782BF9" w14:paraId="64ADD50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B0FA388" w14:textId="77777777" w:rsidR="00CE3BAD" w:rsidRPr="00782BF9" w:rsidRDefault="006B5475">
            <w:pPr>
              <w:pStyle w:val="P68B1DB1-Normal29"/>
              <w:spacing w:after="0" w:line="240" w:lineRule="auto"/>
              <w:rPr>
                <w:noProof/>
                <w:lang w:val="bg-BG"/>
              </w:rPr>
            </w:pPr>
            <w:r w:rsidRPr="00782BF9">
              <w:rPr>
                <w:noProof/>
                <w:lang w:val="bg-BG"/>
              </w:rPr>
              <w:t>29</w:t>
            </w:r>
          </w:p>
        </w:tc>
        <w:tc>
          <w:tcPr>
            <w:tcW w:w="3120" w:type="dxa"/>
            <w:tcBorders>
              <w:top w:val="nil"/>
              <w:left w:val="nil"/>
              <w:bottom w:val="single" w:sz="4" w:space="0" w:color="auto"/>
              <w:right w:val="single" w:sz="4" w:space="0" w:color="auto"/>
            </w:tcBorders>
            <w:shd w:val="clear" w:color="000000" w:fill="C6EFCE"/>
            <w:vAlign w:val="center"/>
          </w:tcPr>
          <w:p w14:paraId="320162BC" w14:textId="77777777" w:rsidR="00CE3BAD" w:rsidRPr="00782BF9" w:rsidRDefault="006B5475">
            <w:pPr>
              <w:pStyle w:val="P68B1DB1-Normal29"/>
              <w:spacing w:after="0" w:line="240" w:lineRule="auto"/>
              <w:rPr>
                <w:noProof/>
                <w:lang w:val="bg-BG"/>
              </w:rPr>
            </w:pPr>
            <w:r w:rsidRPr="00782BF9">
              <w:rPr>
                <w:noProof/>
                <w:lang w:val="bg-BG"/>
              </w:rPr>
              <w:t>C2.R1 Модернизиране на курсовете за висше образование</w:t>
            </w:r>
          </w:p>
        </w:tc>
        <w:tc>
          <w:tcPr>
            <w:tcW w:w="1164" w:type="dxa"/>
            <w:tcBorders>
              <w:top w:val="nil"/>
              <w:left w:val="nil"/>
              <w:bottom w:val="single" w:sz="4" w:space="0" w:color="auto"/>
              <w:right w:val="single" w:sz="4" w:space="0" w:color="auto"/>
            </w:tcBorders>
            <w:shd w:val="clear" w:color="000000" w:fill="C6EFCE"/>
            <w:vAlign w:val="center"/>
          </w:tcPr>
          <w:p w14:paraId="7A35A753"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76123F8" w14:textId="77777777" w:rsidR="00CE3BAD" w:rsidRPr="00782BF9" w:rsidRDefault="006B5475">
            <w:pPr>
              <w:pStyle w:val="P68B1DB1-Normal29"/>
              <w:spacing w:after="0" w:line="240" w:lineRule="auto"/>
              <w:rPr>
                <w:noProof/>
                <w:lang w:val="bg-BG"/>
              </w:rPr>
            </w:pPr>
            <w:r w:rsidRPr="00782BF9">
              <w:rPr>
                <w:noProof/>
                <w:lang w:val="bg-BG"/>
              </w:rPr>
              <w:t>Брой модернизирани области на висшето образование</w:t>
            </w:r>
          </w:p>
        </w:tc>
      </w:tr>
      <w:tr w:rsidR="00CE3BAD" w:rsidRPr="00782BF9" w14:paraId="331C26D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BD18790" w14:textId="77777777" w:rsidR="00CE3BAD" w:rsidRPr="00782BF9" w:rsidRDefault="006B5475">
            <w:pPr>
              <w:pStyle w:val="P68B1DB1-Normal29"/>
              <w:spacing w:after="0" w:line="240" w:lineRule="auto"/>
              <w:rPr>
                <w:noProof/>
                <w:lang w:val="bg-BG"/>
              </w:rPr>
            </w:pPr>
            <w:r w:rsidRPr="00782BF9">
              <w:rPr>
                <w:noProof/>
                <w:lang w:val="bg-BG"/>
              </w:rPr>
              <w:t>46</w:t>
            </w:r>
          </w:p>
        </w:tc>
        <w:tc>
          <w:tcPr>
            <w:tcW w:w="3120" w:type="dxa"/>
            <w:tcBorders>
              <w:top w:val="nil"/>
              <w:left w:val="nil"/>
              <w:bottom w:val="single" w:sz="4" w:space="0" w:color="auto"/>
              <w:right w:val="single" w:sz="4" w:space="0" w:color="auto"/>
            </w:tcBorders>
            <w:shd w:val="clear" w:color="000000" w:fill="C6EFCE"/>
            <w:vAlign w:val="center"/>
          </w:tcPr>
          <w:p w14:paraId="304A9759" w14:textId="77777777" w:rsidR="00CE3BAD" w:rsidRPr="00782BF9" w:rsidRDefault="006B5475">
            <w:pPr>
              <w:pStyle w:val="P68B1DB1-Normal29"/>
              <w:spacing w:after="0" w:line="240" w:lineRule="auto"/>
              <w:rPr>
                <w:noProof/>
                <w:lang w:val="bg-BG"/>
              </w:rPr>
            </w:pPr>
            <w:r w:rsidRPr="00782BF9">
              <w:rPr>
                <w:noProof/>
                <w:lang w:val="bg-BG"/>
              </w:rPr>
              <w:t xml:space="preserve">C2.I5 Развитие на Централния изпитен център </w:t>
            </w:r>
          </w:p>
        </w:tc>
        <w:tc>
          <w:tcPr>
            <w:tcW w:w="1164" w:type="dxa"/>
            <w:tcBorders>
              <w:top w:val="nil"/>
              <w:left w:val="nil"/>
              <w:bottom w:val="single" w:sz="4" w:space="0" w:color="auto"/>
              <w:right w:val="single" w:sz="4" w:space="0" w:color="auto"/>
            </w:tcBorders>
            <w:shd w:val="clear" w:color="000000" w:fill="C6EFCE"/>
            <w:vAlign w:val="center"/>
          </w:tcPr>
          <w:p w14:paraId="389D0ADF"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BB6E92C" w14:textId="77777777" w:rsidR="00CE3BAD" w:rsidRPr="00782BF9" w:rsidRDefault="006B5475">
            <w:pPr>
              <w:pStyle w:val="P68B1DB1-Normal29"/>
              <w:spacing w:after="0" w:line="240" w:lineRule="auto"/>
              <w:rPr>
                <w:noProof/>
                <w:lang w:val="bg-BG"/>
              </w:rPr>
            </w:pPr>
            <w:r w:rsidRPr="00782BF9">
              <w:rPr>
                <w:noProof/>
                <w:lang w:val="bg-BG"/>
              </w:rPr>
              <w:t>Възлагане на обществена (и) поръчка (и) за обновяване и развитие на централния изпитен център</w:t>
            </w:r>
          </w:p>
        </w:tc>
      </w:tr>
      <w:tr w:rsidR="00CE3BAD" w:rsidRPr="00782BF9" w14:paraId="71A6CFB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A0B92B9" w14:textId="77777777" w:rsidR="00CE3BAD" w:rsidRPr="00782BF9" w:rsidRDefault="006B5475">
            <w:pPr>
              <w:pStyle w:val="P68B1DB1-Normal29"/>
              <w:spacing w:after="0" w:line="240" w:lineRule="auto"/>
              <w:rPr>
                <w:noProof/>
                <w:lang w:val="bg-BG"/>
              </w:rPr>
            </w:pPr>
            <w:r w:rsidRPr="00782BF9">
              <w:rPr>
                <w:noProof/>
                <w:lang w:val="bg-BG"/>
              </w:rPr>
              <w:t>57</w:t>
            </w:r>
          </w:p>
        </w:tc>
        <w:tc>
          <w:tcPr>
            <w:tcW w:w="3120" w:type="dxa"/>
            <w:tcBorders>
              <w:top w:val="nil"/>
              <w:left w:val="nil"/>
              <w:bottom w:val="single" w:sz="4" w:space="0" w:color="auto"/>
              <w:right w:val="single" w:sz="4" w:space="0" w:color="auto"/>
            </w:tcBorders>
            <w:shd w:val="clear" w:color="000000" w:fill="C6EFCE"/>
            <w:vAlign w:val="center"/>
          </w:tcPr>
          <w:p w14:paraId="0908A405" w14:textId="77777777" w:rsidR="00CE3BAD" w:rsidRPr="00782BF9" w:rsidRDefault="006B5475">
            <w:pPr>
              <w:pStyle w:val="P68B1DB1-Normal29"/>
              <w:spacing w:after="0" w:line="240" w:lineRule="auto"/>
              <w:rPr>
                <w:noProof/>
                <w:lang w:val="bg-BG"/>
              </w:rPr>
            </w:pPr>
            <w:r w:rsidRPr="00782BF9">
              <w:rPr>
                <w:noProof/>
                <w:lang w:val="bg-BG"/>
              </w:rPr>
              <w:t>C3.I2 Производство и използване на енергия от възобновяеми източници в общини в неравностойно положение</w:t>
            </w:r>
          </w:p>
        </w:tc>
        <w:tc>
          <w:tcPr>
            <w:tcW w:w="1164" w:type="dxa"/>
            <w:tcBorders>
              <w:top w:val="nil"/>
              <w:left w:val="nil"/>
              <w:bottom w:val="single" w:sz="4" w:space="0" w:color="auto"/>
              <w:right w:val="single" w:sz="4" w:space="0" w:color="auto"/>
            </w:tcBorders>
            <w:shd w:val="clear" w:color="000000" w:fill="C6EFCE"/>
            <w:vAlign w:val="center"/>
          </w:tcPr>
          <w:p w14:paraId="2B88FB01"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41122F21" w14:textId="77777777" w:rsidR="00CE3BAD" w:rsidRPr="00782BF9" w:rsidRDefault="006B5475">
            <w:pPr>
              <w:pStyle w:val="P68B1DB1-Normal29"/>
              <w:spacing w:after="0" w:line="240" w:lineRule="auto"/>
              <w:rPr>
                <w:noProof/>
                <w:lang w:val="bg-BG"/>
              </w:rPr>
            </w:pPr>
            <w:r w:rsidRPr="00782BF9">
              <w:rPr>
                <w:noProof/>
                <w:lang w:val="bg-BG"/>
              </w:rPr>
              <w:t>Инсталиране на мощности за производство на енергия от възобновяеми източници във или в полза на общини в неравностойно положение</w:t>
            </w:r>
          </w:p>
        </w:tc>
      </w:tr>
      <w:tr w:rsidR="00CE3BAD" w:rsidRPr="00782BF9" w14:paraId="47E3243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77A96D0" w14:textId="77777777" w:rsidR="00CE3BAD" w:rsidRPr="00782BF9" w:rsidRDefault="006B5475">
            <w:pPr>
              <w:pStyle w:val="P68B1DB1-Normal29"/>
              <w:spacing w:after="0" w:line="240" w:lineRule="auto"/>
              <w:rPr>
                <w:noProof/>
                <w:lang w:val="bg-BG"/>
              </w:rPr>
            </w:pPr>
            <w:r w:rsidRPr="00782BF9">
              <w:rPr>
                <w:noProof/>
                <w:lang w:val="bg-BG"/>
              </w:rPr>
              <w:t>59</w:t>
            </w:r>
          </w:p>
        </w:tc>
        <w:tc>
          <w:tcPr>
            <w:tcW w:w="3120" w:type="dxa"/>
            <w:tcBorders>
              <w:top w:val="nil"/>
              <w:left w:val="nil"/>
              <w:bottom w:val="single" w:sz="4" w:space="0" w:color="auto"/>
              <w:right w:val="single" w:sz="4" w:space="0" w:color="auto"/>
            </w:tcBorders>
            <w:shd w:val="clear" w:color="000000" w:fill="C6EFCE"/>
            <w:vAlign w:val="center"/>
          </w:tcPr>
          <w:p w14:paraId="24F8776A" w14:textId="77777777" w:rsidR="00CE3BAD" w:rsidRPr="00782BF9" w:rsidRDefault="006B5475">
            <w:pPr>
              <w:pStyle w:val="P68B1DB1-Normal29"/>
              <w:spacing w:after="0" w:line="240" w:lineRule="auto"/>
              <w:rPr>
                <w:noProof/>
                <w:lang w:val="bg-BG"/>
              </w:rPr>
            </w:pPr>
            <w:r w:rsidRPr="00782BF9">
              <w:rPr>
                <w:noProof/>
                <w:lang w:val="bg-BG"/>
              </w:rPr>
              <w:t>C3.I3 Насърчаване на заетостта и развитието на умения въз основа на местните особености</w:t>
            </w:r>
          </w:p>
        </w:tc>
        <w:tc>
          <w:tcPr>
            <w:tcW w:w="1164" w:type="dxa"/>
            <w:tcBorders>
              <w:top w:val="nil"/>
              <w:left w:val="nil"/>
              <w:bottom w:val="single" w:sz="4" w:space="0" w:color="auto"/>
              <w:right w:val="single" w:sz="4" w:space="0" w:color="auto"/>
            </w:tcBorders>
            <w:shd w:val="clear" w:color="000000" w:fill="C6EFCE"/>
            <w:vAlign w:val="center"/>
          </w:tcPr>
          <w:p w14:paraId="6B09ECC8"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6CD953C" w14:textId="77777777" w:rsidR="00CE3BAD" w:rsidRPr="00782BF9" w:rsidRDefault="006B5475">
            <w:pPr>
              <w:pStyle w:val="P68B1DB1-Normal29"/>
              <w:spacing w:after="0" w:line="240" w:lineRule="auto"/>
              <w:rPr>
                <w:noProof/>
                <w:lang w:val="bg-BG"/>
              </w:rPr>
            </w:pPr>
            <w:r w:rsidRPr="00782BF9">
              <w:rPr>
                <w:noProof/>
                <w:lang w:val="bg-BG"/>
              </w:rPr>
              <w:t>Участие в програми за социализация на пазара на труда</w:t>
            </w:r>
          </w:p>
        </w:tc>
      </w:tr>
      <w:tr w:rsidR="00CE3BAD" w:rsidRPr="00782BF9" w14:paraId="19FACAD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FF24BB1" w14:textId="77777777" w:rsidR="00CE3BAD" w:rsidRPr="00782BF9" w:rsidRDefault="006B5475">
            <w:pPr>
              <w:pStyle w:val="P68B1DB1-Normal29"/>
              <w:spacing w:after="0" w:line="240" w:lineRule="auto"/>
              <w:rPr>
                <w:noProof/>
                <w:lang w:val="bg-BG"/>
              </w:rPr>
            </w:pPr>
            <w:r w:rsidRPr="00782BF9">
              <w:rPr>
                <w:noProof/>
                <w:lang w:val="bg-BG"/>
              </w:rPr>
              <w:t>61</w:t>
            </w:r>
          </w:p>
        </w:tc>
        <w:tc>
          <w:tcPr>
            <w:tcW w:w="3120" w:type="dxa"/>
            <w:tcBorders>
              <w:top w:val="nil"/>
              <w:left w:val="nil"/>
              <w:bottom w:val="single" w:sz="4" w:space="0" w:color="auto"/>
              <w:right w:val="single" w:sz="4" w:space="0" w:color="auto"/>
            </w:tcBorders>
            <w:shd w:val="clear" w:color="000000" w:fill="C6EFCE"/>
            <w:vAlign w:val="center"/>
          </w:tcPr>
          <w:p w14:paraId="3D4EB817" w14:textId="77777777" w:rsidR="00CE3BAD" w:rsidRPr="00782BF9" w:rsidRDefault="006B5475">
            <w:pPr>
              <w:pStyle w:val="P68B1DB1-Normal29"/>
              <w:spacing w:after="0" w:line="240" w:lineRule="auto"/>
              <w:rPr>
                <w:noProof/>
                <w:lang w:val="bg-BG"/>
              </w:rPr>
            </w:pPr>
            <w:r w:rsidRPr="00782BF9">
              <w:rPr>
                <w:noProof/>
                <w:lang w:val="bg-BG"/>
              </w:rPr>
              <w:t>C3.I4 педагогика, ориентирана към Общността</w:t>
            </w:r>
          </w:p>
        </w:tc>
        <w:tc>
          <w:tcPr>
            <w:tcW w:w="1164" w:type="dxa"/>
            <w:tcBorders>
              <w:top w:val="nil"/>
              <w:left w:val="nil"/>
              <w:bottom w:val="single" w:sz="4" w:space="0" w:color="auto"/>
              <w:right w:val="single" w:sz="4" w:space="0" w:color="auto"/>
            </w:tcBorders>
            <w:shd w:val="clear" w:color="000000" w:fill="C6EFCE"/>
            <w:vAlign w:val="center"/>
          </w:tcPr>
          <w:p w14:paraId="0FF92EB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580D1BA" w14:textId="77777777" w:rsidR="00CE3BAD" w:rsidRPr="00782BF9" w:rsidRDefault="006B5475">
            <w:pPr>
              <w:pStyle w:val="P68B1DB1-Normal29"/>
              <w:spacing w:after="0" w:line="240" w:lineRule="auto"/>
              <w:rPr>
                <w:noProof/>
                <w:lang w:val="bg-BG"/>
              </w:rPr>
            </w:pPr>
            <w:r w:rsidRPr="00782BF9">
              <w:rPr>
                <w:noProof/>
                <w:lang w:val="bg-BG"/>
              </w:rPr>
              <w:t>Педагогическо развитие на обществените институции за образование и професионално обучение в избраните населени места</w:t>
            </w:r>
          </w:p>
        </w:tc>
      </w:tr>
      <w:tr w:rsidR="00CE3BAD" w:rsidRPr="00782BF9" w14:paraId="331E24B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543DCF7" w14:textId="77777777" w:rsidR="00CE3BAD" w:rsidRPr="00782BF9" w:rsidRDefault="006B5475">
            <w:pPr>
              <w:pStyle w:val="P68B1DB1-Normal29"/>
              <w:spacing w:after="0" w:line="240" w:lineRule="auto"/>
              <w:rPr>
                <w:noProof/>
                <w:lang w:val="bg-BG"/>
              </w:rPr>
            </w:pPr>
            <w:r w:rsidRPr="00782BF9">
              <w:rPr>
                <w:noProof/>
                <w:lang w:val="bg-BG"/>
              </w:rPr>
              <w:t>78</w:t>
            </w:r>
          </w:p>
        </w:tc>
        <w:tc>
          <w:tcPr>
            <w:tcW w:w="3120" w:type="dxa"/>
            <w:tcBorders>
              <w:top w:val="nil"/>
              <w:left w:val="nil"/>
              <w:bottom w:val="single" w:sz="4" w:space="0" w:color="auto"/>
              <w:right w:val="single" w:sz="4" w:space="0" w:color="auto"/>
            </w:tcBorders>
            <w:shd w:val="clear" w:color="000000" w:fill="C6EFCE"/>
            <w:vAlign w:val="center"/>
          </w:tcPr>
          <w:p w14:paraId="5780C12D" w14:textId="77777777" w:rsidR="00CE3BAD" w:rsidRPr="00782BF9" w:rsidRDefault="006B5475">
            <w:pPr>
              <w:pStyle w:val="P68B1DB1-Normal29"/>
              <w:spacing w:after="0" w:line="240" w:lineRule="auto"/>
              <w:rPr>
                <w:noProof/>
                <w:lang w:val="bg-BG"/>
              </w:rPr>
            </w:pPr>
            <w:r w:rsidRPr="00782BF9">
              <w:rPr>
                <w:noProof/>
                <w:lang w:val="bg-BG"/>
              </w:rPr>
              <w:t xml:space="preserve">C4.R2 Ускоряване на мерките за адаптиране към изменението на климата в управлението на водите </w:t>
            </w:r>
          </w:p>
        </w:tc>
        <w:tc>
          <w:tcPr>
            <w:tcW w:w="1164" w:type="dxa"/>
            <w:tcBorders>
              <w:top w:val="nil"/>
              <w:left w:val="nil"/>
              <w:bottom w:val="single" w:sz="4" w:space="0" w:color="auto"/>
              <w:right w:val="single" w:sz="4" w:space="0" w:color="auto"/>
            </w:tcBorders>
            <w:shd w:val="clear" w:color="000000" w:fill="C6EFCE"/>
            <w:vAlign w:val="center"/>
          </w:tcPr>
          <w:p w14:paraId="017FC633"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781" w:type="dxa"/>
            <w:tcBorders>
              <w:top w:val="nil"/>
              <w:left w:val="nil"/>
              <w:bottom w:val="single" w:sz="4" w:space="0" w:color="auto"/>
              <w:right w:val="single" w:sz="4" w:space="0" w:color="auto"/>
            </w:tcBorders>
            <w:shd w:val="clear" w:color="000000" w:fill="C6EFCE"/>
            <w:vAlign w:val="center"/>
          </w:tcPr>
          <w:p w14:paraId="1DE346C1" w14:textId="77777777" w:rsidR="00CE3BAD" w:rsidRPr="00782BF9" w:rsidRDefault="006B5475">
            <w:pPr>
              <w:pStyle w:val="P68B1DB1-Normal29"/>
              <w:spacing w:after="0" w:line="240" w:lineRule="auto"/>
              <w:rPr>
                <w:noProof/>
                <w:lang w:val="bg-BG"/>
              </w:rPr>
            </w:pPr>
            <w:r w:rsidRPr="00782BF9">
              <w:rPr>
                <w:noProof/>
                <w:lang w:val="bg-BG"/>
              </w:rPr>
              <w:t xml:space="preserve">Доклад на работната група за устойчиво управление на водите </w:t>
            </w:r>
          </w:p>
        </w:tc>
      </w:tr>
      <w:tr w:rsidR="00CE3BAD" w:rsidRPr="00782BF9" w14:paraId="32ACC2F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6746F12" w14:textId="77777777" w:rsidR="00CE3BAD" w:rsidRPr="00782BF9" w:rsidRDefault="006B5475">
            <w:pPr>
              <w:pStyle w:val="P68B1DB1-Normal29"/>
              <w:spacing w:after="0" w:line="240" w:lineRule="auto"/>
              <w:rPr>
                <w:noProof/>
                <w:lang w:val="bg-BG"/>
              </w:rPr>
            </w:pPr>
            <w:r w:rsidRPr="00782BF9">
              <w:rPr>
                <w:noProof/>
                <w:lang w:val="bg-BG"/>
              </w:rPr>
              <w:t>94</w:t>
            </w:r>
          </w:p>
        </w:tc>
        <w:tc>
          <w:tcPr>
            <w:tcW w:w="3120" w:type="dxa"/>
            <w:tcBorders>
              <w:top w:val="nil"/>
              <w:left w:val="nil"/>
              <w:bottom w:val="single" w:sz="4" w:space="0" w:color="auto"/>
              <w:right w:val="single" w:sz="4" w:space="0" w:color="auto"/>
            </w:tcBorders>
            <w:shd w:val="clear" w:color="000000" w:fill="C6EFCE"/>
            <w:vAlign w:val="center"/>
          </w:tcPr>
          <w:p w14:paraId="5BD5BFCB" w14:textId="77777777" w:rsidR="00CE3BAD" w:rsidRPr="00782BF9" w:rsidRDefault="006B5475">
            <w:pPr>
              <w:pStyle w:val="P68B1DB1-Normal29"/>
              <w:spacing w:after="0" w:line="240" w:lineRule="auto"/>
              <w:rPr>
                <w:noProof/>
                <w:lang w:val="bg-BG"/>
              </w:rPr>
            </w:pPr>
            <w:r w:rsidRPr="00782BF9">
              <w:rPr>
                <w:noProof/>
                <w:lang w:val="bg-BG"/>
              </w:rPr>
              <w:t>C5.I4 Въвеждане на централно управление на движението в железниците по TEN-T</w:t>
            </w:r>
          </w:p>
        </w:tc>
        <w:tc>
          <w:tcPr>
            <w:tcW w:w="1164" w:type="dxa"/>
            <w:tcBorders>
              <w:top w:val="nil"/>
              <w:left w:val="nil"/>
              <w:bottom w:val="single" w:sz="4" w:space="0" w:color="auto"/>
              <w:right w:val="single" w:sz="4" w:space="0" w:color="auto"/>
            </w:tcBorders>
            <w:shd w:val="clear" w:color="000000" w:fill="C6EFCE"/>
            <w:vAlign w:val="center"/>
          </w:tcPr>
          <w:p w14:paraId="322BC46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41B3428" w14:textId="77777777" w:rsidR="00CE3BAD" w:rsidRPr="00782BF9" w:rsidRDefault="006B5475">
            <w:pPr>
              <w:pStyle w:val="P68B1DB1-Normal29"/>
              <w:spacing w:after="0" w:line="240" w:lineRule="auto"/>
              <w:rPr>
                <w:noProof/>
                <w:lang w:val="bg-BG"/>
              </w:rPr>
            </w:pPr>
            <w:r w:rsidRPr="00782BF9">
              <w:rPr>
                <w:noProof/>
                <w:lang w:val="bg-BG"/>
              </w:rPr>
              <w:t>Подписване на договор за създаване на централна система за управление на движението</w:t>
            </w:r>
          </w:p>
        </w:tc>
      </w:tr>
      <w:tr w:rsidR="00CE3BAD" w:rsidRPr="00782BF9" w14:paraId="2C551CB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8C04ECE" w14:textId="77777777" w:rsidR="00CE3BAD" w:rsidRPr="00782BF9" w:rsidRDefault="006B5475">
            <w:pPr>
              <w:pStyle w:val="P68B1DB1-Normal29"/>
              <w:spacing w:after="0" w:line="240" w:lineRule="auto"/>
              <w:rPr>
                <w:noProof/>
                <w:lang w:val="bg-BG"/>
              </w:rPr>
            </w:pPr>
            <w:r w:rsidRPr="00782BF9">
              <w:rPr>
                <w:noProof/>
                <w:lang w:val="bg-BG"/>
              </w:rPr>
              <w:t>366</w:t>
            </w:r>
          </w:p>
        </w:tc>
        <w:tc>
          <w:tcPr>
            <w:tcW w:w="3120" w:type="dxa"/>
            <w:tcBorders>
              <w:top w:val="nil"/>
              <w:left w:val="nil"/>
              <w:bottom w:val="single" w:sz="4" w:space="0" w:color="auto"/>
              <w:right w:val="single" w:sz="4" w:space="0" w:color="auto"/>
            </w:tcBorders>
            <w:shd w:val="clear" w:color="000000" w:fill="C6EFCE"/>
            <w:vAlign w:val="center"/>
          </w:tcPr>
          <w:p w14:paraId="749BFCD7" w14:textId="77777777" w:rsidR="00CE3BAD" w:rsidRPr="00782BF9" w:rsidRDefault="006B5475">
            <w:pPr>
              <w:pStyle w:val="P68B1DB1-Normal29"/>
              <w:spacing w:after="0" w:line="240" w:lineRule="auto"/>
              <w:rPr>
                <w:noProof/>
                <w:lang w:val="bg-BG"/>
              </w:rPr>
            </w:pPr>
            <w:r w:rsidRPr="00782BF9">
              <w:rPr>
                <w:noProof/>
                <w:lang w:val="bg-BG"/>
              </w:rPr>
              <w:t>C5.I5 Развитие на трамвайната и тролейбусната система на Будапеща</w:t>
            </w:r>
          </w:p>
        </w:tc>
        <w:tc>
          <w:tcPr>
            <w:tcW w:w="1164" w:type="dxa"/>
            <w:tcBorders>
              <w:top w:val="nil"/>
              <w:left w:val="nil"/>
              <w:bottom w:val="single" w:sz="4" w:space="0" w:color="auto"/>
              <w:right w:val="single" w:sz="4" w:space="0" w:color="auto"/>
            </w:tcBorders>
            <w:shd w:val="clear" w:color="000000" w:fill="C6EFCE"/>
            <w:vAlign w:val="center"/>
          </w:tcPr>
          <w:p w14:paraId="1F3FB34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9CE59BA" w14:textId="77777777" w:rsidR="00CE3BAD" w:rsidRPr="00782BF9" w:rsidRDefault="006B5475">
            <w:pPr>
              <w:pStyle w:val="P68B1DB1-Normal29"/>
              <w:spacing w:after="0" w:line="240" w:lineRule="auto"/>
              <w:rPr>
                <w:noProof/>
                <w:lang w:val="bg-BG"/>
              </w:rPr>
            </w:pPr>
            <w:r w:rsidRPr="00782BF9">
              <w:rPr>
                <w:noProof/>
                <w:lang w:val="bg-BG"/>
              </w:rPr>
              <w:t>Подписване на споразумение за отпускане на безвъзмездни средства между правителството и град Будапеща за закупуване на трамваи, тролейбуси и свързаната с тях инфраструктура</w:t>
            </w:r>
          </w:p>
        </w:tc>
      </w:tr>
      <w:tr w:rsidR="00CE3BAD" w:rsidRPr="00782BF9" w14:paraId="5759535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83BAB1D" w14:textId="77777777" w:rsidR="00CE3BAD" w:rsidRPr="00782BF9" w:rsidRDefault="006B5475">
            <w:pPr>
              <w:pStyle w:val="P68B1DB1-Normal29"/>
              <w:spacing w:after="0" w:line="240" w:lineRule="auto"/>
              <w:rPr>
                <w:noProof/>
                <w:lang w:val="bg-BG"/>
              </w:rPr>
            </w:pPr>
            <w:r w:rsidRPr="00782BF9">
              <w:rPr>
                <w:noProof/>
                <w:lang w:val="bg-BG"/>
              </w:rPr>
              <w:t>114</w:t>
            </w:r>
          </w:p>
        </w:tc>
        <w:tc>
          <w:tcPr>
            <w:tcW w:w="3120" w:type="dxa"/>
            <w:tcBorders>
              <w:top w:val="nil"/>
              <w:left w:val="nil"/>
              <w:bottom w:val="single" w:sz="4" w:space="0" w:color="auto"/>
              <w:right w:val="single" w:sz="4" w:space="0" w:color="auto"/>
            </w:tcBorders>
            <w:shd w:val="clear" w:color="000000" w:fill="C6EFCE"/>
            <w:vAlign w:val="center"/>
          </w:tcPr>
          <w:p w14:paraId="04206370" w14:textId="77777777" w:rsidR="00CE3BAD" w:rsidRPr="00782BF9" w:rsidRDefault="006B5475">
            <w:pPr>
              <w:pStyle w:val="P68B1DB1-Normal29"/>
              <w:spacing w:after="0" w:line="240" w:lineRule="auto"/>
              <w:rPr>
                <w:noProof/>
                <w:lang w:val="bg-BG"/>
              </w:rPr>
            </w:pPr>
            <w:r w:rsidRPr="00782BF9">
              <w:rPr>
                <w:noProof/>
                <w:lang w:val="bg-BG"/>
              </w:rPr>
              <w:t xml:space="preserve">C6.I1 Развитие на класическите и интелигентните мрежи на операторите на преносни системи и операторите на разпределителни системи </w:t>
            </w:r>
          </w:p>
        </w:tc>
        <w:tc>
          <w:tcPr>
            <w:tcW w:w="1164" w:type="dxa"/>
            <w:tcBorders>
              <w:top w:val="nil"/>
              <w:left w:val="nil"/>
              <w:bottom w:val="single" w:sz="4" w:space="0" w:color="auto"/>
              <w:right w:val="single" w:sz="4" w:space="0" w:color="auto"/>
            </w:tcBorders>
            <w:shd w:val="clear" w:color="000000" w:fill="C6EFCE"/>
            <w:vAlign w:val="center"/>
          </w:tcPr>
          <w:p w14:paraId="69936261"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63200E6" w14:textId="77777777" w:rsidR="00CE3BAD" w:rsidRPr="00782BF9" w:rsidRDefault="006B5475">
            <w:pPr>
              <w:pStyle w:val="P68B1DB1-Normal29"/>
              <w:spacing w:after="0" w:line="240" w:lineRule="auto"/>
              <w:rPr>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r>
      <w:tr w:rsidR="00CE3BAD" w:rsidRPr="00782BF9" w14:paraId="24DB472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8DF1E01" w14:textId="77777777" w:rsidR="00CE3BAD" w:rsidRPr="00782BF9" w:rsidRDefault="006B5475">
            <w:pPr>
              <w:pStyle w:val="P68B1DB1-Normal29"/>
              <w:spacing w:after="0" w:line="240" w:lineRule="auto"/>
              <w:rPr>
                <w:noProof/>
                <w:lang w:val="bg-BG"/>
              </w:rPr>
            </w:pPr>
            <w:r w:rsidRPr="00782BF9">
              <w:rPr>
                <w:noProof/>
                <w:lang w:val="bg-BG"/>
              </w:rPr>
              <w:t>369</w:t>
            </w:r>
          </w:p>
        </w:tc>
        <w:tc>
          <w:tcPr>
            <w:tcW w:w="3120" w:type="dxa"/>
            <w:tcBorders>
              <w:top w:val="nil"/>
              <w:left w:val="nil"/>
              <w:bottom w:val="single" w:sz="4" w:space="0" w:color="auto"/>
              <w:right w:val="single" w:sz="4" w:space="0" w:color="auto"/>
            </w:tcBorders>
            <w:shd w:val="clear" w:color="000000" w:fill="C6EFCE"/>
            <w:vAlign w:val="center"/>
          </w:tcPr>
          <w:p w14:paraId="428EC755" w14:textId="12010468" w:rsidR="00CE3BAD" w:rsidRPr="00782BF9" w:rsidRDefault="006B5475">
            <w:pPr>
              <w:pStyle w:val="P68B1DB1-Normal29"/>
              <w:spacing w:after="0" w:line="240" w:lineRule="auto"/>
              <w:rPr>
                <w:noProof/>
                <w:lang w:val="bg-BG"/>
              </w:rPr>
            </w:pPr>
            <w:r w:rsidRPr="00782BF9">
              <w:rPr>
                <w:noProof/>
                <w:lang w:val="bg-BG"/>
              </w:rPr>
              <w:t>C6.I6. Инвестиции в енергийна ефективност в обществени сгради</w:t>
            </w:r>
          </w:p>
        </w:tc>
        <w:tc>
          <w:tcPr>
            <w:tcW w:w="1164" w:type="dxa"/>
            <w:tcBorders>
              <w:top w:val="nil"/>
              <w:left w:val="nil"/>
              <w:bottom w:val="single" w:sz="4" w:space="0" w:color="auto"/>
              <w:right w:val="single" w:sz="4" w:space="0" w:color="auto"/>
            </w:tcBorders>
            <w:shd w:val="clear" w:color="000000" w:fill="C6EFCE"/>
            <w:vAlign w:val="center"/>
          </w:tcPr>
          <w:p w14:paraId="7A81DFD7"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37544BF"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предложения за инвестиции в енергийна ефективност в обществени сгради</w:t>
            </w:r>
          </w:p>
        </w:tc>
      </w:tr>
      <w:tr w:rsidR="00CE3BAD" w:rsidRPr="00782BF9" w14:paraId="431DF05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B456F00" w14:textId="77777777" w:rsidR="00CE3BAD" w:rsidRPr="00782BF9" w:rsidRDefault="006B5475">
            <w:pPr>
              <w:pStyle w:val="P68B1DB1-Normal29"/>
              <w:spacing w:after="0" w:line="240" w:lineRule="auto"/>
              <w:rPr>
                <w:noProof/>
                <w:lang w:val="bg-BG"/>
              </w:rPr>
            </w:pPr>
            <w:r w:rsidRPr="00782BF9">
              <w:rPr>
                <w:noProof/>
                <w:lang w:val="bg-BG"/>
              </w:rPr>
              <w:t>126</w:t>
            </w:r>
          </w:p>
        </w:tc>
        <w:tc>
          <w:tcPr>
            <w:tcW w:w="3120" w:type="dxa"/>
            <w:tcBorders>
              <w:top w:val="nil"/>
              <w:left w:val="nil"/>
              <w:bottom w:val="single" w:sz="4" w:space="0" w:color="auto"/>
              <w:right w:val="single" w:sz="4" w:space="0" w:color="auto"/>
            </w:tcBorders>
            <w:shd w:val="clear" w:color="000000" w:fill="C6EFCE"/>
            <w:vAlign w:val="center"/>
          </w:tcPr>
          <w:p w14:paraId="01BFFF96" w14:textId="77777777" w:rsidR="00CE3BAD" w:rsidRPr="00782BF9" w:rsidRDefault="006B5475">
            <w:pPr>
              <w:pStyle w:val="P68B1DB1-Normal29"/>
              <w:spacing w:after="0" w:line="240" w:lineRule="auto"/>
              <w:rPr>
                <w:noProof/>
                <w:lang w:val="bg-BG"/>
              </w:rPr>
            </w:pPr>
            <w:r w:rsidRPr="00782BF9">
              <w:rPr>
                <w:noProof/>
                <w:lang w:val="bg-BG"/>
              </w:rPr>
              <w:t>C6.I4 Инсталиране на мрежови съоръжения за акумулиране на енергия за участниците на енергийния пазар</w:t>
            </w:r>
          </w:p>
        </w:tc>
        <w:tc>
          <w:tcPr>
            <w:tcW w:w="1164" w:type="dxa"/>
            <w:tcBorders>
              <w:top w:val="nil"/>
              <w:left w:val="nil"/>
              <w:bottom w:val="single" w:sz="4" w:space="0" w:color="auto"/>
              <w:right w:val="single" w:sz="4" w:space="0" w:color="auto"/>
            </w:tcBorders>
            <w:shd w:val="clear" w:color="000000" w:fill="C6EFCE"/>
            <w:vAlign w:val="center"/>
          </w:tcPr>
          <w:p w14:paraId="3DBCD3E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019A6BA" w14:textId="77777777" w:rsidR="00CE3BAD" w:rsidRPr="00782BF9" w:rsidRDefault="006B5475">
            <w:pPr>
              <w:pStyle w:val="P68B1DB1-Normal29"/>
              <w:spacing w:after="0" w:line="240" w:lineRule="auto"/>
              <w:rPr>
                <w:noProof/>
                <w:lang w:val="bg-BG"/>
              </w:rPr>
            </w:pPr>
            <w:r w:rsidRPr="00782BF9">
              <w:rPr>
                <w:noProof/>
                <w:lang w:val="bg-BG"/>
              </w:rPr>
              <w:t>Обявяване на поканата за представяне на предложения за условията за изпълнение и подпомагане на съоръженията за съхранение, които ще бъдат инсталирани за участниците на пазара</w:t>
            </w:r>
          </w:p>
        </w:tc>
      </w:tr>
      <w:tr w:rsidR="00CE3BAD" w:rsidRPr="00782BF9" w14:paraId="1335D7E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E99C0A5" w14:textId="77777777" w:rsidR="00CE3BAD" w:rsidRPr="00782BF9" w:rsidRDefault="006B5475">
            <w:pPr>
              <w:pStyle w:val="P68B1DB1-Normal29"/>
              <w:spacing w:after="0" w:line="240" w:lineRule="auto"/>
              <w:rPr>
                <w:noProof/>
                <w:lang w:val="bg-BG"/>
              </w:rPr>
            </w:pPr>
            <w:r w:rsidRPr="00782BF9">
              <w:rPr>
                <w:noProof/>
                <w:lang w:val="bg-BG"/>
              </w:rPr>
              <w:t>136</w:t>
            </w:r>
          </w:p>
        </w:tc>
        <w:tc>
          <w:tcPr>
            <w:tcW w:w="3120" w:type="dxa"/>
            <w:tcBorders>
              <w:top w:val="nil"/>
              <w:left w:val="nil"/>
              <w:bottom w:val="single" w:sz="4" w:space="0" w:color="auto"/>
              <w:right w:val="single" w:sz="4" w:space="0" w:color="auto"/>
            </w:tcBorders>
            <w:shd w:val="clear" w:color="000000" w:fill="C6EFCE"/>
            <w:vAlign w:val="center"/>
          </w:tcPr>
          <w:p w14:paraId="1B807CFE" w14:textId="77777777" w:rsidR="00CE3BAD" w:rsidRPr="00782BF9" w:rsidRDefault="006B5475">
            <w:pPr>
              <w:pStyle w:val="P68B1DB1-Normal29"/>
              <w:spacing w:after="0" w:line="240" w:lineRule="auto"/>
              <w:rPr>
                <w:noProof/>
                <w:lang w:val="bg-BG"/>
              </w:rPr>
            </w:pPr>
            <w:r w:rsidRPr="00782BF9">
              <w:rPr>
                <w:noProof/>
                <w:lang w:val="bg-BG"/>
              </w:rPr>
              <w:t>C7.R1 Вътрешно регулиране на прехода към кръгова икономика</w:t>
            </w:r>
          </w:p>
        </w:tc>
        <w:tc>
          <w:tcPr>
            <w:tcW w:w="1164" w:type="dxa"/>
            <w:tcBorders>
              <w:top w:val="nil"/>
              <w:left w:val="nil"/>
              <w:bottom w:val="single" w:sz="4" w:space="0" w:color="auto"/>
              <w:right w:val="single" w:sz="4" w:space="0" w:color="auto"/>
            </w:tcBorders>
            <w:shd w:val="clear" w:color="000000" w:fill="C6EFCE"/>
            <w:vAlign w:val="center"/>
          </w:tcPr>
          <w:p w14:paraId="2B47EA4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0F35CA5" w14:textId="77777777" w:rsidR="00CE3BAD" w:rsidRPr="00782BF9" w:rsidRDefault="006B5475">
            <w:pPr>
              <w:pStyle w:val="P68B1DB1-Normal29"/>
              <w:spacing w:after="0" w:line="240" w:lineRule="auto"/>
              <w:rPr>
                <w:noProof/>
                <w:lang w:val="bg-BG"/>
              </w:rPr>
            </w:pPr>
            <w:r w:rsidRPr="00782BF9">
              <w:rPr>
                <w:noProof/>
                <w:lang w:val="bg-BG"/>
              </w:rPr>
              <w:t xml:space="preserve">Влизане в сила на законодателните актове, необходими за привеждане в действие на практиката за управление на отпадъците </w:t>
            </w:r>
          </w:p>
        </w:tc>
      </w:tr>
      <w:tr w:rsidR="00CE3BAD" w:rsidRPr="00782BF9" w14:paraId="35DE3E2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3A93222" w14:textId="77777777" w:rsidR="00CE3BAD" w:rsidRPr="00782BF9" w:rsidRDefault="006B5475">
            <w:pPr>
              <w:pStyle w:val="P68B1DB1-Normal29"/>
              <w:spacing w:after="0" w:line="240" w:lineRule="auto"/>
              <w:rPr>
                <w:noProof/>
                <w:lang w:val="bg-BG"/>
              </w:rPr>
            </w:pPr>
            <w:r w:rsidRPr="00782BF9">
              <w:rPr>
                <w:noProof/>
                <w:lang w:val="bg-BG"/>
              </w:rPr>
              <w:t>140</w:t>
            </w:r>
          </w:p>
        </w:tc>
        <w:tc>
          <w:tcPr>
            <w:tcW w:w="3120" w:type="dxa"/>
            <w:tcBorders>
              <w:top w:val="nil"/>
              <w:left w:val="nil"/>
              <w:bottom w:val="single" w:sz="4" w:space="0" w:color="auto"/>
              <w:right w:val="single" w:sz="4" w:space="0" w:color="auto"/>
            </w:tcBorders>
            <w:shd w:val="clear" w:color="000000" w:fill="C6EFCE"/>
            <w:vAlign w:val="center"/>
          </w:tcPr>
          <w:p w14:paraId="5CF50693" w14:textId="77777777" w:rsidR="00CE3BAD" w:rsidRPr="00782BF9" w:rsidRDefault="006B5475">
            <w:pPr>
              <w:pStyle w:val="P68B1DB1-Normal29"/>
              <w:spacing w:after="0" w:line="240" w:lineRule="auto"/>
              <w:rPr>
                <w:noProof/>
                <w:lang w:val="bg-BG"/>
              </w:rPr>
            </w:pPr>
            <w:r w:rsidRPr="00782BF9">
              <w:rPr>
                <w:noProof/>
                <w:lang w:val="bg-BG"/>
              </w:rPr>
              <w:t>C8.R1 Премахване на безплатните плащания в сектора на здравеопазването</w:t>
            </w:r>
          </w:p>
        </w:tc>
        <w:tc>
          <w:tcPr>
            <w:tcW w:w="1164" w:type="dxa"/>
            <w:tcBorders>
              <w:top w:val="nil"/>
              <w:left w:val="nil"/>
              <w:bottom w:val="single" w:sz="4" w:space="0" w:color="auto"/>
              <w:right w:val="single" w:sz="4" w:space="0" w:color="auto"/>
            </w:tcBorders>
            <w:shd w:val="clear" w:color="000000" w:fill="C6EFCE"/>
            <w:vAlign w:val="center"/>
          </w:tcPr>
          <w:p w14:paraId="3F0A0AC9" w14:textId="77777777" w:rsidR="00CE3BAD" w:rsidRPr="00782BF9" w:rsidRDefault="006B5475">
            <w:pPr>
              <w:pStyle w:val="P68B1DB1-Normal29"/>
              <w:spacing w:after="0" w:line="240" w:lineRule="auto"/>
              <w:rPr>
                <w:noProof/>
                <w:lang w:val="bg-BG"/>
              </w:rPr>
            </w:pPr>
            <w:r w:rsidRPr="00782BF9">
              <w:rPr>
                <w:noProof/>
                <w:lang w:val="bg-BG"/>
              </w:rPr>
              <w:t>Ключов етап </w:t>
            </w:r>
          </w:p>
        </w:tc>
        <w:tc>
          <w:tcPr>
            <w:tcW w:w="3781" w:type="dxa"/>
            <w:tcBorders>
              <w:top w:val="nil"/>
              <w:left w:val="nil"/>
              <w:bottom w:val="single" w:sz="4" w:space="0" w:color="auto"/>
              <w:right w:val="single" w:sz="4" w:space="0" w:color="auto"/>
            </w:tcBorders>
            <w:shd w:val="clear" w:color="000000" w:fill="C6EFCE"/>
            <w:vAlign w:val="center"/>
          </w:tcPr>
          <w:p w14:paraId="7F4C86D9" w14:textId="77777777" w:rsidR="00CE3BAD" w:rsidRPr="00782BF9" w:rsidRDefault="006B5475">
            <w:pPr>
              <w:pStyle w:val="P68B1DB1-Normal29"/>
              <w:spacing w:after="0" w:line="240" w:lineRule="auto"/>
              <w:rPr>
                <w:noProof/>
                <w:lang w:val="bg-BG"/>
              </w:rPr>
            </w:pPr>
            <w:r w:rsidRPr="00782BF9">
              <w:rPr>
                <w:noProof/>
                <w:lang w:val="bg-BG"/>
              </w:rPr>
              <w:t>Публикуване на независимо проучване, предоставящо доказателства за въздействието на проведените реформи в областта на здравеопазването върху практиката на заплащане </w:t>
            </w:r>
          </w:p>
        </w:tc>
      </w:tr>
      <w:tr w:rsidR="00CE3BAD" w:rsidRPr="00782BF9" w14:paraId="446955D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A021EE1" w14:textId="77777777" w:rsidR="00CE3BAD" w:rsidRPr="00782BF9" w:rsidRDefault="006B5475">
            <w:pPr>
              <w:pStyle w:val="P68B1DB1-Normal29"/>
              <w:spacing w:after="0" w:line="240" w:lineRule="auto"/>
              <w:rPr>
                <w:noProof/>
                <w:lang w:val="bg-BG"/>
              </w:rPr>
            </w:pPr>
            <w:r w:rsidRPr="00782BF9">
              <w:rPr>
                <w:noProof/>
                <w:lang w:val="bg-BG"/>
              </w:rPr>
              <w:t>164</w:t>
            </w:r>
          </w:p>
        </w:tc>
        <w:tc>
          <w:tcPr>
            <w:tcW w:w="3120" w:type="dxa"/>
            <w:tcBorders>
              <w:top w:val="nil"/>
              <w:left w:val="nil"/>
              <w:bottom w:val="single" w:sz="4" w:space="0" w:color="auto"/>
              <w:right w:val="single" w:sz="4" w:space="0" w:color="auto"/>
            </w:tcBorders>
            <w:shd w:val="clear" w:color="000000" w:fill="C6EFCE"/>
            <w:vAlign w:val="center"/>
          </w:tcPr>
          <w:p w14:paraId="2E675BA1" w14:textId="77777777" w:rsidR="00CE3BAD" w:rsidRPr="00782BF9" w:rsidRDefault="006B5475">
            <w:pPr>
              <w:pStyle w:val="P68B1DB1-Normal29"/>
              <w:spacing w:after="0" w:line="240" w:lineRule="auto"/>
              <w:rPr>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1164" w:type="dxa"/>
            <w:tcBorders>
              <w:top w:val="nil"/>
              <w:left w:val="nil"/>
              <w:bottom w:val="single" w:sz="4" w:space="0" w:color="auto"/>
              <w:right w:val="single" w:sz="4" w:space="0" w:color="auto"/>
            </w:tcBorders>
            <w:shd w:val="clear" w:color="000000" w:fill="C6EFCE"/>
            <w:vAlign w:val="center"/>
          </w:tcPr>
          <w:p w14:paraId="4E330AA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72D6ADD" w14:textId="77777777" w:rsidR="00CE3BAD" w:rsidRPr="00782BF9" w:rsidRDefault="006B5475">
            <w:pPr>
              <w:pStyle w:val="P68B1DB1-Normal29"/>
              <w:spacing w:after="0" w:line="240" w:lineRule="auto"/>
              <w:rPr>
                <w:noProof/>
                <w:lang w:val="bg-BG"/>
              </w:rPr>
            </w:pPr>
            <w:r w:rsidRPr="00782BF9">
              <w:rPr>
                <w:noProof/>
                <w:lang w:val="bg-BG"/>
              </w:rPr>
              <w:t>Правителството разглежда първия годишен доклад за интегритета на Органа по интегритета и предоставя своите отговори в писмен вид.</w:t>
            </w:r>
          </w:p>
        </w:tc>
      </w:tr>
      <w:tr w:rsidR="00CE3BAD" w:rsidRPr="00782BF9" w14:paraId="691B05F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80FADE5" w14:textId="77777777" w:rsidR="00CE3BAD" w:rsidRPr="00782BF9" w:rsidRDefault="006B5475">
            <w:pPr>
              <w:pStyle w:val="P68B1DB1-Normal29"/>
              <w:spacing w:after="0" w:line="240" w:lineRule="auto"/>
              <w:rPr>
                <w:noProof/>
                <w:lang w:val="bg-BG"/>
              </w:rPr>
            </w:pPr>
            <w:r w:rsidRPr="00782BF9">
              <w:rPr>
                <w:noProof/>
                <w:lang w:val="bg-BG"/>
              </w:rPr>
              <w:t>165</w:t>
            </w:r>
          </w:p>
        </w:tc>
        <w:tc>
          <w:tcPr>
            <w:tcW w:w="3120" w:type="dxa"/>
            <w:tcBorders>
              <w:top w:val="nil"/>
              <w:left w:val="nil"/>
              <w:bottom w:val="single" w:sz="4" w:space="0" w:color="auto"/>
              <w:right w:val="single" w:sz="4" w:space="0" w:color="auto"/>
            </w:tcBorders>
            <w:shd w:val="clear" w:color="000000" w:fill="C6EFCE"/>
            <w:vAlign w:val="center"/>
          </w:tcPr>
          <w:p w14:paraId="2C8EDCEB" w14:textId="77777777" w:rsidR="00CE3BAD" w:rsidRPr="00782BF9" w:rsidRDefault="006B5475">
            <w:pPr>
              <w:pStyle w:val="P68B1DB1-Normal29"/>
              <w:spacing w:after="0" w:line="240" w:lineRule="auto"/>
              <w:rPr>
                <w:noProof/>
                <w:lang w:val="bg-BG"/>
              </w:rPr>
            </w:pPr>
            <w:r w:rsidRPr="00782BF9">
              <w:rPr>
                <w:noProof/>
                <w:lang w:val="bg-BG"/>
              </w:rPr>
              <w:t>C9.R1 Създаване на орган по интегритета с цел засилване на предотвратяването, разкриването и коригирането на измами, конфликти на интереси и корупция, както и на други нередности и нередности, свързани с изпълнението на подкрепата на Съюза</w:t>
            </w:r>
          </w:p>
        </w:tc>
        <w:tc>
          <w:tcPr>
            <w:tcW w:w="1164" w:type="dxa"/>
            <w:tcBorders>
              <w:top w:val="nil"/>
              <w:left w:val="nil"/>
              <w:bottom w:val="single" w:sz="4" w:space="0" w:color="auto"/>
              <w:right w:val="single" w:sz="4" w:space="0" w:color="auto"/>
            </w:tcBorders>
            <w:shd w:val="clear" w:color="000000" w:fill="C6EFCE"/>
            <w:vAlign w:val="center"/>
          </w:tcPr>
          <w:p w14:paraId="7FBDFC15"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67CB43B" w14:textId="77777777" w:rsidR="00CE3BAD" w:rsidRPr="00782BF9" w:rsidRDefault="006B5475">
            <w:pPr>
              <w:pStyle w:val="P68B1DB1-Normal29"/>
              <w:spacing w:after="0" w:line="240" w:lineRule="auto"/>
              <w:rPr>
                <w:noProof/>
                <w:lang w:val="bg-BG"/>
              </w:rPr>
            </w:pPr>
            <w:r w:rsidRPr="00782BF9">
              <w:rPr>
                <w:noProof/>
                <w:lang w:val="bg-BG"/>
              </w:rPr>
              <w:t>Преглед на системата за деклариране на имущественото състояние от Органа по интегритета</w:t>
            </w:r>
          </w:p>
        </w:tc>
      </w:tr>
      <w:tr w:rsidR="00CE3BAD" w:rsidRPr="00782BF9" w14:paraId="1924BDE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CC18A7C" w14:textId="77777777" w:rsidR="00CE3BAD" w:rsidRPr="00782BF9" w:rsidRDefault="006B5475">
            <w:pPr>
              <w:pStyle w:val="P68B1DB1-Normal29"/>
              <w:spacing w:after="0" w:line="240" w:lineRule="auto"/>
              <w:rPr>
                <w:noProof/>
                <w:lang w:val="bg-BG"/>
              </w:rPr>
            </w:pPr>
            <w:r w:rsidRPr="00782BF9">
              <w:rPr>
                <w:noProof/>
                <w:lang w:val="bg-BG"/>
              </w:rPr>
              <w:t>170</w:t>
            </w:r>
          </w:p>
        </w:tc>
        <w:tc>
          <w:tcPr>
            <w:tcW w:w="3120" w:type="dxa"/>
            <w:tcBorders>
              <w:top w:val="nil"/>
              <w:left w:val="nil"/>
              <w:bottom w:val="single" w:sz="4" w:space="0" w:color="auto"/>
              <w:right w:val="single" w:sz="4" w:space="0" w:color="auto"/>
            </w:tcBorders>
            <w:shd w:val="clear" w:color="000000" w:fill="C6EFCE"/>
            <w:vAlign w:val="center"/>
          </w:tcPr>
          <w:p w14:paraId="37EA8D24" w14:textId="77777777" w:rsidR="00CE3BAD" w:rsidRPr="00782BF9" w:rsidRDefault="006B5475">
            <w:pPr>
              <w:pStyle w:val="P68B1DB1-Normal29"/>
              <w:spacing w:after="0" w:line="240" w:lineRule="auto"/>
              <w:rPr>
                <w:noProof/>
                <w:lang w:val="bg-BG"/>
              </w:rPr>
            </w:pPr>
            <w:r w:rsidRPr="00782BF9">
              <w:rPr>
                <w:noProof/>
                <w:lang w:val="bg-BG"/>
              </w:rPr>
              <w:t>C9.R3 Въвеждане на специална процедура в случай на специални престъпления, свързани с упражняването на публична власт или управлението на публична собственост („съдебен контрол“)</w:t>
            </w:r>
          </w:p>
        </w:tc>
        <w:tc>
          <w:tcPr>
            <w:tcW w:w="1164" w:type="dxa"/>
            <w:tcBorders>
              <w:top w:val="nil"/>
              <w:left w:val="nil"/>
              <w:bottom w:val="single" w:sz="4" w:space="0" w:color="auto"/>
              <w:right w:val="single" w:sz="4" w:space="0" w:color="auto"/>
            </w:tcBorders>
            <w:shd w:val="clear" w:color="000000" w:fill="C6EFCE"/>
            <w:vAlign w:val="center"/>
          </w:tcPr>
          <w:p w14:paraId="3C356C9B"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8943792" w14:textId="77777777" w:rsidR="00CE3BAD" w:rsidRPr="00782BF9" w:rsidRDefault="006B5475">
            <w:pPr>
              <w:pStyle w:val="P68B1DB1-Normal29"/>
              <w:spacing w:after="0" w:line="240" w:lineRule="auto"/>
              <w:rPr>
                <w:noProof/>
                <w:lang w:val="bg-BG"/>
              </w:rPr>
            </w:pPr>
            <w:r w:rsidRPr="00782BF9">
              <w:rPr>
                <w:noProof/>
                <w:lang w:val="bg-BG"/>
              </w:rPr>
              <w:t>Преглед на специфичната процедура в случай на специални престъпления, свързани с упражняването на публична власт или управлението на публична собственост</w:t>
            </w:r>
          </w:p>
        </w:tc>
      </w:tr>
      <w:tr w:rsidR="00CE3BAD" w:rsidRPr="00782BF9" w14:paraId="1C95894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195DC93" w14:textId="77777777" w:rsidR="00CE3BAD" w:rsidRPr="00782BF9" w:rsidRDefault="006B5475">
            <w:pPr>
              <w:pStyle w:val="P68B1DB1-Normal29"/>
              <w:spacing w:after="0" w:line="240" w:lineRule="auto"/>
              <w:rPr>
                <w:noProof/>
                <w:lang w:val="bg-BG"/>
              </w:rPr>
            </w:pPr>
            <w:r w:rsidRPr="00782BF9">
              <w:rPr>
                <w:noProof/>
                <w:lang w:val="bg-BG"/>
              </w:rPr>
              <w:t>173</w:t>
            </w:r>
          </w:p>
        </w:tc>
        <w:tc>
          <w:tcPr>
            <w:tcW w:w="3120" w:type="dxa"/>
            <w:tcBorders>
              <w:top w:val="nil"/>
              <w:left w:val="nil"/>
              <w:bottom w:val="single" w:sz="4" w:space="0" w:color="auto"/>
              <w:right w:val="single" w:sz="4" w:space="0" w:color="auto"/>
            </w:tcBorders>
            <w:shd w:val="clear" w:color="000000" w:fill="C6EFCE"/>
            <w:vAlign w:val="center"/>
          </w:tcPr>
          <w:p w14:paraId="5D3BB9D5" w14:textId="77777777" w:rsidR="00CE3BAD" w:rsidRPr="00782BF9" w:rsidRDefault="006B5475">
            <w:pPr>
              <w:pStyle w:val="P68B1DB1-Normal29"/>
              <w:spacing w:after="0" w:line="240" w:lineRule="auto"/>
              <w:rPr>
                <w:noProof/>
                <w:lang w:val="bg-BG"/>
              </w:rPr>
            </w:pPr>
            <w:r w:rsidRPr="00782BF9">
              <w:rPr>
                <w:noProof/>
                <w:lang w:val="bg-BG"/>
              </w:rPr>
              <w:t>C9.R4 Укрепване на правилата, свързани с декларациите за имущественото състояние</w:t>
            </w:r>
          </w:p>
        </w:tc>
        <w:tc>
          <w:tcPr>
            <w:tcW w:w="1164" w:type="dxa"/>
            <w:tcBorders>
              <w:top w:val="nil"/>
              <w:left w:val="nil"/>
              <w:bottom w:val="single" w:sz="4" w:space="0" w:color="auto"/>
              <w:right w:val="single" w:sz="4" w:space="0" w:color="auto"/>
            </w:tcBorders>
            <w:shd w:val="clear" w:color="000000" w:fill="C6EFCE"/>
            <w:vAlign w:val="center"/>
          </w:tcPr>
          <w:p w14:paraId="575516B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65456DE" w14:textId="77777777" w:rsidR="00CE3BAD" w:rsidRPr="00782BF9" w:rsidRDefault="006B5475">
            <w:pPr>
              <w:pStyle w:val="P68B1DB1-Normal29"/>
              <w:spacing w:after="0" w:line="240" w:lineRule="auto"/>
              <w:rPr>
                <w:noProof/>
                <w:lang w:val="bg-BG"/>
              </w:rPr>
            </w:pPr>
            <w:r w:rsidRPr="00782BF9">
              <w:rPr>
                <w:noProof/>
                <w:lang w:val="bg-BG"/>
              </w:rPr>
              <w:t>Въвеждане на ефективни административни и наказателни санкции във връзка със сериозни нарушения на задълженията за деклариране на имущественото състояние</w:t>
            </w:r>
          </w:p>
        </w:tc>
      </w:tr>
      <w:tr w:rsidR="00CE3BAD" w:rsidRPr="00782BF9" w14:paraId="4305822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FC0EBD2" w14:textId="77777777" w:rsidR="00CE3BAD" w:rsidRPr="00782BF9" w:rsidRDefault="006B5475">
            <w:pPr>
              <w:pStyle w:val="P68B1DB1-Normal29"/>
              <w:spacing w:after="0" w:line="240" w:lineRule="auto"/>
              <w:rPr>
                <w:noProof/>
                <w:lang w:val="bg-BG"/>
              </w:rPr>
            </w:pPr>
            <w:r w:rsidRPr="00782BF9">
              <w:rPr>
                <w:noProof/>
                <w:lang w:val="bg-BG"/>
              </w:rPr>
              <w:t>183</w:t>
            </w:r>
          </w:p>
        </w:tc>
        <w:tc>
          <w:tcPr>
            <w:tcW w:w="3120" w:type="dxa"/>
            <w:tcBorders>
              <w:top w:val="nil"/>
              <w:left w:val="nil"/>
              <w:bottom w:val="single" w:sz="4" w:space="0" w:color="auto"/>
              <w:right w:val="single" w:sz="4" w:space="0" w:color="auto"/>
            </w:tcBorders>
            <w:shd w:val="clear" w:color="000000" w:fill="C6EFCE"/>
            <w:vAlign w:val="center"/>
          </w:tcPr>
          <w:p w14:paraId="1723AE82" w14:textId="77777777" w:rsidR="00CE3BAD" w:rsidRPr="00782BF9" w:rsidRDefault="006B5475">
            <w:pPr>
              <w:pStyle w:val="P68B1DB1-Normal29"/>
              <w:spacing w:after="0" w:line="240" w:lineRule="auto"/>
              <w:rPr>
                <w:noProof/>
                <w:lang w:val="bg-BG"/>
              </w:rPr>
            </w:pPr>
            <w:r w:rsidRPr="00782BF9">
              <w:rPr>
                <w:noProof/>
                <w:lang w:val="bg-BG"/>
              </w:rPr>
              <w:t xml:space="preserve">C9.R9 Повишаване на осведомеността за премахване на безплатните плащания в сектора на здравеопазването   </w:t>
            </w:r>
          </w:p>
        </w:tc>
        <w:tc>
          <w:tcPr>
            <w:tcW w:w="1164" w:type="dxa"/>
            <w:tcBorders>
              <w:top w:val="nil"/>
              <w:left w:val="nil"/>
              <w:bottom w:val="single" w:sz="4" w:space="0" w:color="auto"/>
              <w:right w:val="single" w:sz="4" w:space="0" w:color="auto"/>
            </w:tcBorders>
            <w:shd w:val="clear" w:color="000000" w:fill="C6EFCE"/>
            <w:vAlign w:val="center"/>
          </w:tcPr>
          <w:p w14:paraId="4EEA753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39E829D" w14:textId="77777777" w:rsidR="00CE3BAD" w:rsidRPr="00782BF9" w:rsidRDefault="006B5475">
            <w:pPr>
              <w:pStyle w:val="P68B1DB1-Normal29"/>
              <w:spacing w:after="0" w:line="240" w:lineRule="auto"/>
              <w:rPr>
                <w:noProof/>
                <w:lang w:val="bg-BG"/>
              </w:rPr>
            </w:pPr>
            <w:r w:rsidRPr="00782BF9">
              <w:rPr>
                <w:noProof/>
                <w:lang w:val="bg-BG"/>
              </w:rPr>
              <w:t>Междинна оценка на първите резултати от кампанията за повишаване на осведомеността относно приемливостта на безплатните плащания в здравеопазването</w:t>
            </w:r>
          </w:p>
        </w:tc>
      </w:tr>
      <w:tr w:rsidR="00CE3BAD" w:rsidRPr="00782BF9" w14:paraId="57B6975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55EBFB9" w14:textId="77777777" w:rsidR="00CE3BAD" w:rsidRPr="00782BF9" w:rsidRDefault="006B5475">
            <w:pPr>
              <w:pStyle w:val="P68B1DB1-Normal29"/>
              <w:spacing w:after="0" w:line="240" w:lineRule="auto"/>
              <w:rPr>
                <w:noProof/>
                <w:lang w:val="bg-BG"/>
              </w:rPr>
            </w:pPr>
            <w:r w:rsidRPr="00782BF9">
              <w:rPr>
                <w:noProof/>
                <w:lang w:val="bg-BG"/>
              </w:rPr>
              <w:t>236</w:t>
            </w:r>
          </w:p>
        </w:tc>
        <w:tc>
          <w:tcPr>
            <w:tcW w:w="3120" w:type="dxa"/>
            <w:tcBorders>
              <w:top w:val="nil"/>
              <w:left w:val="nil"/>
              <w:bottom w:val="single" w:sz="4" w:space="0" w:color="auto"/>
              <w:right w:val="single" w:sz="4" w:space="0" w:color="auto"/>
            </w:tcBorders>
            <w:shd w:val="clear" w:color="000000" w:fill="C6EFCE"/>
            <w:vAlign w:val="center"/>
          </w:tcPr>
          <w:p w14:paraId="5EEE06D4" w14:textId="77777777" w:rsidR="00CE3BAD" w:rsidRPr="00782BF9" w:rsidRDefault="006B5475">
            <w:pPr>
              <w:pStyle w:val="P68B1DB1-Normal29"/>
              <w:spacing w:after="0" w:line="240" w:lineRule="auto"/>
              <w:rPr>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1164" w:type="dxa"/>
            <w:tcBorders>
              <w:top w:val="nil"/>
              <w:left w:val="nil"/>
              <w:bottom w:val="single" w:sz="4" w:space="0" w:color="auto"/>
              <w:right w:val="single" w:sz="4" w:space="0" w:color="auto"/>
            </w:tcBorders>
            <w:shd w:val="clear" w:color="000000" w:fill="C6EFCE"/>
            <w:vAlign w:val="center"/>
          </w:tcPr>
          <w:p w14:paraId="6C88DF0F"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9E23FCE" w14:textId="77777777" w:rsidR="00CE3BAD" w:rsidRPr="00782BF9" w:rsidRDefault="006B5475">
            <w:pPr>
              <w:pStyle w:val="P68B1DB1-Normal29"/>
              <w:spacing w:after="0" w:line="240" w:lineRule="auto"/>
              <w:rPr>
                <w:noProof/>
                <w:lang w:val="bg-BG"/>
              </w:rPr>
            </w:pPr>
            <w:r w:rsidRPr="00782BF9">
              <w:rPr>
                <w:noProof/>
                <w:lang w:val="bg-BG"/>
              </w:rPr>
              <w:t>Начало на прилагането на нова методология за изготвяне на оценки на въздействието на законодателни предложения</w:t>
            </w:r>
          </w:p>
        </w:tc>
      </w:tr>
      <w:tr w:rsidR="00CE3BAD" w:rsidRPr="00782BF9" w14:paraId="0127F79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2D85506" w14:textId="77777777" w:rsidR="00CE3BAD" w:rsidRPr="00782BF9" w:rsidRDefault="006B5475">
            <w:pPr>
              <w:pStyle w:val="P68B1DB1-Normal29"/>
              <w:spacing w:after="0" w:line="240" w:lineRule="auto"/>
              <w:rPr>
                <w:noProof/>
                <w:lang w:val="bg-BG"/>
              </w:rPr>
            </w:pPr>
            <w:r w:rsidRPr="00782BF9">
              <w:rPr>
                <w:noProof/>
                <w:lang w:val="bg-BG"/>
              </w:rPr>
              <w:t>245</w:t>
            </w:r>
          </w:p>
        </w:tc>
        <w:tc>
          <w:tcPr>
            <w:tcW w:w="3120" w:type="dxa"/>
            <w:tcBorders>
              <w:top w:val="nil"/>
              <w:left w:val="nil"/>
              <w:bottom w:val="single" w:sz="4" w:space="0" w:color="auto"/>
              <w:right w:val="single" w:sz="4" w:space="0" w:color="auto"/>
            </w:tcBorders>
            <w:shd w:val="clear" w:color="000000" w:fill="C6EFCE"/>
            <w:vAlign w:val="center"/>
          </w:tcPr>
          <w:p w14:paraId="1042830D" w14:textId="77777777" w:rsidR="00CE3BAD" w:rsidRPr="00782BF9" w:rsidRDefault="006B5475">
            <w:pPr>
              <w:pStyle w:val="P68B1DB1-Normal29"/>
              <w:spacing w:after="0" w:line="240" w:lineRule="auto"/>
              <w:rPr>
                <w:noProof/>
                <w:lang w:val="bg-BG"/>
              </w:rPr>
            </w:pPr>
            <w:r w:rsidRPr="00782BF9">
              <w:rPr>
                <w:noProof/>
                <w:lang w:val="bg-BG"/>
              </w:rPr>
              <w:t>C9.R31 Въвеждане на изисквания за минимално съдържание за целите на корпоративното подоходно облагане</w:t>
            </w:r>
          </w:p>
        </w:tc>
        <w:tc>
          <w:tcPr>
            <w:tcW w:w="1164" w:type="dxa"/>
            <w:tcBorders>
              <w:top w:val="nil"/>
              <w:left w:val="nil"/>
              <w:bottom w:val="single" w:sz="4" w:space="0" w:color="auto"/>
              <w:right w:val="single" w:sz="4" w:space="0" w:color="auto"/>
            </w:tcBorders>
            <w:shd w:val="clear" w:color="000000" w:fill="C6EFCE"/>
            <w:vAlign w:val="center"/>
          </w:tcPr>
          <w:p w14:paraId="62AA423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8BB3689" w14:textId="77777777" w:rsidR="00CE3BAD" w:rsidRPr="00782BF9" w:rsidRDefault="006B5475">
            <w:pPr>
              <w:pStyle w:val="P68B1DB1-Normal29"/>
              <w:spacing w:after="0" w:line="240" w:lineRule="auto"/>
              <w:rPr>
                <w:noProof/>
                <w:lang w:val="bg-BG"/>
              </w:rPr>
            </w:pPr>
            <w:r w:rsidRPr="00782BF9">
              <w:rPr>
                <w:noProof/>
                <w:lang w:val="bg-BG"/>
              </w:rPr>
              <w:t>Независим международен експертен преглед на националните правила за борба с избягването на данъци</w:t>
            </w:r>
          </w:p>
        </w:tc>
      </w:tr>
      <w:tr w:rsidR="00CE3BAD" w:rsidRPr="00782BF9" w14:paraId="3AC2C47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552432E" w14:textId="77777777" w:rsidR="00CE3BAD" w:rsidRPr="00782BF9" w:rsidRDefault="006B5475">
            <w:pPr>
              <w:pStyle w:val="P68B1DB1-Normal29"/>
              <w:spacing w:after="0" w:line="240" w:lineRule="auto"/>
              <w:rPr>
                <w:noProof/>
                <w:lang w:val="bg-BG"/>
              </w:rPr>
            </w:pPr>
            <w:r w:rsidRPr="00782BF9">
              <w:rPr>
                <w:noProof/>
                <w:lang w:val="bg-BG"/>
              </w:rPr>
              <w:t>246</w:t>
            </w:r>
          </w:p>
        </w:tc>
        <w:tc>
          <w:tcPr>
            <w:tcW w:w="3120" w:type="dxa"/>
            <w:tcBorders>
              <w:top w:val="nil"/>
              <w:left w:val="nil"/>
              <w:bottom w:val="single" w:sz="4" w:space="0" w:color="auto"/>
              <w:right w:val="single" w:sz="4" w:space="0" w:color="auto"/>
            </w:tcBorders>
            <w:shd w:val="clear" w:color="000000" w:fill="C6EFCE"/>
            <w:vAlign w:val="center"/>
          </w:tcPr>
          <w:p w14:paraId="6FE8280E" w14:textId="77777777" w:rsidR="00CE3BAD" w:rsidRPr="00782BF9" w:rsidRDefault="006B5475">
            <w:pPr>
              <w:pStyle w:val="P68B1DB1-Normal29"/>
              <w:spacing w:after="0" w:line="240" w:lineRule="auto"/>
              <w:rPr>
                <w:noProof/>
                <w:lang w:val="bg-BG"/>
              </w:rPr>
            </w:pPr>
            <w:r w:rsidRPr="00782BF9">
              <w:rPr>
                <w:noProof/>
                <w:lang w:val="bg-BG"/>
              </w:rPr>
              <w:t>C9.R31 Въвеждане на изисквания за минимално съдържание за целите на корпоративното подоходно облагане</w:t>
            </w:r>
          </w:p>
        </w:tc>
        <w:tc>
          <w:tcPr>
            <w:tcW w:w="1164" w:type="dxa"/>
            <w:tcBorders>
              <w:top w:val="nil"/>
              <w:left w:val="nil"/>
              <w:bottom w:val="single" w:sz="4" w:space="0" w:color="auto"/>
              <w:right w:val="single" w:sz="4" w:space="0" w:color="auto"/>
            </w:tcBorders>
            <w:shd w:val="clear" w:color="000000" w:fill="C6EFCE"/>
            <w:vAlign w:val="center"/>
          </w:tcPr>
          <w:p w14:paraId="38559F7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7D468BC"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 установяващо минимални изисквания по отношение на съдържанието за целите на корпоративното подоходно облагане</w:t>
            </w:r>
          </w:p>
        </w:tc>
      </w:tr>
      <w:tr w:rsidR="00CE3BAD" w:rsidRPr="00782BF9" w14:paraId="5658C87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CF81711" w14:textId="77777777" w:rsidR="00CE3BAD" w:rsidRPr="00782BF9" w:rsidRDefault="006B5475">
            <w:pPr>
              <w:pStyle w:val="P68B1DB1-Normal29"/>
              <w:spacing w:after="0" w:line="240" w:lineRule="auto"/>
              <w:rPr>
                <w:noProof/>
                <w:lang w:val="bg-BG"/>
              </w:rPr>
            </w:pPr>
            <w:r w:rsidRPr="00782BF9">
              <w:rPr>
                <w:noProof/>
                <w:lang w:val="bg-BG"/>
              </w:rPr>
              <w:t>247</w:t>
            </w:r>
          </w:p>
        </w:tc>
        <w:tc>
          <w:tcPr>
            <w:tcW w:w="3120" w:type="dxa"/>
            <w:tcBorders>
              <w:top w:val="nil"/>
              <w:left w:val="nil"/>
              <w:bottom w:val="single" w:sz="4" w:space="0" w:color="auto"/>
              <w:right w:val="single" w:sz="4" w:space="0" w:color="auto"/>
            </w:tcBorders>
            <w:shd w:val="clear" w:color="000000" w:fill="C6EFCE"/>
            <w:vAlign w:val="center"/>
          </w:tcPr>
          <w:p w14:paraId="3499E176" w14:textId="77777777" w:rsidR="00CE3BAD" w:rsidRPr="00782BF9" w:rsidRDefault="006B5475">
            <w:pPr>
              <w:pStyle w:val="P68B1DB1-Normal29"/>
              <w:spacing w:after="0" w:line="240" w:lineRule="auto"/>
              <w:rPr>
                <w:noProof/>
                <w:lang w:val="bg-BG"/>
              </w:rPr>
            </w:pPr>
            <w:r w:rsidRPr="00782BF9">
              <w:rPr>
                <w:noProof/>
                <w:lang w:val="bg-BG"/>
              </w:rPr>
              <w:t>C9.R32 Укрепване на правилата за трансферно ценообразуване</w:t>
            </w:r>
          </w:p>
        </w:tc>
        <w:tc>
          <w:tcPr>
            <w:tcW w:w="1164" w:type="dxa"/>
            <w:tcBorders>
              <w:top w:val="nil"/>
              <w:left w:val="nil"/>
              <w:bottom w:val="single" w:sz="4" w:space="0" w:color="auto"/>
              <w:right w:val="single" w:sz="4" w:space="0" w:color="auto"/>
            </w:tcBorders>
            <w:shd w:val="clear" w:color="000000" w:fill="C6EFCE"/>
            <w:vAlign w:val="center"/>
          </w:tcPr>
          <w:p w14:paraId="0E6B302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12227AC"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 изменения за укрепване на правилата за трансферно ценообразуване</w:t>
            </w:r>
          </w:p>
        </w:tc>
      </w:tr>
      <w:tr w:rsidR="00CE3BAD" w:rsidRPr="00782BF9" w14:paraId="091D366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70FC5BE" w14:textId="77777777" w:rsidR="00CE3BAD" w:rsidRPr="00782BF9" w:rsidRDefault="006B5475">
            <w:pPr>
              <w:pStyle w:val="P68B1DB1-Normal29"/>
              <w:spacing w:after="0" w:line="240" w:lineRule="auto"/>
              <w:rPr>
                <w:noProof/>
                <w:lang w:val="bg-BG"/>
              </w:rPr>
            </w:pPr>
            <w:r w:rsidRPr="00782BF9">
              <w:rPr>
                <w:noProof/>
                <w:lang w:val="bg-BG"/>
              </w:rPr>
              <w:t>248</w:t>
            </w:r>
          </w:p>
        </w:tc>
        <w:tc>
          <w:tcPr>
            <w:tcW w:w="3120" w:type="dxa"/>
            <w:tcBorders>
              <w:top w:val="nil"/>
              <w:left w:val="nil"/>
              <w:bottom w:val="single" w:sz="4" w:space="0" w:color="auto"/>
              <w:right w:val="single" w:sz="4" w:space="0" w:color="auto"/>
            </w:tcBorders>
            <w:shd w:val="clear" w:color="000000" w:fill="C6EFCE"/>
            <w:vAlign w:val="center"/>
          </w:tcPr>
          <w:p w14:paraId="2321C033" w14:textId="77777777" w:rsidR="00CE3BAD" w:rsidRPr="00782BF9" w:rsidRDefault="006B5475">
            <w:pPr>
              <w:pStyle w:val="P68B1DB1-Normal29"/>
              <w:spacing w:after="0" w:line="240" w:lineRule="auto"/>
              <w:rPr>
                <w:noProof/>
                <w:lang w:val="bg-BG"/>
              </w:rPr>
            </w:pPr>
            <w:r w:rsidRPr="00782BF9">
              <w:rPr>
                <w:noProof/>
                <w:lang w:val="bg-BG"/>
              </w:rPr>
              <w:t>C9.R33 Разширяване на обхвата на правилата за неприспадане за изходящи плащания</w:t>
            </w:r>
          </w:p>
        </w:tc>
        <w:tc>
          <w:tcPr>
            <w:tcW w:w="1164" w:type="dxa"/>
            <w:tcBorders>
              <w:top w:val="nil"/>
              <w:left w:val="nil"/>
              <w:bottom w:val="single" w:sz="4" w:space="0" w:color="auto"/>
              <w:right w:val="single" w:sz="4" w:space="0" w:color="auto"/>
            </w:tcBorders>
            <w:shd w:val="clear" w:color="000000" w:fill="C6EFCE"/>
            <w:vAlign w:val="center"/>
          </w:tcPr>
          <w:p w14:paraId="60D7248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8A0BA70"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 изменения за разширяване на правилата за неприспадане за изходящи плащания</w:t>
            </w:r>
          </w:p>
        </w:tc>
      </w:tr>
      <w:tr w:rsidR="00CE3BAD" w:rsidRPr="00782BF9" w14:paraId="4CB742A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0BCCD7B" w14:textId="77777777" w:rsidR="00CE3BAD" w:rsidRPr="00782BF9" w:rsidRDefault="006B5475">
            <w:pPr>
              <w:pStyle w:val="P68B1DB1-Normal29"/>
              <w:spacing w:after="0" w:line="240" w:lineRule="auto"/>
              <w:rPr>
                <w:noProof/>
                <w:lang w:val="bg-BG"/>
              </w:rPr>
            </w:pPr>
            <w:r w:rsidRPr="00782BF9">
              <w:rPr>
                <w:noProof/>
                <w:lang w:val="bg-BG"/>
              </w:rPr>
              <w:t>257</w:t>
            </w:r>
          </w:p>
        </w:tc>
        <w:tc>
          <w:tcPr>
            <w:tcW w:w="3120" w:type="dxa"/>
            <w:tcBorders>
              <w:top w:val="nil"/>
              <w:left w:val="nil"/>
              <w:bottom w:val="single" w:sz="4" w:space="0" w:color="auto"/>
              <w:right w:val="single" w:sz="4" w:space="0" w:color="auto"/>
            </w:tcBorders>
            <w:shd w:val="clear" w:color="000000" w:fill="C6EFCE"/>
            <w:vAlign w:val="center"/>
          </w:tcPr>
          <w:p w14:paraId="2623CD23" w14:textId="77777777" w:rsidR="00CE3BAD" w:rsidRPr="00782BF9" w:rsidRDefault="006B5475">
            <w:pPr>
              <w:pStyle w:val="P68B1DB1-Normal29"/>
              <w:spacing w:after="0" w:line="240" w:lineRule="auto"/>
              <w:rPr>
                <w:noProof/>
                <w:lang w:val="bg-BG"/>
              </w:rPr>
            </w:pPr>
            <w:r w:rsidRPr="00782BF9">
              <w:rPr>
                <w:noProof/>
                <w:lang w:val="bg-BG"/>
              </w:rPr>
              <w:t>C9.R35 Опростяване на данъчната система чрез намаляване на броя на данъците</w:t>
            </w:r>
          </w:p>
        </w:tc>
        <w:tc>
          <w:tcPr>
            <w:tcW w:w="1164" w:type="dxa"/>
            <w:tcBorders>
              <w:top w:val="nil"/>
              <w:left w:val="nil"/>
              <w:bottom w:val="single" w:sz="4" w:space="0" w:color="auto"/>
              <w:right w:val="single" w:sz="4" w:space="0" w:color="auto"/>
            </w:tcBorders>
            <w:shd w:val="clear" w:color="000000" w:fill="C6EFCE"/>
            <w:vAlign w:val="center"/>
          </w:tcPr>
          <w:p w14:paraId="46818F4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3638A22" w14:textId="77777777" w:rsidR="00CE3BAD" w:rsidRPr="00782BF9" w:rsidRDefault="006B5475">
            <w:pPr>
              <w:pStyle w:val="P68B1DB1-Normal29"/>
              <w:spacing w:after="0" w:line="240" w:lineRule="auto"/>
              <w:rPr>
                <w:noProof/>
                <w:lang w:val="bg-BG"/>
              </w:rPr>
            </w:pPr>
            <w:r w:rsidRPr="00782BF9">
              <w:rPr>
                <w:noProof/>
                <w:lang w:val="bg-BG"/>
              </w:rPr>
              <w:t>Постепенно премахване на временните данъчни мерки</w:t>
            </w:r>
          </w:p>
        </w:tc>
      </w:tr>
      <w:tr w:rsidR="00CE3BAD" w:rsidRPr="00782BF9" w14:paraId="5E4683B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D849D5E" w14:textId="77777777" w:rsidR="00CE3BAD" w:rsidRPr="00782BF9" w:rsidRDefault="006B5475">
            <w:pPr>
              <w:pStyle w:val="P68B1DB1-Normal29"/>
              <w:spacing w:after="0" w:line="240" w:lineRule="auto"/>
              <w:rPr>
                <w:noProof/>
                <w:lang w:val="bg-BG"/>
              </w:rPr>
            </w:pPr>
            <w:r w:rsidRPr="00782BF9">
              <w:rPr>
                <w:noProof/>
                <w:lang w:val="bg-BG"/>
              </w:rPr>
              <w:t>258</w:t>
            </w:r>
          </w:p>
        </w:tc>
        <w:tc>
          <w:tcPr>
            <w:tcW w:w="3120" w:type="dxa"/>
            <w:tcBorders>
              <w:top w:val="nil"/>
              <w:left w:val="nil"/>
              <w:bottom w:val="single" w:sz="4" w:space="0" w:color="auto"/>
              <w:right w:val="single" w:sz="4" w:space="0" w:color="auto"/>
            </w:tcBorders>
            <w:shd w:val="clear" w:color="000000" w:fill="C6EFCE"/>
            <w:vAlign w:val="center"/>
          </w:tcPr>
          <w:p w14:paraId="5395E86D" w14:textId="77777777" w:rsidR="00CE3BAD" w:rsidRPr="00782BF9" w:rsidRDefault="006B5475">
            <w:pPr>
              <w:pStyle w:val="P68B1DB1-Normal29"/>
              <w:spacing w:after="0" w:line="240" w:lineRule="auto"/>
              <w:rPr>
                <w:noProof/>
                <w:lang w:val="bg-BG"/>
              </w:rPr>
            </w:pPr>
            <w:r w:rsidRPr="00782BF9">
              <w:rPr>
                <w:noProof/>
                <w:lang w:val="bg-BG"/>
              </w:rPr>
              <w:t>C9.R35 Опростяване на данъчната система чрез намаляване на броя на данъците</w:t>
            </w:r>
          </w:p>
        </w:tc>
        <w:tc>
          <w:tcPr>
            <w:tcW w:w="1164" w:type="dxa"/>
            <w:tcBorders>
              <w:top w:val="nil"/>
              <w:left w:val="nil"/>
              <w:bottom w:val="single" w:sz="4" w:space="0" w:color="auto"/>
              <w:right w:val="single" w:sz="4" w:space="0" w:color="auto"/>
            </w:tcBorders>
            <w:shd w:val="clear" w:color="000000" w:fill="C6EFCE"/>
            <w:vAlign w:val="center"/>
          </w:tcPr>
          <w:p w14:paraId="3902902A"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2616AAF" w14:textId="77777777" w:rsidR="00CE3BAD" w:rsidRPr="00782BF9" w:rsidRDefault="006B5475">
            <w:pPr>
              <w:pStyle w:val="P68B1DB1-Normal29"/>
              <w:spacing w:after="0" w:line="240" w:lineRule="auto"/>
              <w:rPr>
                <w:noProof/>
                <w:lang w:val="bg-BG"/>
              </w:rPr>
            </w:pPr>
            <w:r w:rsidRPr="00782BF9">
              <w:rPr>
                <w:noProof/>
                <w:lang w:val="bg-BG"/>
              </w:rPr>
              <w:t>Доклад на работната група относно намаляването на броя на данъците</w:t>
            </w:r>
          </w:p>
        </w:tc>
      </w:tr>
      <w:tr w:rsidR="00CE3BAD" w:rsidRPr="00782BF9" w14:paraId="3434723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23873B3" w14:textId="77777777" w:rsidR="00CE3BAD" w:rsidRPr="00782BF9" w:rsidRDefault="006B5475">
            <w:pPr>
              <w:pStyle w:val="P68B1DB1-Normal29"/>
              <w:spacing w:after="0" w:line="240" w:lineRule="auto"/>
              <w:rPr>
                <w:noProof/>
                <w:lang w:val="bg-BG"/>
              </w:rPr>
            </w:pPr>
            <w:r w:rsidRPr="00782BF9">
              <w:rPr>
                <w:noProof/>
                <w:lang w:val="bg-BG"/>
              </w:rPr>
              <w:t>260</w:t>
            </w:r>
          </w:p>
        </w:tc>
        <w:tc>
          <w:tcPr>
            <w:tcW w:w="3120" w:type="dxa"/>
            <w:tcBorders>
              <w:top w:val="nil"/>
              <w:left w:val="nil"/>
              <w:bottom w:val="single" w:sz="4" w:space="0" w:color="auto"/>
              <w:right w:val="single" w:sz="4" w:space="0" w:color="auto"/>
            </w:tcBorders>
            <w:shd w:val="clear" w:color="000000" w:fill="C6EFCE"/>
            <w:vAlign w:val="center"/>
          </w:tcPr>
          <w:p w14:paraId="5ABB80E7" w14:textId="77777777" w:rsidR="00CE3BAD" w:rsidRPr="00782BF9" w:rsidRDefault="006B5475">
            <w:pPr>
              <w:pStyle w:val="P68B1DB1-Normal29"/>
              <w:spacing w:after="0" w:line="240" w:lineRule="auto"/>
              <w:rPr>
                <w:noProof/>
                <w:lang w:val="bg-BG"/>
              </w:rPr>
            </w:pPr>
            <w:r w:rsidRPr="00782BF9">
              <w:rPr>
                <w:noProof/>
                <w:lang w:val="bg-BG"/>
              </w:rPr>
              <w:t>C9.R35 Опростяване на данъчната система чрез намаляване на броя на данъците</w:t>
            </w:r>
          </w:p>
        </w:tc>
        <w:tc>
          <w:tcPr>
            <w:tcW w:w="1164" w:type="dxa"/>
            <w:tcBorders>
              <w:top w:val="nil"/>
              <w:left w:val="nil"/>
              <w:bottom w:val="single" w:sz="4" w:space="0" w:color="auto"/>
              <w:right w:val="single" w:sz="4" w:space="0" w:color="auto"/>
            </w:tcBorders>
            <w:shd w:val="clear" w:color="000000" w:fill="C6EFCE"/>
            <w:vAlign w:val="center"/>
          </w:tcPr>
          <w:p w14:paraId="664D06D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40B6528" w14:textId="77777777" w:rsidR="00CE3BAD" w:rsidRPr="00782BF9" w:rsidRDefault="006B5475">
            <w:pPr>
              <w:pStyle w:val="P68B1DB1-Normal29"/>
              <w:spacing w:after="0" w:line="240" w:lineRule="auto"/>
              <w:rPr>
                <w:noProof/>
                <w:lang w:val="bg-BG"/>
              </w:rPr>
            </w:pPr>
            <w:r w:rsidRPr="00782BF9">
              <w:rPr>
                <w:noProof/>
                <w:lang w:val="bg-BG"/>
              </w:rPr>
              <w:t>Доклад на работната група за възможностите за опростяване и консолидиране на алтернативен набор от правила относно данъчното облагане на доходите на физическите лица</w:t>
            </w:r>
          </w:p>
        </w:tc>
      </w:tr>
      <w:tr w:rsidR="00CE3BAD" w:rsidRPr="00782BF9" w14:paraId="610423D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B0E9B25" w14:textId="77777777" w:rsidR="00CE3BAD" w:rsidRPr="00782BF9" w:rsidRDefault="006B5475">
            <w:pPr>
              <w:pStyle w:val="P68B1DB1-Normal29"/>
              <w:spacing w:after="0" w:line="240" w:lineRule="auto"/>
              <w:rPr>
                <w:noProof/>
                <w:lang w:val="bg-BG"/>
              </w:rPr>
            </w:pPr>
            <w:r w:rsidRPr="00782BF9">
              <w:rPr>
                <w:noProof/>
                <w:lang w:val="bg-BG"/>
              </w:rPr>
              <w:t>261</w:t>
            </w:r>
          </w:p>
        </w:tc>
        <w:tc>
          <w:tcPr>
            <w:tcW w:w="3120" w:type="dxa"/>
            <w:tcBorders>
              <w:top w:val="nil"/>
              <w:left w:val="nil"/>
              <w:bottom w:val="single" w:sz="4" w:space="0" w:color="auto"/>
              <w:right w:val="single" w:sz="4" w:space="0" w:color="auto"/>
            </w:tcBorders>
            <w:shd w:val="clear" w:color="000000" w:fill="C6EFCE"/>
            <w:vAlign w:val="center"/>
          </w:tcPr>
          <w:p w14:paraId="5A62BB3F" w14:textId="77777777" w:rsidR="00CE3BAD" w:rsidRPr="00782BF9" w:rsidRDefault="006B5475">
            <w:pPr>
              <w:pStyle w:val="P68B1DB1-Normal29"/>
              <w:spacing w:after="0" w:line="240" w:lineRule="auto"/>
              <w:rPr>
                <w:noProof/>
                <w:lang w:val="bg-BG"/>
              </w:rPr>
            </w:pPr>
            <w:r w:rsidRPr="00782BF9">
              <w:rPr>
                <w:noProof/>
                <w:lang w:val="bg-BG"/>
              </w:rPr>
              <w:t xml:space="preserve">C9.R35 Опростяване на данъчната система чрез намаляване на броя на данъците </w:t>
            </w:r>
          </w:p>
        </w:tc>
        <w:tc>
          <w:tcPr>
            <w:tcW w:w="1164" w:type="dxa"/>
            <w:tcBorders>
              <w:top w:val="nil"/>
              <w:left w:val="nil"/>
              <w:bottom w:val="single" w:sz="4" w:space="0" w:color="auto"/>
              <w:right w:val="single" w:sz="4" w:space="0" w:color="auto"/>
            </w:tcBorders>
            <w:shd w:val="clear" w:color="000000" w:fill="C6EFCE"/>
            <w:vAlign w:val="center"/>
          </w:tcPr>
          <w:p w14:paraId="18B653C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5B9B93D"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 изменения за опростяване и консолидиране на данъчното облагане на доходите на физическите лица</w:t>
            </w:r>
          </w:p>
        </w:tc>
      </w:tr>
      <w:tr w:rsidR="00CE3BAD" w:rsidRPr="00782BF9" w14:paraId="71E2F1B7" w14:textId="77777777">
        <w:tblPrEx>
          <w:tblCellMar>
            <w:top w:w="0" w:type="dxa"/>
          </w:tblCellMar>
        </w:tblPrEx>
        <w:trPr>
          <w:trHeight w:val="460"/>
        </w:trPr>
        <w:tc>
          <w:tcPr>
            <w:tcW w:w="5522" w:type="dxa"/>
            <w:gridSpan w:val="3"/>
            <w:tcBorders>
              <w:top w:val="nil"/>
              <w:left w:val="single" w:sz="4" w:space="0" w:color="auto"/>
              <w:bottom w:val="single" w:sz="4" w:space="0" w:color="auto"/>
              <w:right w:val="single" w:sz="4" w:space="0" w:color="auto"/>
            </w:tcBorders>
            <w:shd w:val="clear" w:color="000000" w:fill="C6EFCE"/>
            <w:vAlign w:val="center"/>
          </w:tcPr>
          <w:p w14:paraId="76E0B2CB"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nil"/>
              <w:left w:val="nil"/>
              <w:bottom w:val="single" w:sz="4" w:space="0" w:color="auto"/>
              <w:right w:val="single" w:sz="4" w:space="0" w:color="auto"/>
            </w:tcBorders>
            <w:shd w:val="clear" w:color="000000" w:fill="C6EFCE"/>
            <w:vAlign w:val="center"/>
          </w:tcPr>
          <w:p w14:paraId="253809F6" w14:textId="77777777" w:rsidR="00CE3BAD" w:rsidRPr="00782BF9" w:rsidRDefault="006B5475">
            <w:pPr>
              <w:pStyle w:val="P68B1DB1-Normal29"/>
              <w:spacing w:after="0" w:line="240" w:lineRule="auto"/>
              <w:jc w:val="center"/>
              <w:rPr>
                <w:noProof/>
                <w:lang w:val="bg-BG"/>
              </w:rPr>
            </w:pPr>
            <w:r w:rsidRPr="00782BF9">
              <w:rPr>
                <w:noProof/>
                <w:lang w:val="bg-BG"/>
              </w:rPr>
              <w:t>657 810 000 EUR</w:t>
            </w:r>
          </w:p>
        </w:tc>
      </w:tr>
    </w:tbl>
    <w:p w14:paraId="2A5FE108" w14:textId="77777777" w:rsidR="00CE3BAD" w:rsidRPr="00782BF9" w:rsidRDefault="00CE3BAD">
      <w:pPr>
        <w:spacing w:before="120" w:after="120" w:line="240" w:lineRule="auto"/>
        <w:jc w:val="both"/>
        <w:rPr>
          <w:rFonts w:eastAsia="Calibri" w:cs="Times New Roman"/>
          <w:noProof/>
          <w:lang w:val="bg-BG"/>
        </w:rPr>
      </w:pPr>
    </w:p>
    <w:p w14:paraId="3B48CAF2" w14:textId="77777777" w:rsidR="00CE3BAD" w:rsidRPr="00782BF9" w:rsidRDefault="006B5475">
      <w:pPr>
        <w:pStyle w:val="P68B1DB1-ListParagraph27"/>
        <w:numPr>
          <w:ilvl w:val="1"/>
          <w:numId w:val="16"/>
        </w:numPr>
        <w:spacing w:before="120" w:after="120" w:line="240" w:lineRule="auto"/>
        <w:jc w:val="both"/>
        <w:rPr>
          <w:noProof/>
          <w:lang w:val="bg-BG"/>
        </w:rPr>
      </w:pPr>
      <w:r w:rsidRPr="00782BF9">
        <w:rPr>
          <w:noProof/>
          <w:lang w:val="bg-BG"/>
        </w:rPr>
        <w:t>Четвърта вноска (безвъзмездна подкрепа):</w:t>
      </w: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47639739" w14:textId="77777777">
        <w:trPr>
          <w:trHeight w:val="450"/>
          <w:tblHeader/>
        </w:trPr>
        <w:tc>
          <w:tcPr>
            <w:tcW w:w="1238"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729E73FD"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43D49517"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4D6867A6"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395D3268"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55AB9432"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52AD3E92"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5B465136"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33A66D38"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12B8C6B4"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284C1A02"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326133D5"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560E3AE9"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7AF6CFE3"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69923019"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79C91E2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A8E79EC" w14:textId="77777777" w:rsidR="00CE3BAD" w:rsidRPr="00782BF9" w:rsidRDefault="006B5475">
            <w:pPr>
              <w:pStyle w:val="P68B1DB1-Normal29"/>
              <w:spacing w:after="0" w:line="240" w:lineRule="auto"/>
              <w:rPr>
                <w:noProof/>
                <w:lang w:val="bg-BG"/>
              </w:rPr>
            </w:pPr>
            <w:r w:rsidRPr="00782BF9">
              <w:rPr>
                <w:noProof/>
                <w:lang w:val="bg-BG"/>
              </w:rPr>
              <w:t>18</w:t>
            </w:r>
          </w:p>
        </w:tc>
        <w:tc>
          <w:tcPr>
            <w:tcW w:w="3120" w:type="dxa"/>
            <w:tcBorders>
              <w:top w:val="nil"/>
              <w:left w:val="nil"/>
              <w:bottom w:val="single" w:sz="4" w:space="0" w:color="auto"/>
              <w:right w:val="single" w:sz="4" w:space="0" w:color="auto"/>
            </w:tcBorders>
            <w:shd w:val="clear" w:color="000000" w:fill="C6EFCE"/>
            <w:vAlign w:val="center"/>
          </w:tcPr>
          <w:p w14:paraId="16E8193F" w14:textId="77777777" w:rsidR="00CE3BAD" w:rsidRPr="00782BF9" w:rsidRDefault="006B5475">
            <w:pPr>
              <w:pStyle w:val="P68B1DB1-Normal29"/>
              <w:spacing w:after="0" w:line="240" w:lineRule="auto"/>
              <w:rPr>
                <w:noProof/>
                <w:lang w:val="bg-BG"/>
              </w:rPr>
            </w:pPr>
            <w:r w:rsidRPr="00782BF9">
              <w:rPr>
                <w:noProof/>
                <w:lang w:val="bg-BG"/>
              </w:rPr>
              <w:t>C1.R3 Подобряване на привлекателността на учителската професия</w:t>
            </w:r>
          </w:p>
        </w:tc>
        <w:tc>
          <w:tcPr>
            <w:tcW w:w="1164" w:type="dxa"/>
            <w:tcBorders>
              <w:top w:val="nil"/>
              <w:left w:val="nil"/>
              <w:bottom w:val="single" w:sz="4" w:space="0" w:color="auto"/>
              <w:right w:val="single" w:sz="4" w:space="0" w:color="auto"/>
            </w:tcBorders>
            <w:shd w:val="clear" w:color="000000" w:fill="C6EFCE"/>
            <w:vAlign w:val="center"/>
          </w:tcPr>
          <w:p w14:paraId="611D367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8BE5B80" w14:textId="77777777" w:rsidR="00CE3BAD" w:rsidRPr="00782BF9" w:rsidRDefault="006B5475">
            <w:pPr>
              <w:pStyle w:val="P68B1DB1-Normal29"/>
              <w:spacing w:after="0" w:line="240" w:lineRule="auto"/>
              <w:rPr>
                <w:noProof/>
                <w:lang w:val="bg-BG"/>
              </w:rPr>
            </w:pPr>
            <w:r w:rsidRPr="00782BF9">
              <w:rPr>
                <w:noProof/>
                <w:lang w:val="bg-BG"/>
              </w:rPr>
              <w:t>Средна заплата на учителите в системата на общественото образование през 2024 г. спрямо средната заплата на завършилите висше образование</w:t>
            </w:r>
          </w:p>
        </w:tc>
      </w:tr>
      <w:tr w:rsidR="00CE3BAD" w:rsidRPr="00782BF9" w14:paraId="7D728D3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396CA82" w14:textId="77777777" w:rsidR="00CE3BAD" w:rsidRPr="00782BF9" w:rsidRDefault="006B5475">
            <w:pPr>
              <w:pStyle w:val="P68B1DB1-Normal29"/>
              <w:spacing w:after="0" w:line="240" w:lineRule="auto"/>
              <w:rPr>
                <w:noProof/>
                <w:lang w:val="bg-BG"/>
              </w:rPr>
            </w:pPr>
            <w:r w:rsidRPr="00782BF9">
              <w:rPr>
                <w:noProof/>
                <w:lang w:val="bg-BG"/>
              </w:rPr>
              <w:t>27</w:t>
            </w:r>
          </w:p>
        </w:tc>
        <w:tc>
          <w:tcPr>
            <w:tcW w:w="3120" w:type="dxa"/>
            <w:tcBorders>
              <w:top w:val="nil"/>
              <w:left w:val="nil"/>
              <w:bottom w:val="single" w:sz="4" w:space="0" w:color="auto"/>
              <w:right w:val="single" w:sz="4" w:space="0" w:color="auto"/>
            </w:tcBorders>
            <w:shd w:val="clear" w:color="000000" w:fill="C6EFCE"/>
            <w:vAlign w:val="center"/>
          </w:tcPr>
          <w:p w14:paraId="3AE3BF4F" w14:textId="77777777" w:rsidR="00CE3BAD" w:rsidRPr="00782BF9" w:rsidRDefault="006B5475">
            <w:pPr>
              <w:pStyle w:val="P68B1DB1-Normal29"/>
              <w:spacing w:after="0" w:line="240" w:lineRule="auto"/>
              <w:rPr>
                <w:noProof/>
                <w:lang w:val="bg-BG"/>
              </w:rPr>
            </w:pPr>
            <w:r w:rsidRPr="00782BF9">
              <w:rPr>
                <w:noProof/>
                <w:lang w:val="bg-BG"/>
              </w:rPr>
              <w:t>C1.R4 Подобряване на устойчивостта на пенсионната система</w:t>
            </w:r>
          </w:p>
        </w:tc>
        <w:tc>
          <w:tcPr>
            <w:tcW w:w="1164" w:type="dxa"/>
            <w:tcBorders>
              <w:top w:val="nil"/>
              <w:left w:val="nil"/>
              <w:bottom w:val="single" w:sz="4" w:space="0" w:color="auto"/>
              <w:right w:val="single" w:sz="4" w:space="0" w:color="auto"/>
            </w:tcBorders>
            <w:shd w:val="clear" w:color="000000" w:fill="C6EFCE"/>
            <w:vAlign w:val="center"/>
          </w:tcPr>
          <w:p w14:paraId="4E2F0A9F"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DB75631" w14:textId="77777777" w:rsidR="00CE3BAD" w:rsidRPr="00782BF9" w:rsidRDefault="006B5475">
            <w:pPr>
              <w:pStyle w:val="P68B1DB1-Normal29"/>
              <w:spacing w:after="0" w:line="240" w:lineRule="auto"/>
              <w:rPr>
                <w:noProof/>
                <w:lang w:val="bg-BG"/>
              </w:rPr>
            </w:pPr>
            <w:r w:rsidRPr="00782BF9">
              <w:rPr>
                <w:noProof/>
                <w:lang w:val="bg-BG"/>
              </w:rPr>
              <w:t>Изготвяне на предложение за политика за изменение на пенсионната система</w:t>
            </w:r>
          </w:p>
        </w:tc>
      </w:tr>
      <w:tr w:rsidR="00CE3BAD" w:rsidRPr="00782BF9" w14:paraId="561EBA8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EA12551" w14:textId="77777777" w:rsidR="00CE3BAD" w:rsidRPr="00782BF9" w:rsidRDefault="006B5475">
            <w:pPr>
              <w:pStyle w:val="P68B1DB1-Normal29"/>
              <w:spacing w:after="0" w:line="240" w:lineRule="auto"/>
              <w:rPr>
                <w:noProof/>
                <w:lang w:val="bg-BG"/>
              </w:rPr>
            </w:pPr>
            <w:r w:rsidRPr="00782BF9">
              <w:rPr>
                <w:noProof/>
                <w:lang w:val="bg-BG"/>
              </w:rPr>
              <w:t>87</w:t>
            </w:r>
          </w:p>
        </w:tc>
        <w:tc>
          <w:tcPr>
            <w:tcW w:w="3120" w:type="dxa"/>
            <w:tcBorders>
              <w:top w:val="nil"/>
              <w:left w:val="nil"/>
              <w:bottom w:val="single" w:sz="4" w:space="0" w:color="auto"/>
              <w:right w:val="single" w:sz="4" w:space="0" w:color="auto"/>
            </w:tcBorders>
            <w:shd w:val="clear" w:color="000000" w:fill="C6EFCE"/>
            <w:vAlign w:val="center"/>
          </w:tcPr>
          <w:p w14:paraId="77216B44" w14:textId="77777777" w:rsidR="00CE3BAD" w:rsidRPr="00782BF9" w:rsidRDefault="006B5475">
            <w:pPr>
              <w:pStyle w:val="P68B1DB1-Normal29"/>
              <w:spacing w:after="0" w:line="240" w:lineRule="auto"/>
              <w:rPr>
                <w:noProof/>
                <w:lang w:val="bg-BG"/>
              </w:rPr>
            </w:pPr>
            <w:r w:rsidRPr="00782BF9">
              <w:rPr>
                <w:noProof/>
                <w:lang w:val="bg-BG"/>
              </w:rPr>
              <w:t xml:space="preserve">C5.I2 Преместване на претоварването на железопътната мрежа по коридора TEN-T </w:t>
            </w:r>
          </w:p>
        </w:tc>
        <w:tc>
          <w:tcPr>
            <w:tcW w:w="1164" w:type="dxa"/>
            <w:tcBorders>
              <w:top w:val="nil"/>
              <w:left w:val="nil"/>
              <w:bottom w:val="single" w:sz="4" w:space="0" w:color="auto"/>
              <w:right w:val="single" w:sz="4" w:space="0" w:color="auto"/>
            </w:tcBorders>
            <w:shd w:val="clear" w:color="000000" w:fill="C6EFCE"/>
            <w:vAlign w:val="center"/>
          </w:tcPr>
          <w:p w14:paraId="581CFD8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B37C8C9" w14:textId="77777777" w:rsidR="00CE3BAD" w:rsidRPr="00782BF9" w:rsidRDefault="006B5475">
            <w:pPr>
              <w:pStyle w:val="P68B1DB1-Normal29"/>
              <w:spacing w:after="0" w:line="240" w:lineRule="auto"/>
              <w:rPr>
                <w:noProof/>
                <w:lang w:val="bg-BG"/>
              </w:rPr>
            </w:pPr>
            <w:r w:rsidRPr="00782BF9">
              <w:rPr>
                <w:noProof/>
                <w:lang w:val="bg-BG"/>
              </w:rPr>
              <w:t>Подписване на договор за обновяване на железопътната линия (Almásfüzitő-Komárom)</w:t>
            </w:r>
          </w:p>
        </w:tc>
      </w:tr>
      <w:tr w:rsidR="00CE3BAD" w:rsidRPr="00782BF9" w14:paraId="3232981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3E7DD62" w14:textId="77777777" w:rsidR="00CE3BAD" w:rsidRPr="00782BF9" w:rsidRDefault="006B5475">
            <w:pPr>
              <w:pStyle w:val="P68B1DB1-Normal29"/>
              <w:spacing w:after="0" w:line="240" w:lineRule="auto"/>
              <w:rPr>
                <w:noProof/>
                <w:lang w:val="bg-BG"/>
              </w:rPr>
            </w:pPr>
            <w:r w:rsidRPr="00782BF9">
              <w:rPr>
                <w:noProof/>
                <w:lang w:val="bg-BG"/>
              </w:rPr>
              <w:t>91</w:t>
            </w:r>
          </w:p>
        </w:tc>
        <w:tc>
          <w:tcPr>
            <w:tcW w:w="3120" w:type="dxa"/>
            <w:tcBorders>
              <w:top w:val="nil"/>
              <w:left w:val="nil"/>
              <w:bottom w:val="single" w:sz="4" w:space="0" w:color="auto"/>
              <w:right w:val="single" w:sz="4" w:space="0" w:color="auto"/>
            </w:tcBorders>
            <w:shd w:val="clear" w:color="000000" w:fill="C6EFCE"/>
            <w:vAlign w:val="center"/>
          </w:tcPr>
          <w:p w14:paraId="2124E5D9" w14:textId="77777777" w:rsidR="00CE3BAD" w:rsidRPr="00782BF9" w:rsidRDefault="006B5475">
            <w:pPr>
              <w:pStyle w:val="P68B1DB1-Normal29"/>
              <w:spacing w:after="0" w:line="240" w:lineRule="auto"/>
              <w:rPr>
                <w:noProof/>
                <w:lang w:val="bg-BG"/>
              </w:rPr>
            </w:pPr>
            <w:r w:rsidRPr="00782BF9">
              <w:rPr>
                <w:noProof/>
                <w:lang w:val="bg-BG"/>
              </w:rPr>
              <w:t>C5.I3 Развитие на автобусен транспорт с нулеви емисии</w:t>
            </w:r>
          </w:p>
        </w:tc>
        <w:tc>
          <w:tcPr>
            <w:tcW w:w="1164" w:type="dxa"/>
            <w:tcBorders>
              <w:top w:val="nil"/>
              <w:left w:val="nil"/>
              <w:bottom w:val="single" w:sz="4" w:space="0" w:color="auto"/>
              <w:right w:val="single" w:sz="4" w:space="0" w:color="auto"/>
            </w:tcBorders>
            <w:shd w:val="clear" w:color="000000" w:fill="C6EFCE"/>
            <w:vAlign w:val="center"/>
          </w:tcPr>
          <w:p w14:paraId="1F92896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3AD1605" w14:textId="77777777" w:rsidR="00CE3BAD" w:rsidRPr="00782BF9" w:rsidRDefault="006B5475">
            <w:pPr>
              <w:pStyle w:val="P68B1DB1-Normal29"/>
              <w:spacing w:after="0" w:line="240" w:lineRule="auto"/>
              <w:rPr>
                <w:noProof/>
                <w:lang w:val="bg-BG"/>
              </w:rPr>
            </w:pPr>
            <w:r w:rsidRPr="00782BF9">
              <w:rPr>
                <w:noProof/>
                <w:lang w:val="bg-BG"/>
              </w:rPr>
              <w:t>Подписване на договори за предоставяне на безвъзмездна финансова помощ за закупуване на нови електрически автобуси и инсталиране на зарядни точки</w:t>
            </w:r>
          </w:p>
        </w:tc>
      </w:tr>
      <w:tr w:rsidR="00CE3BAD" w:rsidRPr="00782BF9" w14:paraId="6C274CF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A0218ED" w14:textId="77777777" w:rsidR="00CE3BAD" w:rsidRPr="00782BF9" w:rsidRDefault="006B5475">
            <w:pPr>
              <w:pStyle w:val="P68B1DB1-Normal29"/>
              <w:spacing w:after="0" w:line="240" w:lineRule="auto"/>
              <w:rPr>
                <w:noProof/>
                <w:lang w:val="bg-BG"/>
              </w:rPr>
            </w:pPr>
            <w:r w:rsidRPr="00782BF9">
              <w:rPr>
                <w:noProof/>
                <w:lang w:val="bg-BG"/>
              </w:rPr>
              <w:t>370</w:t>
            </w:r>
          </w:p>
        </w:tc>
        <w:tc>
          <w:tcPr>
            <w:tcW w:w="3120" w:type="dxa"/>
            <w:tcBorders>
              <w:top w:val="nil"/>
              <w:left w:val="nil"/>
              <w:bottom w:val="single" w:sz="4" w:space="0" w:color="auto"/>
              <w:right w:val="single" w:sz="4" w:space="0" w:color="auto"/>
            </w:tcBorders>
            <w:shd w:val="clear" w:color="000000" w:fill="C6EFCE"/>
            <w:vAlign w:val="center"/>
          </w:tcPr>
          <w:p w14:paraId="1D832320" w14:textId="070D11FA" w:rsidR="00CE3BAD" w:rsidRPr="00782BF9" w:rsidRDefault="006B5475">
            <w:pPr>
              <w:pStyle w:val="P68B1DB1-Normal29"/>
              <w:spacing w:after="0" w:line="240" w:lineRule="auto"/>
              <w:rPr>
                <w:noProof/>
                <w:lang w:val="bg-BG"/>
              </w:rPr>
            </w:pPr>
            <w:r w:rsidRPr="00782BF9">
              <w:rPr>
                <w:noProof/>
                <w:lang w:val="bg-BG"/>
              </w:rPr>
              <w:t>C6.I6. Инвестиции в енергийна ефективност в обществени сгради</w:t>
            </w:r>
          </w:p>
        </w:tc>
        <w:tc>
          <w:tcPr>
            <w:tcW w:w="1164" w:type="dxa"/>
            <w:tcBorders>
              <w:top w:val="nil"/>
              <w:left w:val="nil"/>
              <w:bottom w:val="single" w:sz="4" w:space="0" w:color="auto"/>
              <w:right w:val="single" w:sz="4" w:space="0" w:color="auto"/>
            </w:tcBorders>
            <w:shd w:val="clear" w:color="000000" w:fill="C6EFCE"/>
            <w:vAlign w:val="center"/>
          </w:tcPr>
          <w:p w14:paraId="4AE7531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76BC312" w14:textId="77777777" w:rsidR="00CE3BAD" w:rsidRPr="00782BF9" w:rsidRDefault="006B5475">
            <w:pPr>
              <w:pStyle w:val="P68B1DB1-Normal29"/>
              <w:spacing w:after="0" w:line="240" w:lineRule="auto"/>
              <w:rPr>
                <w:noProof/>
                <w:lang w:val="bg-BG"/>
              </w:rPr>
            </w:pPr>
            <w:r w:rsidRPr="00782BF9">
              <w:rPr>
                <w:noProof/>
                <w:lang w:val="bg-BG"/>
              </w:rPr>
              <w:t>Сключване и влизане в сила на всички споразумения за предоставяне на безвъзмездна финансова помощ за проекти, свързани с инвестиции в енергийна ефективност в обществени сгради</w:t>
            </w:r>
          </w:p>
        </w:tc>
      </w:tr>
      <w:tr w:rsidR="00CE3BAD" w:rsidRPr="00782BF9" w14:paraId="0B985CF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AC0D894" w14:textId="77777777" w:rsidR="00CE3BAD" w:rsidRPr="00782BF9" w:rsidRDefault="006B5475">
            <w:pPr>
              <w:pStyle w:val="P68B1DB1-Normal29"/>
              <w:spacing w:after="0" w:line="240" w:lineRule="auto"/>
              <w:rPr>
                <w:noProof/>
                <w:lang w:val="bg-BG"/>
              </w:rPr>
            </w:pPr>
            <w:r w:rsidRPr="00782BF9">
              <w:rPr>
                <w:noProof/>
                <w:lang w:val="bg-BG"/>
              </w:rPr>
              <w:t>127</w:t>
            </w:r>
          </w:p>
        </w:tc>
        <w:tc>
          <w:tcPr>
            <w:tcW w:w="3120" w:type="dxa"/>
            <w:tcBorders>
              <w:top w:val="nil"/>
              <w:left w:val="nil"/>
              <w:bottom w:val="single" w:sz="4" w:space="0" w:color="auto"/>
              <w:right w:val="single" w:sz="4" w:space="0" w:color="auto"/>
            </w:tcBorders>
            <w:shd w:val="clear" w:color="000000" w:fill="C6EFCE"/>
            <w:vAlign w:val="center"/>
          </w:tcPr>
          <w:p w14:paraId="134183CE" w14:textId="77777777" w:rsidR="00CE3BAD" w:rsidRPr="00782BF9" w:rsidRDefault="006B5475">
            <w:pPr>
              <w:pStyle w:val="P68B1DB1-Normal29"/>
              <w:spacing w:after="0" w:line="240" w:lineRule="auto"/>
              <w:rPr>
                <w:noProof/>
                <w:lang w:val="bg-BG"/>
              </w:rPr>
            </w:pPr>
            <w:r w:rsidRPr="00782BF9">
              <w:rPr>
                <w:noProof/>
                <w:lang w:val="bg-BG"/>
              </w:rPr>
              <w:t>C6.I4 Инсталиране на мрежови съоръжения за акумулиране на енергия за участниците на енергийния пазар</w:t>
            </w:r>
          </w:p>
        </w:tc>
        <w:tc>
          <w:tcPr>
            <w:tcW w:w="1164" w:type="dxa"/>
            <w:tcBorders>
              <w:top w:val="nil"/>
              <w:left w:val="nil"/>
              <w:bottom w:val="single" w:sz="4" w:space="0" w:color="auto"/>
              <w:right w:val="single" w:sz="4" w:space="0" w:color="auto"/>
            </w:tcBorders>
            <w:shd w:val="clear" w:color="000000" w:fill="C6EFCE"/>
            <w:vAlign w:val="center"/>
          </w:tcPr>
          <w:p w14:paraId="536A27B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A835674" w14:textId="77777777" w:rsidR="00CE3BAD" w:rsidRPr="00782BF9" w:rsidRDefault="006B5475">
            <w:pPr>
              <w:pStyle w:val="P68B1DB1-Normal29"/>
              <w:spacing w:after="0" w:line="240" w:lineRule="auto"/>
              <w:rPr>
                <w:noProof/>
                <w:lang w:val="bg-BG"/>
              </w:rPr>
            </w:pPr>
            <w:r w:rsidRPr="00782BF9">
              <w:rPr>
                <w:noProof/>
                <w:lang w:val="bg-BG"/>
              </w:rPr>
              <w:t>Сключване на всички споразумения за предоставяне на безвъзмездна финансова помощ относно условията за изпълнение и подпомагане на съоръженията за съхранение, които ще бъдат инсталирани за участниците на пазара</w:t>
            </w:r>
          </w:p>
        </w:tc>
      </w:tr>
      <w:tr w:rsidR="00CE3BAD" w:rsidRPr="00782BF9" w14:paraId="20A8E55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F33F5E7" w14:textId="77777777" w:rsidR="00CE3BAD" w:rsidRPr="00782BF9" w:rsidRDefault="006B5475">
            <w:pPr>
              <w:pStyle w:val="P68B1DB1-Normal29"/>
              <w:spacing w:after="0" w:line="240" w:lineRule="auto"/>
              <w:rPr>
                <w:noProof/>
                <w:lang w:val="bg-BG"/>
              </w:rPr>
            </w:pPr>
            <w:r w:rsidRPr="00782BF9">
              <w:rPr>
                <w:noProof/>
                <w:lang w:val="bg-BG"/>
              </w:rPr>
              <w:t>374</w:t>
            </w:r>
          </w:p>
        </w:tc>
        <w:tc>
          <w:tcPr>
            <w:tcW w:w="3120" w:type="dxa"/>
            <w:tcBorders>
              <w:top w:val="nil"/>
              <w:left w:val="nil"/>
              <w:bottom w:val="single" w:sz="4" w:space="0" w:color="auto"/>
              <w:right w:val="single" w:sz="4" w:space="0" w:color="auto"/>
            </w:tcBorders>
            <w:shd w:val="clear" w:color="000000" w:fill="C6EFCE"/>
            <w:vAlign w:val="center"/>
          </w:tcPr>
          <w:p w14:paraId="376D8E43" w14:textId="03B6A9E0" w:rsidR="00CE3BAD" w:rsidRPr="00782BF9" w:rsidRDefault="006B5475">
            <w:pPr>
              <w:pStyle w:val="P68B1DB1-Normal29"/>
              <w:spacing w:after="0" w:line="240" w:lineRule="auto"/>
              <w:rPr>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64" w:type="dxa"/>
            <w:tcBorders>
              <w:top w:val="nil"/>
              <w:left w:val="nil"/>
              <w:bottom w:val="single" w:sz="4" w:space="0" w:color="auto"/>
              <w:right w:val="single" w:sz="4" w:space="0" w:color="auto"/>
            </w:tcBorders>
            <w:shd w:val="clear" w:color="000000" w:fill="C6EFCE"/>
            <w:vAlign w:val="center"/>
          </w:tcPr>
          <w:p w14:paraId="00F7773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0A40D8F" w14:textId="77777777" w:rsidR="00CE3BAD" w:rsidRPr="00782BF9" w:rsidRDefault="006B5475">
            <w:pPr>
              <w:pStyle w:val="P68B1DB1-Normal29"/>
              <w:spacing w:after="0" w:line="240" w:lineRule="auto"/>
              <w:rPr>
                <w:noProof/>
                <w:lang w:val="bg-BG"/>
              </w:rPr>
            </w:pPr>
            <w:r w:rsidRPr="00782BF9">
              <w:rPr>
                <w:noProof/>
                <w:lang w:val="bg-BG"/>
              </w:rPr>
              <w:t xml:space="preserve">Публикуване на поканата за представяне на предложения въз основа на нуждите от инвестиции на общините </w:t>
            </w:r>
          </w:p>
        </w:tc>
      </w:tr>
      <w:tr w:rsidR="00CE3BAD" w:rsidRPr="00782BF9" w14:paraId="00EF836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A7411E5" w14:textId="77777777" w:rsidR="00CE3BAD" w:rsidRPr="00782BF9" w:rsidRDefault="006B5475">
            <w:pPr>
              <w:pStyle w:val="P68B1DB1-Normal29"/>
              <w:spacing w:after="0" w:line="240" w:lineRule="auto"/>
              <w:rPr>
                <w:noProof/>
                <w:lang w:val="bg-BG"/>
              </w:rPr>
            </w:pPr>
            <w:r w:rsidRPr="00782BF9">
              <w:rPr>
                <w:noProof/>
                <w:lang w:val="bg-BG"/>
              </w:rPr>
              <w:t>143</w:t>
            </w:r>
          </w:p>
        </w:tc>
        <w:tc>
          <w:tcPr>
            <w:tcW w:w="3120" w:type="dxa"/>
            <w:tcBorders>
              <w:top w:val="nil"/>
              <w:left w:val="nil"/>
              <w:bottom w:val="single" w:sz="4" w:space="0" w:color="auto"/>
              <w:right w:val="single" w:sz="4" w:space="0" w:color="auto"/>
            </w:tcBorders>
            <w:shd w:val="clear" w:color="000000" w:fill="C6EFCE"/>
            <w:vAlign w:val="center"/>
          </w:tcPr>
          <w:p w14:paraId="21DF25A5" w14:textId="77777777" w:rsidR="00CE3BAD" w:rsidRPr="00782BF9" w:rsidRDefault="006B5475">
            <w:pPr>
              <w:pStyle w:val="P68B1DB1-Normal29"/>
              <w:spacing w:after="0" w:line="240" w:lineRule="auto"/>
              <w:rPr>
                <w:noProof/>
                <w:lang w:val="bg-BG"/>
              </w:rPr>
            </w:pPr>
            <w:r w:rsidRPr="00782BF9">
              <w:rPr>
                <w:noProof/>
                <w:lang w:val="bg-BG"/>
              </w:rPr>
              <w:t xml:space="preserve">C8.I1 Развиване на условията за здравно обслужване през 21-ви век </w:t>
            </w:r>
          </w:p>
        </w:tc>
        <w:tc>
          <w:tcPr>
            <w:tcW w:w="1164" w:type="dxa"/>
            <w:tcBorders>
              <w:top w:val="nil"/>
              <w:left w:val="nil"/>
              <w:bottom w:val="single" w:sz="4" w:space="0" w:color="auto"/>
              <w:right w:val="single" w:sz="4" w:space="0" w:color="auto"/>
            </w:tcBorders>
            <w:shd w:val="clear" w:color="000000" w:fill="C6EFCE"/>
            <w:vAlign w:val="center"/>
          </w:tcPr>
          <w:p w14:paraId="08B3E38E"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782D67AE" w14:textId="77777777" w:rsidR="00CE3BAD" w:rsidRPr="00782BF9" w:rsidRDefault="006B5475">
            <w:pPr>
              <w:pStyle w:val="P68B1DB1-Normal29"/>
              <w:spacing w:after="0" w:line="240" w:lineRule="auto"/>
              <w:rPr>
                <w:noProof/>
                <w:lang w:val="bg-BG"/>
              </w:rPr>
            </w:pPr>
            <w:r w:rsidRPr="00782BF9">
              <w:rPr>
                <w:noProof/>
                <w:lang w:val="bg-BG"/>
              </w:rPr>
              <w:t>Брой болнични мрежи на национално равнище с интегрирани лечебни пътеки</w:t>
            </w:r>
          </w:p>
        </w:tc>
      </w:tr>
      <w:tr w:rsidR="00CE3BAD" w:rsidRPr="00782BF9" w14:paraId="1A32556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F90A19D" w14:textId="77777777" w:rsidR="00CE3BAD" w:rsidRPr="00782BF9" w:rsidRDefault="006B5475">
            <w:pPr>
              <w:pStyle w:val="P68B1DB1-Normal29"/>
              <w:spacing w:after="0" w:line="240" w:lineRule="auto"/>
              <w:rPr>
                <w:noProof/>
                <w:lang w:val="bg-BG"/>
              </w:rPr>
            </w:pPr>
            <w:r w:rsidRPr="00782BF9">
              <w:rPr>
                <w:noProof/>
                <w:lang w:val="bg-BG"/>
              </w:rPr>
              <w:t>152</w:t>
            </w:r>
          </w:p>
        </w:tc>
        <w:tc>
          <w:tcPr>
            <w:tcW w:w="3120" w:type="dxa"/>
            <w:tcBorders>
              <w:top w:val="nil"/>
              <w:left w:val="nil"/>
              <w:bottom w:val="single" w:sz="4" w:space="0" w:color="auto"/>
              <w:right w:val="single" w:sz="4" w:space="0" w:color="auto"/>
            </w:tcBorders>
            <w:shd w:val="clear" w:color="000000" w:fill="C6EFCE"/>
            <w:vAlign w:val="center"/>
          </w:tcPr>
          <w:p w14:paraId="6A9501C4" w14:textId="77777777" w:rsidR="00CE3BAD" w:rsidRPr="00782BF9" w:rsidRDefault="006B5475">
            <w:pPr>
              <w:pStyle w:val="P68B1DB1-Normal29"/>
              <w:spacing w:after="0" w:line="240" w:lineRule="auto"/>
              <w:rPr>
                <w:noProof/>
                <w:lang w:val="bg-BG"/>
              </w:rPr>
            </w:pPr>
            <w:r w:rsidRPr="00782BF9">
              <w:rPr>
                <w:noProof/>
                <w:lang w:val="bg-BG"/>
              </w:rPr>
              <w:t xml:space="preserve">C8.I2 Подкрепа за цифровата трансформация на здравеопазването </w:t>
            </w:r>
          </w:p>
        </w:tc>
        <w:tc>
          <w:tcPr>
            <w:tcW w:w="1164" w:type="dxa"/>
            <w:tcBorders>
              <w:top w:val="nil"/>
              <w:left w:val="nil"/>
              <w:bottom w:val="single" w:sz="4" w:space="0" w:color="auto"/>
              <w:right w:val="single" w:sz="4" w:space="0" w:color="auto"/>
            </w:tcBorders>
            <w:shd w:val="clear" w:color="000000" w:fill="C6EFCE"/>
            <w:vAlign w:val="center"/>
          </w:tcPr>
          <w:p w14:paraId="717199A3"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E1FEF76" w14:textId="77777777" w:rsidR="00CE3BAD" w:rsidRPr="00782BF9" w:rsidRDefault="006B5475">
            <w:pPr>
              <w:pStyle w:val="P68B1DB1-Normal29"/>
              <w:spacing w:after="0" w:line="240" w:lineRule="auto"/>
              <w:rPr>
                <w:noProof/>
                <w:lang w:val="bg-BG"/>
              </w:rPr>
            </w:pPr>
            <w:r w:rsidRPr="00782BF9">
              <w:rPr>
                <w:noProof/>
                <w:lang w:val="bg-BG"/>
              </w:rPr>
              <w:t>Стартиране на централно мобилно приложение в областта на здравеопазването (myEESZT)</w:t>
            </w:r>
          </w:p>
        </w:tc>
      </w:tr>
      <w:tr w:rsidR="00CE3BAD" w:rsidRPr="00782BF9" w14:paraId="21CBD36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8038B4B" w14:textId="77777777" w:rsidR="00CE3BAD" w:rsidRPr="00782BF9" w:rsidRDefault="006B5475">
            <w:pPr>
              <w:pStyle w:val="P68B1DB1-Normal29"/>
              <w:spacing w:after="0" w:line="240" w:lineRule="auto"/>
              <w:rPr>
                <w:noProof/>
                <w:lang w:val="bg-BG"/>
              </w:rPr>
            </w:pPr>
            <w:r w:rsidRPr="00782BF9">
              <w:rPr>
                <w:noProof/>
                <w:lang w:val="bg-BG"/>
              </w:rPr>
              <w:t>180</w:t>
            </w:r>
          </w:p>
        </w:tc>
        <w:tc>
          <w:tcPr>
            <w:tcW w:w="3120" w:type="dxa"/>
            <w:tcBorders>
              <w:top w:val="nil"/>
              <w:left w:val="nil"/>
              <w:bottom w:val="single" w:sz="4" w:space="0" w:color="auto"/>
              <w:right w:val="single" w:sz="4" w:space="0" w:color="auto"/>
            </w:tcBorders>
            <w:shd w:val="clear" w:color="000000" w:fill="C6EFCE"/>
            <w:vAlign w:val="center"/>
          </w:tcPr>
          <w:p w14:paraId="5B03702C" w14:textId="77777777" w:rsidR="00CE3BAD" w:rsidRPr="00782BF9" w:rsidRDefault="006B5475">
            <w:pPr>
              <w:pStyle w:val="P68B1DB1-Normal29"/>
              <w:spacing w:after="0" w:line="240" w:lineRule="auto"/>
              <w:rPr>
                <w:noProof/>
                <w:lang w:val="bg-BG"/>
              </w:rPr>
            </w:pPr>
            <w:r w:rsidRPr="00782BF9">
              <w:rPr>
                <w:noProof/>
                <w:lang w:val="bg-BG"/>
              </w:rPr>
              <w:t>C9.R8 Актуализиране на системите за сътрудничество на прокуратурата с цел борба с корупционните практики.</w:t>
            </w:r>
          </w:p>
        </w:tc>
        <w:tc>
          <w:tcPr>
            <w:tcW w:w="1164" w:type="dxa"/>
            <w:tcBorders>
              <w:top w:val="nil"/>
              <w:left w:val="nil"/>
              <w:bottom w:val="single" w:sz="4" w:space="0" w:color="auto"/>
              <w:right w:val="single" w:sz="4" w:space="0" w:color="auto"/>
            </w:tcBorders>
            <w:shd w:val="clear" w:color="000000" w:fill="C6EFCE"/>
            <w:vAlign w:val="center"/>
          </w:tcPr>
          <w:p w14:paraId="2DF31D1B"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2B05578" w14:textId="77777777" w:rsidR="00CE3BAD" w:rsidRPr="00782BF9" w:rsidRDefault="006B5475">
            <w:pPr>
              <w:pStyle w:val="P68B1DB1-Normal29"/>
              <w:spacing w:after="0" w:line="240" w:lineRule="auto"/>
              <w:rPr>
                <w:noProof/>
                <w:lang w:val="bg-BG"/>
              </w:rPr>
            </w:pPr>
            <w:r w:rsidRPr="00782BF9">
              <w:rPr>
                <w:noProof/>
                <w:lang w:val="bg-BG"/>
              </w:rPr>
              <w:t>Създаване на нова информационна система за обработка на чувствителни документи на прокуратурата</w:t>
            </w:r>
          </w:p>
        </w:tc>
      </w:tr>
      <w:tr w:rsidR="00CE3BAD" w:rsidRPr="00782BF9" w14:paraId="61F6828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37AFFF3" w14:textId="77777777" w:rsidR="00CE3BAD" w:rsidRPr="00782BF9" w:rsidRDefault="006B5475">
            <w:pPr>
              <w:pStyle w:val="P68B1DB1-Normal29"/>
              <w:spacing w:after="0" w:line="240" w:lineRule="auto"/>
              <w:rPr>
                <w:noProof/>
                <w:lang w:val="bg-BG"/>
              </w:rPr>
            </w:pPr>
            <w:r w:rsidRPr="00782BF9">
              <w:rPr>
                <w:noProof/>
                <w:lang w:val="bg-BG"/>
              </w:rPr>
              <w:t>187</w:t>
            </w:r>
          </w:p>
        </w:tc>
        <w:tc>
          <w:tcPr>
            <w:tcW w:w="3120" w:type="dxa"/>
            <w:tcBorders>
              <w:top w:val="nil"/>
              <w:left w:val="nil"/>
              <w:bottom w:val="single" w:sz="4" w:space="0" w:color="auto"/>
              <w:right w:val="single" w:sz="4" w:space="0" w:color="auto"/>
            </w:tcBorders>
            <w:shd w:val="clear" w:color="000000" w:fill="C6EFCE"/>
            <w:vAlign w:val="center"/>
          </w:tcPr>
          <w:p w14:paraId="40B9D0B7"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3388C23D"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0907C1F" w14:textId="77777777" w:rsidR="00CE3BAD" w:rsidRPr="00782BF9" w:rsidRDefault="006B5475">
            <w:pPr>
              <w:pStyle w:val="P68B1DB1-Normal29"/>
              <w:spacing w:after="0" w:line="240" w:lineRule="auto"/>
              <w:rPr>
                <w:noProof/>
                <w:lang w:val="bg-BG"/>
              </w:rPr>
            </w:pPr>
            <w:r w:rsidRPr="00782BF9">
              <w:rPr>
                <w:noProof/>
                <w:lang w:val="bg-BG"/>
              </w:rPr>
              <w:t>Делът на тръжните процедури с една оферта за обществени поръчки, финансирани с подкрепа от Съюза, не надвишава 15 %</w:t>
            </w:r>
          </w:p>
        </w:tc>
      </w:tr>
      <w:tr w:rsidR="00CE3BAD" w:rsidRPr="00782BF9" w14:paraId="04E9C87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8FB84DC" w14:textId="77777777" w:rsidR="00CE3BAD" w:rsidRPr="00782BF9" w:rsidRDefault="006B5475">
            <w:pPr>
              <w:pStyle w:val="P68B1DB1-Normal29"/>
              <w:spacing w:after="0" w:line="240" w:lineRule="auto"/>
              <w:rPr>
                <w:noProof/>
                <w:lang w:val="bg-BG"/>
              </w:rPr>
            </w:pPr>
            <w:r w:rsidRPr="00782BF9">
              <w:rPr>
                <w:noProof/>
                <w:lang w:val="bg-BG"/>
              </w:rPr>
              <w:t>188</w:t>
            </w:r>
          </w:p>
        </w:tc>
        <w:tc>
          <w:tcPr>
            <w:tcW w:w="3120" w:type="dxa"/>
            <w:tcBorders>
              <w:top w:val="nil"/>
              <w:left w:val="nil"/>
              <w:bottom w:val="single" w:sz="4" w:space="0" w:color="auto"/>
              <w:right w:val="single" w:sz="4" w:space="0" w:color="auto"/>
            </w:tcBorders>
            <w:shd w:val="clear" w:color="000000" w:fill="C6EFCE"/>
            <w:vAlign w:val="center"/>
          </w:tcPr>
          <w:p w14:paraId="7424CEC0"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431C8BFE"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9336D02" w14:textId="77777777" w:rsidR="00CE3BAD" w:rsidRPr="00782BF9" w:rsidRDefault="006B5475">
            <w:pPr>
              <w:pStyle w:val="P68B1DB1-Normal29"/>
              <w:spacing w:after="0" w:line="240" w:lineRule="auto"/>
              <w:rPr>
                <w:noProof/>
                <w:lang w:val="bg-BG"/>
              </w:rPr>
            </w:pPr>
            <w:r w:rsidRPr="00782BF9">
              <w:rPr>
                <w:noProof/>
                <w:lang w:val="bg-BG"/>
              </w:rPr>
              <w:t>Делът на тръжните процедури с една оферта за обществени поръчки, финансирани с национални ресурси, не надвишава 24 %</w:t>
            </w:r>
          </w:p>
        </w:tc>
      </w:tr>
      <w:tr w:rsidR="00CE3BAD" w:rsidRPr="00782BF9" w14:paraId="3F87E41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7BCFFF6" w14:textId="77777777" w:rsidR="00CE3BAD" w:rsidRPr="00782BF9" w:rsidRDefault="006B5475">
            <w:pPr>
              <w:pStyle w:val="P68B1DB1-Normal29"/>
              <w:spacing w:after="0" w:line="240" w:lineRule="auto"/>
              <w:rPr>
                <w:noProof/>
                <w:lang w:val="bg-BG"/>
              </w:rPr>
            </w:pPr>
            <w:r w:rsidRPr="00782BF9">
              <w:rPr>
                <w:noProof/>
                <w:lang w:val="bg-BG"/>
              </w:rPr>
              <w:t>204</w:t>
            </w:r>
          </w:p>
        </w:tc>
        <w:tc>
          <w:tcPr>
            <w:tcW w:w="3120" w:type="dxa"/>
            <w:tcBorders>
              <w:top w:val="nil"/>
              <w:left w:val="nil"/>
              <w:bottom w:val="single" w:sz="4" w:space="0" w:color="auto"/>
              <w:right w:val="single" w:sz="4" w:space="0" w:color="auto"/>
            </w:tcBorders>
            <w:shd w:val="clear" w:color="000000" w:fill="C6EFCE"/>
            <w:vAlign w:val="center"/>
          </w:tcPr>
          <w:p w14:paraId="48B43BB6" w14:textId="77777777" w:rsidR="00CE3BAD" w:rsidRPr="00782BF9" w:rsidRDefault="006B5475">
            <w:pPr>
              <w:pStyle w:val="P68B1DB1-Normal29"/>
              <w:spacing w:after="0" w:line="240" w:lineRule="auto"/>
              <w:rPr>
                <w:noProof/>
                <w:lang w:val="bg-BG"/>
              </w:rPr>
            </w:pPr>
            <w:r w:rsidRPr="00782BF9">
              <w:rPr>
                <w:noProof/>
                <w:lang w:val="bg-BG"/>
              </w:rPr>
              <w:t>C9.R13 План за действие за повишаване на равнището на конкуренция в областта на обществените поръчки</w:t>
            </w:r>
          </w:p>
        </w:tc>
        <w:tc>
          <w:tcPr>
            <w:tcW w:w="1164" w:type="dxa"/>
            <w:tcBorders>
              <w:top w:val="nil"/>
              <w:left w:val="nil"/>
              <w:bottom w:val="single" w:sz="4" w:space="0" w:color="auto"/>
              <w:right w:val="single" w:sz="4" w:space="0" w:color="auto"/>
            </w:tcBorders>
            <w:shd w:val="clear" w:color="000000" w:fill="C6EFCE"/>
            <w:vAlign w:val="center"/>
          </w:tcPr>
          <w:p w14:paraId="4563899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6A127FD" w14:textId="77777777" w:rsidR="00CE3BAD" w:rsidRPr="00782BF9" w:rsidRDefault="006B5475">
            <w:pPr>
              <w:pStyle w:val="P68B1DB1-Normal29"/>
              <w:spacing w:after="0" w:line="240" w:lineRule="auto"/>
              <w:rPr>
                <w:noProof/>
                <w:lang w:val="bg-BG"/>
              </w:rPr>
            </w:pPr>
            <w:r w:rsidRPr="00782BF9">
              <w:rPr>
                <w:noProof/>
                <w:lang w:val="bg-BG"/>
              </w:rPr>
              <w:t>Преразглеждане на плана за действие с цел повишаване на равнището на конкуренция при обществените поръчки след първия му годишен преглед</w:t>
            </w:r>
          </w:p>
        </w:tc>
      </w:tr>
      <w:tr w:rsidR="00CE3BAD" w:rsidRPr="00782BF9" w14:paraId="5F4FE00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B46DFC9" w14:textId="77777777" w:rsidR="00CE3BAD" w:rsidRPr="00782BF9" w:rsidRDefault="006B5475">
            <w:pPr>
              <w:pStyle w:val="P68B1DB1-Normal29"/>
              <w:spacing w:after="0" w:line="240" w:lineRule="auto"/>
              <w:rPr>
                <w:noProof/>
                <w:lang w:val="bg-BG"/>
              </w:rPr>
            </w:pPr>
            <w:r w:rsidRPr="00782BF9">
              <w:rPr>
                <w:noProof/>
                <w:lang w:val="bg-BG"/>
              </w:rPr>
              <w:t>206</w:t>
            </w:r>
          </w:p>
        </w:tc>
        <w:tc>
          <w:tcPr>
            <w:tcW w:w="3120" w:type="dxa"/>
            <w:tcBorders>
              <w:top w:val="nil"/>
              <w:left w:val="nil"/>
              <w:bottom w:val="single" w:sz="4" w:space="0" w:color="auto"/>
              <w:right w:val="single" w:sz="4" w:space="0" w:color="auto"/>
            </w:tcBorders>
            <w:shd w:val="clear" w:color="000000" w:fill="C6EFCE"/>
            <w:vAlign w:val="center"/>
          </w:tcPr>
          <w:p w14:paraId="49040526" w14:textId="77777777" w:rsidR="00CE3BAD" w:rsidRPr="00782BF9" w:rsidRDefault="006B5475">
            <w:pPr>
              <w:pStyle w:val="P68B1DB1-Normal29"/>
              <w:spacing w:after="0" w:line="240" w:lineRule="auto"/>
              <w:rPr>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1164" w:type="dxa"/>
            <w:tcBorders>
              <w:top w:val="nil"/>
              <w:left w:val="nil"/>
              <w:bottom w:val="single" w:sz="4" w:space="0" w:color="auto"/>
              <w:right w:val="single" w:sz="4" w:space="0" w:color="auto"/>
            </w:tcBorders>
            <w:shd w:val="clear" w:color="000000" w:fill="C6EFCE"/>
            <w:vAlign w:val="center"/>
          </w:tcPr>
          <w:p w14:paraId="3A46688F" w14:textId="77777777" w:rsidR="00CE3BAD" w:rsidRPr="00782BF9" w:rsidRDefault="006B5475">
            <w:pPr>
              <w:pStyle w:val="P68B1DB1-Normal29"/>
              <w:spacing w:after="0" w:line="240" w:lineRule="auto"/>
              <w:rPr>
                <w:noProof/>
                <w:lang w:val="bg-BG"/>
              </w:rPr>
            </w:pPr>
            <w:r w:rsidRPr="00782BF9">
              <w:rPr>
                <w:noProof/>
                <w:lang w:val="bg-BG"/>
              </w:rPr>
              <w:t>Целеви </w:t>
            </w:r>
          </w:p>
        </w:tc>
        <w:tc>
          <w:tcPr>
            <w:tcW w:w="3781" w:type="dxa"/>
            <w:tcBorders>
              <w:top w:val="nil"/>
              <w:left w:val="nil"/>
              <w:bottom w:val="single" w:sz="4" w:space="0" w:color="auto"/>
              <w:right w:val="single" w:sz="4" w:space="0" w:color="auto"/>
            </w:tcBorders>
            <w:shd w:val="clear" w:color="000000" w:fill="C6EFCE"/>
            <w:vAlign w:val="center"/>
          </w:tcPr>
          <w:p w14:paraId="3A26030D" w14:textId="77777777" w:rsidR="00CE3BAD" w:rsidRPr="00782BF9" w:rsidRDefault="006B5475">
            <w:pPr>
              <w:pStyle w:val="P68B1DB1-Normal29"/>
              <w:spacing w:after="0" w:line="240" w:lineRule="auto"/>
              <w:rPr>
                <w:noProof/>
                <w:lang w:val="bg-BG"/>
              </w:rPr>
            </w:pPr>
            <w:r w:rsidRPr="00782BF9">
              <w:rPr>
                <w:noProof/>
                <w:lang w:val="bg-BG"/>
              </w:rPr>
              <w:t>Брой микро-, малки и средни предприятия, преминали обучение относно практиките в областта на обществените поръчки</w:t>
            </w:r>
          </w:p>
        </w:tc>
      </w:tr>
      <w:tr w:rsidR="00CE3BAD" w:rsidRPr="00782BF9" w14:paraId="3689265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652C311" w14:textId="77777777" w:rsidR="00CE3BAD" w:rsidRPr="00782BF9" w:rsidRDefault="006B5475">
            <w:pPr>
              <w:pStyle w:val="P68B1DB1-Normal29"/>
              <w:spacing w:after="0" w:line="240" w:lineRule="auto"/>
              <w:rPr>
                <w:noProof/>
                <w:lang w:val="bg-BG"/>
              </w:rPr>
            </w:pPr>
            <w:r w:rsidRPr="00782BF9">
              <w:rPr>
                <w:noProof/>
                <w:lang w:val="bg-BG"/>
              </w:rPr>
              <w:t>232</w:t>
            </w:r>
          </w:p>
        </w:tc>
        <w:tc>
          <w:tcPr>
            <w:tcW w:w="3120" w:type="dxa"/>
            <w:tcBorders>
              <w:top w:val="nil"/>
              <w:left w:val="nil"/>
              <w:bottom w:val="single" w:sz="4" w:space="0" w:color="auto"/>
              <w:right w:val="single" w:sz="4" w:space="0" w:color="auto"/>
            </w:tcBorders>
            <w:shd w:val="clear" w:color="000000" w:fill="C6EFCE"/>
            <w:vAlign w:val="center"/>
          </w:tcPr>
          <w:p w14:paraId="00121814" w14:textId="77777777" w:rsidR="00CE3BAD" w:rsidRPr="00782BF9" w:rsidRDefault="006B5475">
            <w:pPr>
              <w:pStyle w:val="P68B1DB1-Normal29"/>
              <w:spacing w:after="0" w:line="240" w:lineRule="auto"/>
              <w:rPr>
                <w:noProof/>
                <w:lang w:val="bg-BG"/>
              </w:rPr>
            </w:pPr>
            <w:r w:rsidRPr="00782BF9">
              <w:rPr>
                <w:noProof/>
                <w:lang w:val="bg-BG"/>
              </w:rPr>
              <w:t>C9.R26 Подобряване на прозрачността и достъпа до публична информация</w:t>
            </w:r>
          </w:p>
        </w:tc>
        <w:tc>
          <w:tcPr>
            <w:tcW w:w="1164" w:type="dxa"/>
            <w:tcBorders>
              <w:top w:val="nil"/>
              <w:left w:val="nil"/>
              <w:bottom w:val="single" w:sz="4" w:space="0" w:color="auto"/>
              <w:right w:val="single" w:sz="4" w:space="0" w:color="auto"/>
            </w:tcBorders>
            <w:shd w:val="clear" w:color="000000" w:fill="C6EFCE"/>
            <w:vAlign w:val="center"/>
          </w:tcPr>
          <w:p w14:paraId="513273E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7947CEC" w14:textId="77777777" w:rsidR="00CE3BAD" w:rsidRPr="00782BF9" w:rsidRDefault="006B5475">
            <w:pPr>
              <w:pStyle w:val="P68B1DB1-Normal29"/>
              <w:spacing w:after="0" w:line="240" w:lineRule="auto"/>
              <w:rPr>
                <w:noProof/>
                <w:lang w:val="bg-BG"/>
              </w:rPr>
            </w:pPr>
            <w:r w:rsidRPr="00782BF9">
              <w:rPr>
                <w:noProof/>
                <w:lang w:val="bg-BG"/>
              </w:rPr>
              <w:t>Доклад на Националния орган за защита на данните и свобода на информацията относно достъпа до обществена информация (2)</w:t>
            </w:r>
          </w:p>
        </w:tc>
      </w:tr>
      <w:tr w:rsidR="00CE3BAD" w:rsidRPr="00782BF9" w14:paraId="1D2F8A9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6912283" w14:textId="77777777" w:rsidR="00CE3BAD" w:rsidRPr="00782BF9" w:rsidRDefault="006B5475">
            <w:pPr>
              <w:pStyle w:val="P68B1DB1-Normal29"/>
              <w:spacing w:after="0" w:line="240" w:lineRule="auto"/>
              <w:rPr>
                <w:noProof/>
                <w:lang w:val="bg-BG"/>
              </w:rPr>
            </w:pPr>
            <w:r w:rsidRPr="00782BF9">
              <w:rPr>
                <w:noProof/>
                <w:lang w:val="bg-BG"/>
              </w:rPr>
              <w:t>238</w:t>
            </w:r>
          </w:p>
        </w:tc>
        <w:tc>
          <w:tcPr>
            <w:tcW w:w="3120" w:type="dxa"/>
            <w:tcBorders>
              <w:top w:val="nil"/>
              <w:left w:val="nil"/>
              <w:bottom w:val="single" w:sz="4" w:space="0" w:color="auto"/>
              <w:right w:val="single" w:sz="4" w:space="0" w:color="auto"/>
            </w:tcBorders>
            <w:shd w:val="clear" w:color="000000" w:fill="C6EFCE"/>
            <w:vAlign w:val="center"/>
          </w:tcPr>
          <w:p w14:paraId="48E5D0EF" w14:textId="77777777" w:rsidR="00CE3BAD" w:rsidRPr="00782BF9" w:rsidRDefault="006B5475">
            <w:pPr>
              <w:pStyle w:val="P68B1DB1-Normal29"/>
              <w:spacing w:after="0" w:line="240" w:lineRule="auto"/>
              <w:rPr>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1164" w:type="dxa"/>
            <w:tcBorders>
              <w:top w:val="nil"/>
              <w:left w:val="nil"/>
              <w:bottom w:val="single" w:sz="4" w:space="0" w:color="auto"/>
              <w:right w:val="single" w:sz="4" w:space="0" w:color="auto"/>
            </w:tcBorders>
            <w:shd w:val="clear" w:color="000000" w:fill="C6EFCE"/>
            <w:vAlign w:val="center"/>
          </w:tcPr>
          <w:p w14:paraId="338D366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B6C84CD" w14:textId="77777777" w:rsidR="00CE3BAD" w:rsidRPr="00782BF9" w:rsidRDefault="006B5475">
            <w:pPr>
              <w:pStyle w:val="P68B1DB1-Normal29"/>
              <w:spacing w:after="0" w:line="240" w:lineRule="auto"/>
              <w:rPr>
                <w:noProof/>
                <w:lang w:val="bg-BG"/>
              </w:rPr>
            </w:pPr>
            <w:r w:rsidRPr="00782BF9">
              <w:rPr>
                <w:noProof/>
                <w:lang w:val="bg-BG"/>
              </w:rPr>
              <w:t>Засилване на ефективното прилагане на правилата относно задължителната обществена консултация със законодателните актове и системното публикуване на предварителните обобщения на оценките на въздействието (2)</w:t>
            </w:r>
          </w:p>
        </w:tc>
      </w:tr>
      <w:tr w:rsidR="00CE3BAD" w:rsidRPr="00782BF9" w14:paraId="0222F2B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3E4555D" w14:textId="77777777" w:rsidR="00CE3BAD" w:rsidRPr="00782BF9" w:rsidRDefault="006B5475">
            <w:pPr>
              <w:pStyle w:val="P68B1DB1-Normal29"/>
              <w:spacing w:after="0" w:line="240" w:lineRule="auto"/>
              <w:rPr>
                <w:noProof/>
                <w:lang w:val="bg-BG"/>
              </w:rPr>
            </w:pPr>
            <w:r w:rsidRPr="00782BF9">
              <w:rPr>
                <w:noProof/>
                <w:lang w:val="bg-BG"/>
              </w:rPr>
              <w:t>241</w:t>
            </w:r>
          </w:p>
        </w:tc>
        <w:tc>
          <w:tcPr>
            <w:tcW w:w="3120" w:type="dxa"/>
            <w:tcBorders>
              <w:top w:val="nil"/>
              <w:left w:val="nil"/>
              <w:bottom w:val="single" w:sz="4" w:space="0" w:color="auto"/>
              <w:right w:val="single" w:sz="4" w:space="0" w:color="auto"/>
            </w:tcBorders>
            <w:shd w:val="clear" w:color="000000" w:fill="C6EFCE"/>
            <w:vAlign w:val="center"/>
          </w:tcPr>
          <w:p w14:paraId="29ABA575" w14:textId="77777777" w:rsidR="00CE3BAD" w:rsidRPr="00782BF9" w:rsidRDefault="006B5475">
            <w:pPr>
              <w:pStyle w:val="P68B1DB1-Normal29"/>
              <w:spacing w:after="0" w:line="240" w:lineRule="auto"/>
              <w:rPr>
                <w:noProof/>
                <w:lang w:val="bg-BG"/>
              </w:rPr>
            </w:pPr>
            <w:r w:rsidRPr="00782BF9">
              <w:rPr>
                <w:noProof/>
                <w:lang w:val="bg-BG"/>
              </w:rPr>
              <w:t>C9.R28 Подкрепа за основания на данни процес на вземане на решения и законодателен процес с оглед повишаване на ефикасността, прозрачността и намаляване на рисковете от нередности</w:t>
            </w:r>
          </w:p>
        </w:tc>
        <w:tc>
          <w:tcPr>
            <w:tcW w:w="1164" w:type="dxa"/>
            <w:tcBorders>
              <w:top w:val="nil"/>
              <w:left w:val="nil"/>
              <w:bottom w:val="single" w:sz="4" w:space="0" w:color="auto"/>
              <w:right w:val="single" w:sz="4" w:space="0" w:color="auto"/>
            </w:tcBorders>
            <w:shd w:val="clear" w:color="000000" w:fill="C6EFCE"/>
            <w:vAlign w:val="center"/>
          </w:tcPr>
          <w:p w14:paraId="38F736B9" w14:textId="77777777" w:rsidR="00CE3BAD" w:rsidRPr="00782BF9" w:rsidRDefault="006B5475">
            <w:pPr>
              <w:pStyle w:val="P68B1DB1-Normal29"/>
              <w:spacing w:after="0" w:line="240" w:lineRule="auto"/>
              <w:rPr>
                <w:noProof/>
                <w:lang w:val="bg-BG"/>
              </w:rPr>
            </w:pPr>
            <w:r w:rsidRPr="00782BF9">
              <w:rPr>
                <w:noProof/>
                <w:lang w:val="bg-BG"/>
              </w:rPr>
              <w:t>Ключов етап </w:t>
            </w:r>
          </w:p>
        </w:tc>
        <w:tc>
          <w:tcPr>
            <w:tcW w:w="3781" w:type="dxa"/>
            <w:tcBorders>
              <w:top w:val="nil"/>
              <w:left w:val="nil"/>
              <w:bottom w:val="single" w:sz="4" w:space="0" w:color="auto"/>
              <w:right w:val="single" w:sz="4" w:space="0" w:color="auto"/>
            </w:tcBorders>
            <w:shd w:val="clear" w:color="000000" w:fill="C6EFCE"/>
            <w:vAlign w:val="center"/>
          </w:tcPr>
          <w:p w14:paraId="7EFB1A0A" w14:textId="77777777" w:rsidR="00CE3BAD" w:rsidRPr="00782BF9" w:rsidRDefault="006B5475">
            <w:pPr>
              <w:pStyle w:val="P68B1DB1-Normal29"/>
              <w:spacing w:after="0" w:line="240" w:lineRule="auto"/>
              <w:rPr>
                <w:noProof/>
                <w:lang w:val="bg-BG"/>
              </w:rPr>
            </w:pPr>
            <w:r w:rsidRPr="00782BF9">
              <w:rPr>
                <w:noProof/>
                <w:lang w:val="bg-BG"/>
              </w:rPr>
              <w:t>Създаване на платформа за данни и система за моделиране на данни </w:t>
            </w:r>
          </w:p>
        </w:tc>
      </w:tr>
      <w:tr w:rsidR="00CE3BAD" w:rsidRPr="00782BF9" w14:paraId="609FF6C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1C6EEF1" w14:textId="77777777" w:rsidR="00CE3BAD" w:rsidRPr="00782BF9" w:rsidRDefault="006B5475">
            <w:pPr>
              <w:pStyle w:val="P68B1DB1-Normal29"/>
              <w:spacing w:after="0" w:line="240" w:lineRule="auto"/>
              <w:rPr>
                <w:noProof/>
                <w:lang w:val="bg-BG"/>
              </w:rPr>
            </w:pPr>
            <w:r w:rsidRPr="00782BF9">
              <w:rPr>
                <w:noProof/>
                <w:lang w:val="bg-BG"/>
              </w:rPr>
              <w:t>259</w:t>
            </w:r>
          </w:p>
        </w:tc>
        <w:tc>
          <w:tcPr>
            <w:tcW w:w="3120" w:type="dxa"/>
            <w:tcBorders>
              <w:top w:val="nil"/>
              <w:left w:val="nil"/>
              <w:bottom w:val="single" w:sz="4" w:space="0" w:color="auto"/>
              <w:right w:val="single" w:sz="4" w:space="0" w:color="auto"/>
            </w:tcBorders>
            <w:shd w:val="clear" w:color="000000" w:fill="C6EFCE"/>
            <w:vAlign w:val="center"/>
          </w:tcPr>
          <w:p w14:paraId="17C94276" w14:textId="77777777" w:rsidR="00CE3BAD" w:rsidRPr="00782BF9" w:rsidRDefault="006B5475">
            <w:pPr>
              <w:pStyle w:val="P68B1DB1-Normal29"/>
              <w:spacing w:after="0" w:line="240" w:lineRule="auto"/>
              <w:rPr>
                <w:noProof/>
                <w:lang w:val="bg-BG"/>
              </w:rPr>
            </w:pPr>
            <w:r w:rsidRPr="00782BF9">
              <w:rPr>
                <w:noProof/>
                <w:lang w:val="bg-BG"/>
              </w:rPr>
              <w:t>C9.R35 Опростяване на данъчната система чрез намаляване на броя на данъците</w:t>
            </w:r>
          </w:p>
        </w:tc>
        <w:tc>
          <w:tcPr>
            <w:tcW w:w="1164" w:type="dxa"/>
            <w:tcBorders>
              <w:top w:val="nil"/>
              <w:left w:val="nil"/>
              <w:bottom w:val="single" w:sz="4" w:space="0" w:color="auto"/>
              <w:right w:val="single" w:sz="4" w:space="0" w:color="auto"/>
            </w:tcBorders>
            <w:shd w:val="clear" w:color="000000" w:fill="C6EFCE"/>
            <w:vAlign w:val="center"/>
          </w:tcPr>
          <w:p w14:paraId="1F07681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A31B955"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 изменения за намаляване на броя на данъците</w:t>
            </w:r>
          </w:p>
        </w:tc>
      </w:tr>
      <w:tr w:rsidR="00CE3BAD" w:rsidRPr="00782BF9" w14:paraId="617857F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3CBF94D" w14:textId="77777777" w:rsidR="00CE3BAD" w:rsidRPr="00782BF9" w:rsidRDefault="006B5475">
            <w:pPr>
              <w:pStyle w:val="P68B1DB1-Normal29"/>
              <w:spacing w:after="0" w:line="240" w:lineRule="auto"/>
              <w:rPr>
                <w:noProof/>
                <w:lang w:val="bg-BG"/>
              </w:rPr>
            </w:pPr>
            <w:r w:rsidRPr="00782BF9">
              <w:rPr>
                <w:noProof/>
                <w:lang w:val="bg-BG"/>
              </w:rPr>
              <w:t>265</w:t>
            </w:r>
          </w:p>
        </w:tc>
        <w:tc>
          <w:tcPr>
            <w:tcW w:w="3120" w:type="dxa"/>
            <w:tcBorders>
              <w:top w:val="nil"/>
              <w:left w:val="nil"/>
              <w:bottom w:val="single" w:sz="4" w:space="0" w:color="auto"/>
              <w:right w:val="single" w:sz="4" w:space="0" w:color="auto"/>
            </w:tcBorders>
            <w:shd w:val="clear" w:color="000000" w:fill="C6EFCE"/>
            <w:vAlign w:val="center"/>
          </w:tcPr>
          <w:p w14:paraId="7327EF36" w14:textId="77777777" w:rsidR="00CE3BAD" w:rsidRPr="00782BF9" w:rsidRDefault="006B5475">
            <w:pPr>
              <w:pStyle w:val="P68B1DB1-Normal29"/>
              <w:spacing w:after="0" w:line="240" w:lineRule="auto"/>
              <w:rPr>
                <w:noProof/>
                <w:lang w:val="bg-BG"/>
              </w:rPr>
            </w:pPr>
            <w:r w:rsidRPr="00782BF9">
              <w:rPr>
                <w:noProof/>
                <w:lang w:val="bg-BG"/>
              </w:rPr>
              <w:t>C9.R37 Интегриране на използването на комуникационни кампании и поведенчески наблюдения от данъчната администрация</w:t>
            </w:r>
          </w:p>
        </w:tc>
        <w:tc>
          <w:tcPr>
            <w:tcW w:w="1164" w:type="dxa"/>
            <w:tcBorders>
              <w:top w:val="nil"/>
              <w:left w:val="nil"/>
              <w:bottom w:val="single" w:sz="4" w:space="0" w:color="auto"/>
              <w:right w:val="single" w:sz="4" w:space="0" w:color="auto"/>
            </w:tcBorders>
            <w:shd w:val="clear" w:color="000000" w:fill="C6EFCE"/>
            <w:vAlign w:val="center"/>
          </w:tcPr>
          <w:p w14:paraId="5E10EEB7"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AA2C550" w14:textId="77777777" w:rsidR="00CE3BAD" w:rsidRPr="00782BF9" w:rsidRDefault="006B5475">
            <w:pPr>
              <w:pStyle w:val="P68B1DB1-Normal29"/>
              <w:spacing w:after="0" w:line="240" w:lineRule="auto"/>
              <w:rPr>
                <w:noProof/>
                <w:lang w:val="bg-BG"/>
              </w:rPr>
            </w:pPr>
            <w:r w:rsidRPr="00782BF9">
              <w:rPr>
                <w:noProof/>
                <w:lang w:val="bg-BG"/>
              </w:rPr>
              <w:t>Концептуален документ относно общото преразглеждане на ИТ платформите на NTCA и тяхното интегриране в услуга с един канал</w:t>
            </w:r>
          </w:p>
        </w:tc>
      </w:tr>
      <w:tr w:rsidR="00CE3BAD" w:rsidRPr="00782BF9" w14:paraId="0F0E1EC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0D29622" w14:textId="77777777" w:rsidR="00CE3BAD" w:rsidRPr="00782BF9" w:rsidRDefault="006B5475">
            <w:pPr>
              <w:pStyle w:val="P68B1DB1-Normal29"/>
              <w:spacing w:after="0" w:line="240" w:lineRule="auto"/>
              <w:rPr>
                <w:noProof/>
                <w:lang w:val="bg-BG"/>
              </w:rPr>
            </w:pPr>
            <w:r w:rsidRPr="00782BF9">
              <w:rPr>
                <w:noProof/>
                <w:lang w:val="bg-BG"/>
              </w:rPr>
              <w:t>268</w:t>
            </w:r>
          </w:p>
        </w:tc>
        <w:tc>
          <w:tcPr>
            <w:tcW w:w="3120" w:type="dxa"/>
            <w:tcBorders>
              <w:top w:val="nil"/>
              <w:left w:val="nil"/>
              <w:bottom w:val="single" w:sz="4" w:space="0" w:color="auto"/>
              <w:right w:val="single" w:sz="4" w:space="0" w:color="auto"/>
            </w:tcBorders>
            <w:shd w:val="clear" w:color="000000" w:fill="C6EFCE"/>
            <w:vAlign w:val="center"/>
          </w:tcPr>
          <w:p w14:paraId="09D6918A" w14:textId="77777777" w:rsidR="00CE3BAD" w:rsidRPr="00782BF9" w:rsidRDefault="006B5475">
            <w:pPr>
              <w:pStyle w:val="P68B1DB1-Normal29"/>
              <w:spacing w:after="0" w:line="240" w:lineRule="auto"/>
              <w:rPr>
                <w:noProof/>
                <w:lang w:val="bg-BG"/>
              </w:rPr>
            </w:pPr>
            <w:r w:rsidRPr="00782BF9">
              <w:rPr>
                <w:noProof/>
                <w:lang w:val="bg-BG"/>
              </w:rPr>
              <w:t>C9.R38 Подобряване на ефективността на публичните разходи чрез извършване на прегледи на разходите</w:t>
            </w:r>
          </w:p>
        </w:tc>
        <w:tc>
          <w:tcPr>
            <w:tcW w:w="1164" w:type="dxa"/>
            <w:tcBorders>
              <w:top w:val="nil"/>
              <w:left w:val="nil"/>
              <w:bottom w:val="single" w:sz="4" w:space="0" w:color="auto"/>
              <w:right w:val="single" w:sz="4" w:space="0" w:color="auto"/>
            </w:tcBorders>
            <w:shd w:val="clear" w:color="000000" w:fill="C6EFCE"/>
            <w:vAlign w:val="center"/>
          </w:tcPr>
          <w:p w14:paraId="0799FFE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9FBE1B1" w14:textId="77777777" w:rsidR="00CE3BAD" w:rsidRPr="00782BF9" w:rsidRDefault="006B5475">
            <w:pPr>
              <w:pStyle w:val="P68B1DB1-Normal29"/>
              <w:spacing w:after="0" w:line="240" w:lineRule="auto"/>
              <w:rPr>
                <w:noProof/>
                <w:lang w:val="bg-BG"/>
              </w:rPr>
            </w:pPr>
            <w:r w:rsidRPr="00782BF9">
              <w:rPr>
                <w:noProof/>
                <w:lang w:val="bg-BG"/>
              </w:rPr>
              <w:t>Доклади за резултатите от първия и втория преглед на разходите</w:t>
            </w:r>
          </w:p>
        </w:tc>
      </w:tr>
      <w:tr w:rsidR="00CE3BAD" w:rsidRPr="00782BF9" w14:paraId="561ADF0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BBFFCE8" w14:textId="77777777" w:rsidR="00CE3BAD" w:rsidRPr="00782BF9" w:rsidRDefault="006B5475">
            <w:pPr>
              <w:pStyle w:val="P68B1DB1-Normal29"/>
              <w:spacing w:after="0" w:line="240" w:lineRule="auto"/>
              <w:rPr>
                <w:noProof/>
                <w:lang w:val="bg-BG"/>
              </w:rPr>
            </w:pPr>
            <w:r w:rsidRPr="00782BF9">
              <w:rPr>
                <w:noProof/>
                <w:lang w:val="bg-BG"/>
              </w:rPr>
              <w:t>275</w:t>
            </w:r>
          </w:p>
        </w:tc>
        <w:tc>
          <w:tcPr>
            <w:tcW w:w="3120" w:type="dxa"/>
            <w:tcBorders>
              <w:top w:val="nil"/>
              <w:left w:val="nil"/>
              <w:bottom w:val="single" w:sz="4" w:space="0" w:color="auto"/>
              <w:right w:val="single" w:sz="4" w:space="0" w:color="auto"/>
            </w:tcBorders>
            <w:shd w:val="clear" w:color="000000" w:fill="C6EFCE"/>
            <w:vAlign w:val="center"/>
          </w:tcPr>
          <w:p w14:paraId="7F561BBB" w14:textId="77777777" w:rsidR="00CE3BAD" w:rsidRPr="00782BF9" w:rsidRDefault="006B5475">
            <w:pPr>
              <w:pStyle w:val="P68B1DB1-Normal29"/>
              <w:spacing w:after="0" w:line="240" w:lineRule="auto"/>
              <w:rPr>
                <w:noProof/>
                <w:lang w:val="bg-BG"/>
              </w:rPr>
            </w:pPr>
            <w:r w:rsidRPr="00782BF9">
              <w:rPr>
                <w:noProof/>
                <w:lang w:val="bg-BG"/>
              </w:rPr>
              <w:t xml:space="preserve">C10.R4: Засилване на ролята на доставчиците на агрегирани услуги  </w:t>
            </w:r>
          </w:p>
        </w:tc>
        <w:tc>
          <w:tcPr>
            <w:tcW w:w="1164" w:type="dxa"/>
            <w:tcBorders>
              <w:top w:val="nil"/>
              <w:left w:val="nil"/>
              <w:bottom w:val="single" w:sz="4" w:space="0" w:color="auto"/>
              <w:right w:val="single" w:sz="4" w:space="0" w:color="auto"/>
            </w:tcBorders>
            <w:shd w:val="clear" w:color="000000" w:fill="C6EFCE"/>
            <w:vAlign w:val="center"/>
          </w:tcPr>
          <w:p w14:paraId="2572D1C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0E6175B" w14:textId="77777777" w:rsidR="00CE3BAD" w:rsidRPr="00782BF9" w:rsidRDefault="006B5475">
            <w:pPr>
              <w:pStyle w:val="P68B1DB1-Normal29"/>
              <w:spacing w:after="0" w:line="240" w:lineRule="auto"/>
              <w:rPr>
                <w:noProof/>
                <w:lang w:val="bg-BG"/>
              </w:rPr>
            </w:pPr>
            <w:r w:rsidRPr="00782BF9">
              <w:rPr>
                <w:noProof/>
                <w:lang w:val="bg-BG"/>
              </w:rPr>
              <w:t>Влизане в сила на акт за изпълнение относно доставчиците на агрегирани услуги и мрежовите кодекси, включително образци на договори</w:t>
            </w:r>
          </w:p>
        </w:tc>
      </w:tr>
      <w:tr w:rsidR="00CE3BAD" w:rsidRPr="00782BF9" w14:paraId="4D09913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FEA77F0" w14:textId="77777777" w:rsidR="00CE3BAD" w:rsidRPr="00782BF9" w:rsidRDefault="006B5475">
            <w:pPr>
              <w:pStyle w:val="P68B1DB1-Normal29"/>
              <w:spacing w:after="0" w:line="240" w:lineRule="auto"/>
              <w:rPr>
                <w:noProof/>
                <w:lang w:val="bg-BG"/>
              </w:rPr>
            </w:pPr>
            <w:r w:rsidRPr="00782BF9">
              <w:rPr>
                <w:noProof/>
                <w:lang w:val="bg-BG"/>
              </w:rPr>
              <w:t>277</w:t>
            </w:r>
          </w:p>
        </w:tc>
        <w:tc>
          <w:tcPr>
            <w:tcW w:w="3120" w:type="dxa"/>
            <w:tcBorders>
              <w:top w:val="nil"/>
              <w:left w:val="nil"/>
              <w:bottom w:val="single" w:sz="4" w:space="0" w:color="auto"/>
              <w:right w:val="single" w:sz="4" w:space="0" w:color="auto"/>
            </w:tcBorders>
            <w:shd w:val="clear" w:color="000000" w:fill="C6EFCE"/>
            <w:vAlign w:val="center"/>
          </w:tcPr>
          <w:p w14:paraId="41082A13" w14:textId="77777777" w:rsidR="00CE3BAD" w:rsidRPr="00782BF9" w:rsidRDefault="006B5475">
            <w:pPr>
              <w:pStyle w:val="P68B1DB1-Normal29"/>
              <w:spacing w:after="0" w:line="240" w:lineRule="auto"/>
              <w:rPr>
                <w:noProof/>
                <w:lang w:val="bg-BG"/>
              </w:rPr>
            </w:pPr>
            <w:r w:rsidRPr="00782BF9">
              <w:rPr>
                <w:noProof/>
                <w:lang w:val="bg-BG"/>
              </w:rPr>
              <w:t>C10.R6: Обновяване на продуктовата структура на пазарите на регулаторни резерви с цел улесняване на навлизането на нови видове гъвкавост</w:t>
            </w:r>
          </w:p>
        </w:tc>
        <w:tc>
          <w:tcPr>
            <w:tcW w:w="1164" w:type="dxa"/>
            <w:tcBorders>
              <w:top w:val="nil"/>
              <w:left w:val="nil"/>
              <w:bottom w:val="single" w:sz="4" w:space="0" w:color="auto"/>
              <w:right w:val="single" w:sz="4" w:space="0" w:color="auto"/>
            </w:tcBorders>
            <w:shd w:val="clear" w:color="000000" w:fill="C6EFCE"/>
            <w:vAlign w:val="center"/>
          </w:tcPr>
          <w:p w14:paraId="7142E65A"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781" w:type="dxa"/>
            <w:tcBorders>
              <w:top w:val="nil"/>
              <w:left w:val="nil"/>
              <w:bottom w:val="single" w:sz="4" w:space="0" w:color="auto"/>
              <w:right w:val="single" w:sz="4" w:space="0" w:color="auto"/>
            </w:tcBorders>
            <w:shd w:val="clear" w:color="000000" w:fill="C6EFCE"/>
            <w:vAlign w:val="center"/>
          </w:tcPr>
          <w:p w14:paraId="2E8C0787" w14:textId="77777777" w:rsidR="00CE3BAD" w:rsidRPr="00782BF9" w:rsidRDefault="006B5475">
            <w:pPr>
              <w:pStyle w:val="P68B1DB1-Normal29"/>
              <w:spacing w:after="0" w:line="240" w:lineRule="auto"/>
              <w:rPr>
                <w:noProof/>
                <w:lang w:val="bg-BG"/>
              </w:rPr>
            </w:pPr>
            <w:r w:rsidRPr="00782BF9">
              <w:rPr>
                <w:noProof/>
                <w:lang w:val="bg-BG"/>
              </w:rPr>
              <w:t>Влизане в сила на всеобхватна регулаторна рамка и изменения на правилата и типовия договор на необходимите регулаторни равнища</w:t>
            </w:r>
          </w:p>
        </w:tc>
      </w:tr>
      <w:tr w:rsidR="00CE3BAD" w:rsidRPr="00782BF9" w14:paraId="63722FD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3140C20" w14:textId="77777777" w:rsidR="00CE3BAD" w:rsidRPr="00782BF9" w:rsidRDefault="006B5475">
            <w:pPr>
              <w:pStyle w:val="P68B1DB1-Normal29"/>
              <w:spacing w:after="0" w:line="240" w:lineRule="auto"/>
              <w:rPr>
                <w:noProof/>
                <w:lang w:val="bg-BG"/>
              </w:rPr>
            </w:pPr>
            <w:r w:rsidRPr="00782BF9">
              <w:rPr>
                <w:noProof/>
                <w:lang w:val="bg-BG"/>
              </w:rPr>
              <w:t>278</w:t>
            </w:r>
          </w:p>
        </w:tc>
        <w:tc>
          <w:tcPr>
            <w:tcW w:w="3120" w:type="dxa"/>
            <w:tcBorders>
              <w:top w:val="nil"/>
              <w:left w:val="nil"/>
              <w:bottom w:val="single" w:sz="4" w:space="0" w:color="auto"/>
              <w:right w:val="single" w:sz="4" w:space="0" w:color="auto"/>
            </w:tcBorders>
            <w:shd w:val="clear" w:color="000000" w:fill="C6EFCE"/>
            <w:vAlign w:val="center"/>
          </w:tcPr>
          <w:p w14:paraId="3321DCC0"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В.10.I1a: Развитие на цифровите технологии на равнището на системния оператор (безвъзмездни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351E8346"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781" w:type="dxa"/>
            <w:tcBorders>
              <w:top w:val="nil"/>
              <w:left w:val="nil"/>
              <w:bottom w:val="single" w:sz="4" w:space="0" w:color="auto"/>
              <w:right w:val="single" w:sz="4" w:space="0" w:color="auto"/>
            </w:tcBorders>
            <w:shd w:val="clear" w:color="000000" w:fill="C6EFCE"/>
            <w:vAlign w:val="center"/>
          </w:tcPr>
          <w:p w14:paraId="6E9EF6E2"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предложения относно развитието на цифровите технологии, свързани с мрежовата инфраструктура и експлоатацията на електроенергийната мрежа на равнището на системния оператор</w:t>
            </w:r>
          </w:p>
        </w:tc>
      </w:tr>
      <w:tr w:rsidR="00CE3BAD" w:rsidRPr="00782BF9" w14:paraId="31BC861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EA3238D" w14:textId="77777777" w:rsidR="00CE3BAD" w:rsidRPr="00782BF9" w:rsidRDefault="006B5475">
            <w:pPr>
              <w:pStyle w:val="P68B1DB1-Normal29"/>
              <w:spacing w:after="0" w:line="240" w:lineRule="auto"/>
              <w:rPr>
                <w:noProof/>
                <w:lang w:val="bg-BG"/>
              </w:rPr>
            </w:pPr>
            <w:r w:rsidRPr="00782BF9">
              <w:rPr>
                <w:noProof/>
                <w:lang w:val="bg-BG"/>
              </w:rPr>
              <w:t>282</w:t>
            </w:r>
          </w:p>
        </w:tc>
        <w:tc>
          <w:tcPr>
            <w:tcW w:w="3120" w:type="dxa"/>
            <w:tcBorders>
              <w:top w:val="nil"/>
              <w:left w:val="nil"/>
              <w:bottom w:val="single" w:sz="4" w:space="0" w:color="auto"/>
              <w:right w:val="single" w:sz="4" w:space="0" w:color="auto"/>
            </w:tcBorders>
            <w:shd w:val="clear" w:color="000000" w:fill="C6EFCE"/>
            <w:vAlign w:val="center"/>
          </w:tcPr>
          <w:p w14:paraId="4397B223"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 xml:space="preserve">C10.I1b: Подобряване на точността на прогнозата за времето </w:t>
            </w:r>
            <w:r w:rsidRPr="00782BF9">
              <w:rPr>
                <w:noProof/>
                <w:lang w:val="bg-BG"/>
              </w:rPr>
              <w:br/>
              <w:t>(безвъзмездни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2D99C15B"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E9B9553" w14:textId="77777777" w:rsidR="00CE3BAD" w:rsidRPr="00782BF9" w:rsidRDefault="006B5475">
            <w:pPr>
              <w:pStyle w:val="P68B1DB1-Normal29"/>
              <w:spacing w:after="0" w:line="240" w:lineRule="auto"/>
              <w:rPr>
                <w:noProof/>
                <w:lang w:val="bg-BG"/>
              </w:rPr>
            </w:pPr>
            <w:r w:rsidRPr="00782BF9">
              <w:rPr>
                <w:noProof/>
                <w:lang w:val="bg-BG"/>
              </w:rPr>
              <w:t xml:space="preserve">Отправяне на покана за приоритетен (и) проект (и) за инсталиране на метеорологични станции с цел подобряване на точността на метеорологичните прогнози </w:t>
            </w:r>
          </w:p>
        </w:tc>
      </w:tr>
      <w:tr w:rsidR="00CE3BAD" w:rsidRPr="00782BF9" w14:paraId="653CFDA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871F535" w14:textId="77777777" w:rsidR="00CE3BAD" w:rsidRPr="00782BF9" w:rsidRDefault="006B5475">
            <w:pPr>
              <w:pStyle w:val="P68B1DB1-Normal29"/>
              <w:spacing w:after="0" w:line="240" w:lineRule="auto"/>
              <w:rPr>
                <w:noProof/>
                <w:lang w:val="bg-BG"/>
              </w:rPr>
            </w:pPr>
            <w:r w:rsidRPr="00782BF9">
              <w:rPr>
                <w:noProof/>
                <w:lang w:val="bg-BG"/>
              </w:rPr>
              <w:t>289</w:t>
            </w:r>
          </w:p>
        </w:tc>
        <w:tc>
          <w:tcPr>
            <w:tcW w:w="3120" w:type="dxa"/>
            <w:tcBorders>
              <w:top w:val="nil"/>
              <w:left w:val="nil"/>
              <w:bottom w:val="single" w:sz="4" w:space="0" w:color="auto"/>
              <w:right w:val="single" w:sz="4" w:space="0" w:color="auto"/>
            </w:tcBorders>
            <w:shd w:val="clear" w:color="000000" w:fill="C6EFCE"/>
            <w:vAlign w:val="center"/>
          </w:tcPr>
          <w:p w14:paraId="36D8B098"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C10.I1d разширена мярка: Разпространение на интелигентни измервателни уреди (безвъзмездни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31FB95DB"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BB0B5D9"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предложения за приоритетни проекти, насочени към ОРС, за закупуване и инсталиране на интелигентни измервателни уреди</w:t>
            </w:r>
          </w:p>
        </w:tc>
      </w:tr>
      <w:tr w:rsidR="00CE3BAD" w:rsidRPr="00782BF9" w14:paraId="628AFDFA" w14:textId="77777777">
        <w:tblPrEx>
          <w:tblCellMar>
            <w:top w:w="0" w:type="dxa"/>
          </w:tblCellMar>
        </w:tblPrEx>
        <w:trPr>
          <w:trHeight w:val="460"/>
        </w:trPr>
        <w:tc>
          <w:tcPr>
            <w:tcW w:w="5522" w:type="dxa"/>
            <w:gridSpan w:val="3"/>
            <w:tcBorders>
              <w:top w:val="nil"/>
              <w:left w:val="single" w:sz="4" w:space="0" w:color="auto"/>
              <w:bottom w:val="single" w:sz="4" w:space="0" w:color="auto"/>
              <w:right w:val="single" w:sz="4" w:space="0" w:color="auto"/>
            </w:tcBorders>
            <w:shd w:val="clear" w:color="000000" w:fill="C6EFCE"/>
            <w:vAlign w:val="center"/>
          </w:tcPr>
          <w:p w14:paraId="6FDBD5DE"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nil"/>
              <w:left w:val="nil"/>
              <w:bottom w:val="single" w:sz="4" w:space="0" w:color="auto"/>
              <w:right w:val="single" w:sz="4" w:space="0" w:color="auto"/>
            </w:tcBorders>
            <w:shd w:val="clear" w:color="000000" w:fill="C6EFCE"/>
            <w:vAlign w:val="center"/>
          </w:tcPr>
          <w:p w14:paraId="5FA89C8F" w14:textId="77777777" w:rsidR="00CE3BAD" w:rsidRPr="00782BF9" w:rsidRDefault="006B5475">
            <w:pPr>
              <w:pStyle w:val="P68B1DB1-Normal29"/>
              <w:spacing w:after="0" w:line="240" w:lineRule="auto"/>
              <w:jc w:val="center"/>
              <w:rPr>
                <w:noProof/>
                <w:lang w:val="bg-BG"/>
              </w:rPr>
            </w:pPr>
            <w:r w:rsidRPr="00782BF9">
              <w:rPr>
                <w:noProof/>
                <w:lang w:val="bg-BG"/>
              </w:rPr>
              <w:t>667 020 000 EUR</w:t>
            </w:r>
          </w:p>
        </w:tc>
      </w:tr>
    </w:tbl>
    <w:p w14:paraId="093E4C78" w14:textId="69EF21FE" w:rsidR="00CE3BAD" w:rsidRPr="00782BF9" w:rsidRDefault="00CE3BAD">
      <w:pPr>
        <w:spacing w:before="120" w:after="120" w:line="240" w:lineRule="auto"/>
        <w:jc w:val="both"/>
        <w:rPr>
          <w:rFonts w:ascii="Times New Roman" w:eastAsia="Calibri" w:hAnsi="Times New Roman" w:cs="Times New Roman"/>
          <w:noProof/>
          <w:sz w:val="24"/>
          <w:lang w:val="bg-BG"/>
        </w:rPr>
      </w:pPr>
    </w:p>
    <w:p w14:paraId="15F8041D" w14:textId="77777777" w:rsidR="00CE3BAD" w:rsidRPr="00782BF9" w:rsidRDefault="006B5475">
      <w:pPr>
        <w:pStyle w:val="P68B1DB1-Norml5"/>
        <w:spacing w:after="160" w:line="259" w:lineRule="auto"/>
        <w:rPr>
          <w:noProof/>
          <w:lang w:val="bg-BG"/>
        </w:rPr>
      </w:pPr>
      <w:r w:rsidRPr="00782BF9">
        <w:rPr>
          <w:noProof/>
          <w:lang w:val="bg-BG"/>
        </w:rPr>
        <w:br w:type="page"/>
      </w:r>
    </w:p>
    <w:p w14:paraId="07628759"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3608599B" w14:textId="77777777" w:rsidR="00CE3BAD" w:rsidRPr="00782BF9" w:rsidRDefault="006B5475">
      <w:pPr>
        <w:pStyle w:val="P68B1DB1-ListParagraph27"/>
        <w:numPr>
          <w:ilvl w:val="1"/>
          <w:numId w:val="16"/>
        </w:numPr>
        <w:spacing w:before="120" w:after="120" w:line="240" w:lineRule="auto"/>
        <w:jc w:val="both"/>
        <w:rPr>
          <w:noProof/>
          <w:lang w:val="bg-BG"/>
        </w:rPr>
      </w:pPr>
      <w:r w:rsidRPr="00782BF9">
        <w:rPr>
          <w:noProof/>
          <w:lang w:val="bg-BG"/>
        </w:rPr>
        <w:t>Пета вноска (безвъзмездна подкрепа):</w:t>
      </w: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5E2BCA68" w14:textId="77777777">
        <w:trPr>
          <w:trHeight w:val="450"/>
          <w:tblHeader/>
        </w:trPr>
        <w:tc>
          <w:tcPr>
            <w:tcW w:w="1238"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79626A1E"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4F8E06CB"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16A78A5E"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3473EBDA"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55F54B68"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5100EB2C"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2B4AC656"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6EA7926D"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2DA960DA"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643DB855"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3E5AC82C"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3BBE0F56"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055F176F"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2C12B1DA"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1AF05E6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ED5814D" w14:textId="77777777" w:rsidR="00CE3BAD" w:rsidRPr="00782BF9" w:rsidRDefault="006B5475">
            <w:pPr>
              <w:pStyle w:val="P68B1DB1-Normal29"/>
              <w:spacing w:after="0" w:line="240" w:lineRule="auto"/>
              <w:rPr>
                <w:noProof/>
                <w:lang w:val="bg-BG"/>
              </w:rPr>
            </w:pPr>
            <w:r w:rsidRPr="00782BF9">
              <w:rPr>
                <w:noProof/>
                <w:lang w:val="bg-BG"/>
              </w:rPr>
              <w:t>4</w:t>
            </w:r>
          </w:p>
        </w:tc>
        <w:tc>
          <w:tcPr>
            <w:tcW w:w="3120" w:type="dxa"/>
            <w:tcBorders>
              <w:top w:val="nil"/>
              <w:left w:val="nil"/>
              <w:bottom w:val="single" w:sz="4" w:space="0" w:color="auto"/>
              <w:right w:val="single" w:sz="4" w:space="0" w:color="auto"/>
            </w:tcBorders>
            <w:shd w:val="clear" w:color="000000" w:fill="C6EFCE"/>
            <w:vAlign w:val="center"/>
          </w:tcPr>
          <w:p w14:paraId="4FCE3A71" w14:textId="77777777" w:rsidR="00CE3BAD" w:rsidRPr="00782BF9" w:rsidRDefault="006B5475">
            <w:pPr>
              <w:pStyle w:val="P68B1DB1-Normal29"/>
              <w:spacing w:after="0" w:line="240" w:lineRule="auto"/>
              <w:rPr>
                <w:noProof/>
                <w:lang w:val="bg-BG"/>
              </w:rPr>
            </w:pPr>
            <w:r w:rsidRPr="00782BF9">
              <w:rPr>
                <w:noProof/>
                <w:lang w:val="bg-BG"/>
              </w:rPr>
              <w:t>В1.R1 Развитие на конкурентоспособно публично образование с използване на технологията на 21-ви век</w:t>
            </w:r>
          </w:p>
        </w:tc>
        <w:tc>
          <w:tcPr>
            <w:tcW w:w="1164" w:type="dxa"/>
            <w:tcBorders>
              <w:top w:val="nil"/>
              <w:left w:val="nil"/>
              <w:bottom w:val="single" w:sz="4" w:space="0" w:color="auto"/>
              <w:right w:val="single" w:sz="4" w:space="0" w:color="auto"/>
            </w:tcBorders>
            <w:shd w:val="clear" w:color="000000" w:fill="C6EFCE"/>
            <w:vAlign w:val="center"/>
          </w:tcPr>
          <w:p w14:paraId="35A4E83A"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26DD77C" w14:textId="77777777" w:rsidR="00CE3BAD" w:rsidRPr="00782BF9" w:rsidRDefault="006B5475">
            <w:pPr>
              <w:pStyle w:val="P68B1DB1-Normal29"/>
              <w:spacing w:after="0" w:line="240" w:lineRule="auto"/>
              <w:rPr>
                <w:noProof/>
                <w:lang w:val="bg-BG"/>
              </w:rPr>
            </w:pPr>
            <w:r w:rsidRPr="00782BF9">
              <w:rPr>
                <w:noProof/>
                <w:lang w:val="bg-BG"/>
              </w:rPr>
              <w:t>Брой на институциите за училищно образование, оборудвани със съвременни инструменти и инструменти за показване, които развиват креативността на учениците и уменията за решаване на проблеми</w:t>
            </w:r>
          </w:p>
        </w:tc>
      </w:tr>
      <w:tr w:rsidR="00CE3BAD" w:rsidRPr="00782BF9" w14:paraId="46E8BA6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2636626" w14:textId="77777777" w:rsidR="00CE3BAD" w:rsidRPr="00782BF9" w:rsidRDefault="006B5475">
            <w:pPr>
              <w:pStyle w:val="P68B1DB1-Normal29"/>
              <w:spacing w:after="0" w:line="240" w:lineRule="auto"/>
              <w:rPr>
                <w:noProof/>
                <w:lang w:val="bg-BG"/>
              </w:rPr>
            </w:pPr>
            <w:r w:rsidRPr="00782BF9">
              <w:rPr>
                <w:noProof/>
                <w:lang w:val="bg-BG"/>
              </w:rPr>
              <w:t>24</w:t>
            </w:r>
          </w:p>
        </w:tc>
        <w:tc>
          <w:tcPr>
            <w:tcW w:w="3120" w:type="dxa"/>
            <w:tcBorders>
              <w:top w:val="nil"/>
              <w:left w:val="nil"/>
              <w:bottom w:val="single" w:sz="4" w:space="0" w:color="auto"/>
              <w:right w:val="single" w:sz="4" w:space="0" w:color="auto"/>
            </w:tcBorders>
            <w:shd w:val="clear" w:color="000000" w:fill="C6EFCE"/>
            <w:vAlign w:val="center"/>
          </w:tcPr>
          <w:p w14:paraId="0A527E86" w14:textId="77777777" w:rsidR="00CE3BAD" w:rsidRPr="00782BF9" w:rsidRDefault="006B5475">
            <w:pPr>
              <w:pStyle w:val="P68B1DB1-Normal29"/>
              <w:spacing w:after="0" w:line="240" w:lineRule="auto"/>
              <w:rPr>
                <w:noProof/>
                <w:lang w:val="bg-BG"/>
              </w:rPr>
            </w:pPr>
            <w:r w:rsidRPr="00782BF9">
              <w:rPr>
                <w:noProof/>
                <w:lang w:val="bg-BG"/>
              </w:rPr>
              <w:t>C1.I4 Създаване на нови детски ясли</w:t>
            </w:r>
          </w:p>
        </w:tc>
        <w:tc>
          <w:tcPr>
            <w:tcW w:w="1164" w:type="dxa"/>
            <w:tcBorders>
              <w:top w:val="nil"/>
              <w:left w:val="nil"/>
              <w:bottom w:val="single" w:sz="4" w:space="0" w:color="auto"/>
              <w:right w:val="single" w:sz="4" w:space="0" w:color="auto"/>
            </w:tcBorders>
            <w:shd w:val="clear" w:color="000000" w:fill="C6EFCE"/>
            <w:vAlign w:val="center"/>
          </w:tcPr>
          <w:p w14:paraId="19CC8F6F"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7A74401" w14:textId="77777777" w:rsidR="00CE3BAD" w:rsidRPr="00782BF9" w:rsidRDefault="006B5475">
            <w:pPr>
              <w:pStyle w:val="P68B1DB1-Normal29"/>
              <w:spacing w:after="0" w:line="240" w:lineRule="auto"/>
              <w:rPr>
                <w:noProof/>
                <w:lang w:val="bg-BG"/>
              </w:rPr>
            </w:pPr>
            <w:r w:rsidRPr="00782BF9">
              <w:rPr>
                <w:noProof/>
                <w:lang w:val="bg-BG"/>
              </w:rPr>
              <w:t>Брой деца, записани в новосъздадени детски ясли</w:t>
            </w:r>
          </w:p>
        </w:tc>
      </w:tr>
      <w:tr w:rsidR="00CE3BAD" w:rsidRPr="00782BF9" w14:paraId="0FA0AA6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94495D4" w14:textId="77777777" w:rsidR="00CE3BAD" w:rsidRPr="00782BF9" w:rsidRDefault="006B5475">
            <w:pPr>
              <w:pStyle w:val="P68B1DB1-Normal29"/>
              <w:spacing w:after="0" w:line="240" w:lineRule="auto"/>
              <w:rPr>
                <w:noProof/>
                <w:lang w:val="bg-BG"/>
              </w:rPr>
            </w:pPr>
            <w:r w:rsidRPr="00782BF9">
              <w:rPr>
                <w:noProof/>
                <w:lang w:val="bg-BG"/>
              </w:rPr>
              <w:t>31</w:t>
            </w:r>
          </w:p>
        </w:tc>
        <w:tc>
          <w:tcPr>
            <w:tcW w:w="3120" w:type="dxa"/>
            <w:tcBorders>
              <w:top w:val="nil"/>
              <w:left w:val="nil"/>
              <w:bottom w:val="single" w:sz="4" w:space="0" w:color="auto"/>
              <w:right w:val="single" w:sz="4" w:space="0" w:color="auto"/>
            </w:tcBorders>
            <w:shd w:val="clear" w:color="000000" w:fill="C6EFCE"/>
            <w:vAlign w:val="center"/>
          </w:tcPr>
          <w:p w14:paraId="0734C2A1" w14:textId="77777777" w:rsidR="00CE3BAD" w:rsidRPr="00782BF9" w:rsidRDefault="006B5475">
            <w:pPr>
              <w:pStyle w:val="P68B1DB1-Normal29"/>
              <w:spacing w:after="0" w:line="240" w:lineRule="auto"/>
              <w:rPr>
                <w:noProof/>
                <w:lang w:val="bg-BG"/>
              </w:rPr>
            </w:pPr>
            <w:r w:rsidRPr="00782BF9">
              <w:rPr>
                <w:noProof/>
                <w:lang w:val="bg-BG"/>
              </w:rPr>
              <w:t xml:space="preserve">C2.I1 Институционални иновации и засилени дейности във висшето образование </w:t>
            </w:r>
          </w:p>
        </w:tc>
        <w:tc>
          <w:tcPr>
            <w:tcW w:w="1164" w:type="dxa"/>
            <w:tcBorders>
              <w:top w:val="nil"/>
              <w:left w:val="nil"/>
              <w:bottom w:val="single" w:sz="4" w:space="0" w:color="auto"/>
              <w:right w:val="single" w:sz="4" w:space="0" w:color="auto"/>
            </w:tcBorders>
            <w:shd w:val="clear" w:color="000000" w:fill="C6EFCE"/>
            <w:vAlign w:val="center"/>
          </w:tcPr>
          <w:p w14:paraId="0E1B6173"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B762CC7" w14:textId="77777777" w:rsidR="00CE3BAD" w:rsidRPr="00782BF9" w:rsidRDefault="006B5475">
            <w:pPr>
              <w:pStyle w:val="P68B1DB1-Normal29"/>
              <w:spacing w:after="0" w:line="240" w:lineRule="auto"/>
              <w:rPr>
                <w:noProof/>
                <w:lang w:val="bg-BG"/>
              </w:rPr>
            </w:pPr>
            <w:r w:rsidRPr="00782BF9">
              <w:rPr>
                <w:noProof/>
                <w:lang w:val="bg-BG"/>
              </w:rPr>
              <w:t xml:space="preserve">Брой курсове, предлагащи микроквалификации с цифрово съдържание </w:t>
            </w:r>
          </w:p>
        </w:tc>
      </w:tr>
      <w:tr w:rsidR="00CE3BAD" w:rsidRPr="00782BF9" w14:paraId="35A86BA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1B52E25" w14:textId="77777777" w:rsidR="00CE3BAD" w:rsidRPr="00782BF9" w:rsidRDefault="006B5475">
            <w:pPr>
              <w:pStyle w:val="P68B1DB1-Normal29"/>
              <w:spacing w:after="0" w:line="240" w:lineRule="auto"/>
              <w:rPr>
                <w:noProof/>
                <w:lang w:val="bg-BG"/>
              </w:rPr>
            </w:pPr>
            <w:r w:rsidRPr="00782BF9">
              <w:rPr>
                <w:noProof/>
                <w:lang w:val="bg-BG"/>
              </w:rPr>
              <w:t>53</w:t>
            </w:r>
          </w:p>
        </w:tc>
        <w:tc>
          <w:tcPr>
            <w:tcW w:w="3120" w:type="dxa"/>
            <w:tcBorders>
              <w:top w:val="nil"/>
              <w:left w:val="nil"/>
              <w:bottom w:val="single" w:sz="4" w:space="0" w:color="auto"/>
              <w:right w:val="single" w:sz="4" w:space="0" w:color="auto"/>
            </w:tcBorders>
            <w:shd w:val="clear" w:color="000000" w:fill="C6EFCE"/>
            <w:vAlign w:val="center"/>
          </w:tcPr>
          <w:p w14:paraId="3EB8124A" w14:textId="77777777" w:rsidR="00CE3BAD" w:rsidRPr="00782BF9" w:rsidRDefault="006B5475">
            <w:pPr>
              <w:pStyle w:val="P68B1DB1-Normal29"/>
              <w:spacing w:after="0" w:line="240" w:lineRule="auto"/>
              <w:rPr>
                <w:noProof/>
                <w:lang w:val="bg-BG"/>
              </w:rPr>
            </w:pPr>
            <w:r w:rsidRPr="00782BF9">
              <w:rPr>
                <w:noProof/>
                <w:lang w:val="bg-BG"/>
              </w:rPr>
              <w:t>C3.I1 Строителство и обновяване на социални жилища, подобряване на жилищните условия</w:t>
            </w:r>
          </w:p>
        </w:tc>
        <w:tc>
          <w:tcPr>
            <w:tcW w:w="1164" w:type="dxa"/>
            <w:tcBorders>
              <w:top w:val="nil"/>
              <w:left w:val="nil"/>
              <w:bottom w:val="single" w:sz="4" w:space="0" w:color="auto"/>
              <w:right w:val="single" w:sz="4" w:space="0" w:color="auto"/>
            </w:tcBorders>
            <w:shd w:val="clear" w:color="000000" w:fill="C6EFCE"/>
            <w:vAlign w:val="center"/>
          </w:tcPr>
          <w:p w14:paraId="36A27A59"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123C7D87" w14:textId="77777777" w:rsidR="00CE3BAD" w:rsidRPr="00782BF9" w:rsidRDefault="006B5475">
            <w:pPr>
              <w:pStyle w:val="P68B1DB1-Normal29"/>
              <w:spacing w:after="0" w:line="240" w:lineRule="auto"/>
              <w:rPr>
                <w:noProof/>
                <w:lang w:val="bg-BG"/>
              </w:rPr>
            </w:pPr>
            <w:r w:rsidRPr="00782BF9">
              <w:rPr>
                <w:noProof/>
                <w:lang w:val="bg-BG"/>
              </w:rPr>
              <w:t>Обновяване на жилища</w:t>
            </w:r>
          </w:p>
        </w:tc>
      </w:tr>
      <w:tr w:rsidR="00CE3BAD" w:rsidRPr="00782BF9" w14:paraId="7F54F4F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9379834" w14:textId="77777777" w:rsidR="00CE3BAD" w:rsidRPr="00782BF9" w:rsidRDefault="006B5475">
            <w:pPr>
              <w:pStyle w:val="P68B1DB1-Normal29"/>
              <w:spacing w:after="0" w:line="240" w:lineRule="auto"/>
              <w:rPr>
                <w:noProof/>
                <w:lang w:val="bg-BG"/>
              </w:rPr>
            </w:pPr>
            <w:r w:rsidRPr="00782BF9">
              <w:rPr>
                <w:noProof/>
                <w:lang w:val="bg-BG"/>
              </w:rPr>
              <w:t>55</w:t>
            </w:r>
          </w:p>
        </w:tc>
        <w:tc>
          <w:tcPr>
            <w:tcW w:w="3120" w:type="dxa"/>
            <w:tcBorders>
              <w:top w:val="nil"/>
              <w:left w:val="nil"/>
              <w:bottom w:val="single" w:sz="4" w:space="0" w:color="auto"/>
              <w:right w:val="single" w:sz="4" w:space="0" w:color="auto"/>
            </w:tcBorders>
            <w:shd w:val="clear" w:color="000000" w:fill="C6EFCE"/>
            <w:vAlign w:val="center"/>
          </w:tcPr>
          <w:p w14:paraId="04D6B9E4" w14:textId="77777777" w:rsidR="00CE3BAD" w:rsidRPr="00782BF9" w:rsidRDefault="006B5475">
            <w:pPr>
              <w:pStyle w:val="P68B1DB1-Normal29"/>
              <w:spacing w:after="0" w:line="240" w:lineRule="auto"/>
              <w:rPr>
                <w:noProof/>
                <w:lang w:val="bg-BG"/>
              </w:rPr>
            </w:pPr>
            <w:r w:rsidRPr="00782BF9">
              <w:rPr>
                <w:noProof/>
                <w:lang w:val="bg-BG"/>
              </w:rPr>
              <w:t>C3.I1 Строителство и обновяване на социални жилища, подобряване на жилищните условия</w:t>
            </w:r>
          </w:p>
        </w:tc>
        <w:tc>
          <w:tcPr>
            <w:tcW w:w="1164" w:type="dxa"/>
            <w:tcBorders>
              <w:top w:val="nil"/>
              <w:left w:val="nil"/>
              <w:bottom w:val="single" w:sz="4" w:space="0" w:color="auto"/>
              <w:right w:val="single" w:sz="4" w:space="0" w:color="auto"/>
            </w:tcBorders>
            <w:shd w:val="clear" w:color="000000" w:fill="C6EFCE"/>
            <w:vAlign w:val="center"/>
          </w:tcPr>
          <w:p w14:paraId="3CA61FBE"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C1C938A" w14:textId="77777777" w:rsidR="00CE3BAD" w:rsidRPr="00782BF9" w:rsidRDefault="006B5475">
            <w:pPr>
              <w:pStyle w:val="P68B1DB1-Normal29"/>
              <w:spacing w:after="0" w:line="240" w:lineRule="auto"/>
              <w:rPr>
                <w:noProof/>
                <w:lang w:val="bg-BG"/>
              </w:rPr>
            </w:pPr>
            <w:r w:rsidRPr="00782BF9">
              <w:rPr>
                <w:noProof/>
                <w:lang w:val="bg-BG"/>
              </w:rPr>
              <w:t>Изграждане на нови социални жилища</w:t>
            </w:r>
          </w:p>
        </w:tc>
      </w:tr>
      <w:tr w:rsidR="00CE3BAD" w:rsidRPr="00782BF9" w14:paraId="598E005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9468DC8" w14:textId="77777777" w:rsidR="00CE3BAD" w:rsidRPr="00782BF9" w:rsidRDefault="006B5475">
            <w:pPr>
              <w:pStyle w:val="P68B1DB1-Normal29"/>
              <w:spacing w:after="0" w:line="240" w:lineRule="auto"/>
              <w:rPr>
                <w:noProof/>
                <w:lang w:val="bg-BG"/>
              </w:rPr>
            </w:pPr>
            <w:r w:rsidRPr="00782BF9">
              <w:rPr>
                <w:noProof/>
                <w:lang w:val="bg-BG"/>
              </w:rPr>
              <w:t>64</w:t>
            </w:r>
          </w:p>
        </w:tc>
        <w:tc>
          <w:tcPr>
            <w:tcW w:w="3120" w:type="dxa"/>
            <w:tcBorders>
              <w:top w:val="nil"/>
              <w:left w:val="nil"/>
              <w:bottom w:val="single" w:sz="4" w:space="0" w:color="auto"/>
              <w:right w:val="single" w:sz="4" w:space="0" w:color="auto"/>
            </w:tcBorders>
            <w:shd w:val="clear" w:color="000000" w:fill="C6EFCE"/>
            <w:vAlign w:val="center"/>
          </w:tcPr>
          <w:p w14:paraId="22BA1AC8" w14:textId="77777777" w:rsidR="00CE3BAD" w:rsidRPr="00782BF9" w:rsidRDefault="006B5475">
            <w:pPr>
              <w:pStyle w:val="P68B1DB1-Normal29"/>
              <w:spacing w:after="0" w:line="240" w:lineRule="auto"/>
              <w:rPr>
                <w:noProof/>
                <w:lang w:val="bg-BG"/>
              </w:rPr>
            </w:pPr>
            <w:r w:rsidRPr="00782BF9">
              <w:rPr>
                <w:noProof/>
                <w:lang w:val="bg-BG"/>
              </w:rPr>
              <w:t>C4.R1 Повишаване на осведомеността</w:t>
            </w:r>
          </w:p>
        </w:tc>
        <w:tc>
          <w:tcPr>
            <w:tcW w:w="1164" w:type="dxa"/>
            <w:tcBorders>
              <w:top w:val="nil"/>
              <w:left w:val="nil"/>
              <w:bottom w:val="single" w:sz="4" w:space="0" w:color="auto"/>
              <w:right w:val="single" w:sz="4" w:space="0" w:color="auto"/>
            </w:tcBorders>
            <w:shd w:val="clear" w:color="000000" w:fill="C6EFCE"/>
            <w:vAlign w:val="center"/>
          </w:tcPr>
          <w:p w14:paraId="58A23E80"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63449827" w14:textId="77777777" w:rsidR="00CE3BAD" w:rsidRPr="00782BF9" w:rsidRDefault="006B5475">
            <w:pPr>
              <w:pStyle w:val="P68B1DB1-Normal29"/>
              <w:spacing w:after="0" w:line="240" w:lineRule="auto"/>
              <w:rPr>
                <w:noProof/>
                <w:lang w:val="bg-BG"/>
              </w:rPr>
            </w:pPr>
            <w:r w:rsidRPr="00782BF9">
              <w:rPr>
                <w:noProof/>
                <w:lang w:val="bg-BG"/>
              </w:rPr>
              <w:t>Създаване на общности за устойчиво управление на водите</w:t>
            </w:r>
          </w:p>
        </w:tc>
      </w:tr>
      <w:tr w:rsidR="00CE3BAD" w:rsidRPr="00782BF9" w14:paraId="5402B2B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7AFB9DC" w14:textId="77777777" w:rsidR="00CE3BAD" w:rsidRPr="00782BF9" w:rsidRDefault="006B5475">
            <w:pPr>
              <w:pStyle w:val="P68B1DB1-Normal29"/>
              <w:spacing w:after="0" w:line="240" w:lineRule="auto"/>
              <w:rPr>
                <w:noProof/>
                <w:lang w:val="bg-BG"/>
              </w:rPr>
            </w:pPr>
            <w:r w:rsidRPr="00782BF9">
              <w:rPr>
                <w:noProof/>
                <w:lang w:val="bg-BG"/>
              </w:rPr>
              <w:t>72</w:t>
            </w:r>
          </w:p>
        </w:tc>
        <w:tc>
          <w:tcPr>
            <w:tcW w:w="3120" w:type="dxa"/>
            <w:tcBorders>
              <w:top w:val="nil"/>
              <w:left w:val="nil"/>
              <w:bottom w:val="single" w:sz="4" w:space="0" w:color="auto"/>
              <w:right w:val="single" w:sz="4" w:space="0" w:color="auto"/>
            </w:tcBorders>
            <w:shd w:val="clear" w:color="000000" w:fill="C6EFCE"/>
            <w:vAlign w:val="center"/>
          </w:tcPr>
          <w:p w14:paraId="6B7A05DC" w14:textId="77777777" w:rsidR="00CE3BAD" w:rsidRPr="00782BF9" w:rsidRDefault="006B5475">
            <w:pPr>
              <w:pStyle w:val="P68B1DB1-Normal29"/>
              <w:spacing w:after="0" w:line="240" w:lineRule="auto"/>
              <w:rPr>
                <w:noProof/>
                <w:lang w:val="bg-BG"/>
              </w:rPr>
            </w:pPr>
            <w:r w:rsidRPr="00782BF9">
              <w:rPr>
                <w:noProof/>
                <w:lang w:val="bg-BG"/>
              </w:rPr>
              <w:t>C4.I2 Създаване на система за мониторинг</w:t>
            </w:r>
          </w:p>
        </w:tc>
        <w:tc>
          <w:tcPr>
            <w:tcW w:w="1164" w:type="dxa"/>
            <w:tcBorders>
              <w:top w:val="nil"/>
              <w:left w:val="nil"/>
              <w:bottom w:val="single" w:sz="4" w:space="0" w:color="auto"/>
              <w:right w:val="single" w:sz="4" w:space="0" w:color="auto"/>
            </w:tcBorders>
            <w:shd w:val="clear" w:color="000000" w:fill="C6EFCE"/>
            <w:vAlign w:val="center"/>
          </w:tcPr>
          <w:p w14:paraId="433FBA1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ED1DC70" w14:textId="77777777" w:rsidR="00CE3BAD" w:rsidRPr="00782BF9" w:rsidRDefault="006B5475">
            <w:pPr>
              <w:pStyle w:val="P68B1DB1-Normal29"/>
              <w:spacing w:after="0" w:line="240" w:lineRule="auto"/>
              <w:rPr>
                <w:noProof/>
                <w:lang w:val="bg-BG"/>
              </w:rPr>
            </w:pPr>
            <w:r w:rsidRPr="00782BF9">
              <w:rPr>
                <w:noProof/>
                <w:lang w:val="bg-BG"/>
              </w:rPr>
              <w:t>Цялостна система за мониторинг на местно равнище</w:t>
            </w:r>
          </w:p>
        </w:tc>
      </w:tr>
      <w:tr w:rsidR="00CE3BAD" w:rsidRPr="00782BF9" w14:paraId="5158F68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68F0467" w14:textId="77777777" w:rsidR="00CE3BAD" w:rsidRPr="00782BF9" w:rsidRDefault="006B5475">
            <w:pPr>
              <w:pStyle w:val="P68B1DB1-Normal29"/>
              <w:spacing w:after="0" w:line="240" w:lineRule="auto"/>
              <w:rPr>
                <w:noProof/>
                <w:lang w:val="bg-BG"/>
              </w:rPr>
            </w:pPr>
            <w:r w:rsidRPr="00782BF9">
              <w:rPr>
                <w:noProof/>
                <w:lang w:val="bg-BG"/>
              </w:rPr>
              <w:t>80</w:t>
            </w:r>
          </w:p>
        </w:tc>
        <w:tc>
          <w:tcPr>
            <w:tcW w:w="3120" w:type="dxa"/>
            <w:tcBorders>
              <w:top w:val="nil"/>
              <w:left w:val="nil"/>
              <w:bottom w:val="single" w:sz="4" w:space="0" w:color="auto"/>
              <w:right w:val="single" w:sz="4" w:space="0" w:color="auto"/>
            </w:tcBorders>
            <w:shd w:val="clear" w:color="000000" w:fill="C6EFCE"/>
            <w:vAlign w:val="center"/>
          </w:tcPr>
          <w:p w14:paraId="37A8A8CD" w14:textId="77777777" w:rsidR="00CE3BAD" w:rsidRPr="00782BF9" w:rsidRDefault="006B5475">
            <w:pPr>
              <w:pStyle w:val="P68B1DB1-Normal29"/>
              <w:spacing w:after="0" w:line="240" w:lineRule="auto"/>
              <w:rPr>
                <w:noProof/>
                <w:lang w:val="bg-BG"/>
              </w:rPr>
            </w:pPr>
            <w:r w:rsidRPr="00782BF9">
              <w:rPr>
                <w:noProof/>
                <w:lang w:val="bg-BG"/>
              </w:rPr>
              <w:t>C5.I1 Изграждане на капацитет на крайградската железопътна мрежа</w:t>
            </w:r>
          </w:p>
        </w:tc>
        <w:tc>
          <w:tcPr>
            <w:tcW w:w="1164" w:type="dxa"/>
            <w:tcBorders>
              <w:top w:val="nil"/>
              <w:left w:val="nil"/>
              <w:bottom w:val="single" w:sz="4" w:space="0" w:color="auto"/>
              <w:right w:val="single" w:sz="4" w:space="0" w:color="auto"/>
            </w:tcBorders>
            <w:shd w:val="clear" w:color="000000" w:fill="C6EFCE"/>
            <w:vAlign w:val="center"/>
          </w:tcPr>
          <w:p w14:paraId="5C60A1F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231F38C" w14:textId="77777777" w:rsidR="00CE3BAD" w:rsidRPr="00782BF9" w:rsidRDefault="006B5475">
            <w:pPr>
              <w:pStyle w:val="P68B1DB1-Normal29"/>
              <w:spacing w:after="0" w:line="240" w:lineRule="auto"/>
              <w:rPr>
                <w:noProof/>
                <w:lang w:val="bg-BG"/>
              </w:rPr>
            </w:pPr>
            <w:r w:rsidRPr="00782BF9">
              <w:rPr>
                <w:noProof/>
                <w:lang w:val="bg-BG"/>
              </w:rPr>
              <w:t>Подписване на договори за строителни работи за подновяване и разширяване на линии H5, H6 и H7</w:t>
            </w:r>
          </w:p>
        </w:tc>
      </w:tr>
      <w:tr w:rsidR="00CE3BAD" w:rsidRPr="00782BF9" w14:paraId="12417A3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CF6B3D9" w14:textId="77777777" w:rsidR="00CE3BAD" w:rsidRPr="00782BF9" w:rsidRDefault="006B5475">
            <w:pPr>
              <w:pStyle w:val="P68B1DB1-Normal29"/>
              <w:spacing w:after="0" w:line="240" w:lineRule="auto"/>
              <w:rPr>
                <w:noProof/>
                <w:lang w:val="bg-BG"/>
              </w:rPr>
            </w:pPr>
            <w:r w:rsidRPr="00782BF9">
              <w:rPr>
                <w:noProof/>
                <w:lang w:val="bg-BG"/>
              </w:rPr>
              <w:t>97</w:t>
            </w:r>
          </w:p>
        </w:tc>
        <w:tc>
          <w:tcPr>
            <w:tcW w:w="3120" w:type="dxa"/>
            <w:tcBorders>
              <w:top w:val="nil"/>
              <w:left w:val="nil"/>
              <w:bottom w:val="single" w:sz="4" w:space="0" w:color="auto"/>
              <w:right w:val="single" w:sz="4" w:space="0" w:color="auto"/>
            </w:tcBorders>
            <w:shd w:val="clear" w:color="000000" w:fill="C6EFCE"/>
            <w:vAlign w:val="center"/>
          </w:tcPr>
          <w:p w14:paraId="7F5E60A6" w14:textId="77777777" w:rsidR="00CE3BAD" w:rsidRPr="00782BF9" w:rsidRDefault="006B5475">
            <w:pPr>
              <w:pStyle w:val="P68B1DB1-Normal29"/>
              <w:spacing w:after="0" w:line="240" w:lineRule="auto"/>
              <w:rPr>
                <w:noProof/>
                <w:lang w:val="bg-BG"/>
              </w:rPr>
            </w:pPr>
            <w:r w:rsidRPr="00782BF9">
              <w:rPr>
                <w:noProof/>
                <w:lang w:val="bg-BG"/>
              </w:rPr>
              <w:t>C5.R1 Въвеждане на единна национална система за тарифи, продажба на билети и информация за пътниците за автобусен и железопътен транспорт от националния орган за обществен транспорт</w:t>
            </w:r>
          </w:p>
        </w:tc>
        <w:tc>
          <w:tcPr>
            <w:tcW w:w="1164" w:type="dxa"/>
            <w:tcBorders>
              <w:top w:val="nil"/>
              <w:left w:val="nil"/>
              <w:bottom w:val="single" w:sz="4" w:space="0" w:color="auto"/>
              <w:right w:val="single" w:sz="4" w:space="0" w:color="auto"/>
            </w:tcBorders>
            <w:shd w:val="clear" w:color="000000" w:fill="C6EFCE"/>
            <w:vAlign w:val="center"/>
          </w:tcPr>
          <w:p w14:paraId="62AEB1D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2E8A652" w14:textId="77777777" w:rsidR="00CE3BAD" w:rsidRPr="00782BF9" w:rsidRDefault="006B5475">
            <w:pPr>
              <w:pStyle w:val="P68B1DB1-Normal29"/>
              <w:spacing w:after="0" w:line="240" w:lineRule="auto"/>
              <w:rPr>
                <w:noProof/>
                <w:lang w:val="bg-BG"/>
              </w:rPr>
            </w:pPr>
            <w:r w:rsidRPr="00782BF9">
              <w:rPr>
                <w:noProof/>
                <w:lang w:val="bg-BG"/>
              </w:rPr>
              <w:t>Инфраструктура за издаване на билети и разработване на информационна платформа</w:t>
            </w:r>
          </w:p>
        </w:tc>
      </w:tr>
      <w:tr w:rsidR="00CE3BAD" w:rsidRPr="00782BF9" w14:paraId="75C5512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4FB9049" w14:textId="77777777" w:rsidR="00CE3BAD" w:rsidRPr="00782BF9" w:rsidRDefault="006B5475">
            <w:pPr>
              <w:pStyle w:val="P68B1DB1-Normal29"/>
              <w:spacing w:after="0" w:line="240" w:lineRule="auto"/>
              <w:rPr>
                <w:noProof/>
                <w:lang w:val="bg-BG"/>
              </w:rPr>
            </w:pPr>
            <w:r w:rsidRPr="00782BF9">
              <w:rPr>
                <w:noProof/>
                <w:lang w:val="bg-BG"/>
              </w:rPr>
              <w:t>110</w:t>
            </w:r>
          </w:p>
        </w:tc>
        <w:tc>
          <w:tcPr>
            <w:tcW w:w="3120" w:type="dxa"/>
            <w:tcBorders>
              <w:top w:val="nil"/>
              <w:left w:val="nil"/>
              <w:bottom w:val="single" w:sz="4" w:space="0" w:color="auto"/>
              <w:right w:val="single" w:sz="4" w:space="0" w:color="auto"/>
            </w:tcBorders>
            <w:shd w:val="clear" w:color="000000" w:fill="C6EFCE"/>
            <w:vAlign w:val="center"/>
          </w:tcPr>
          <w:p w14:paraId="71DB32B5" w14:textId="77777777" w:rsidR="00CE3BAD" w:rsidRPr="00782BF9" w:rsidRDefault="006B5475">
            <w:pPr>
              <w:pStyle w:val="P68B1DB1-Normal29"/>
              <w:spacing w:after="0" w:line="240" w:lineRule="auto"/>
              <w:rPr>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1164" w:type="dxa"/>
            <w:tcBorders>
              <w:top w:val="nil"/>
              <w:left w:val="nil"/>
              <w:bottom w:val="single" w:sz="4" w:space="0" w:color="auto"/>
              <w:right w:val="single" w:sz="4" w:space="0" w:color="auto"/>
            </w:tcBorders>
            <w:shd w:val="clear" w:color="000000" w:fill="C6EFCE"/>
            <w:vAlign w:val="center"/>
          </w:tcPr>
          <w:p w14:paraId="01354311"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35A99A5" w14:textId="77777777" w:rsidR="00CE3BAD" w:rsidRPr="00782BF9" w:rsidRDefault="006B5475">
            <w:pPr>
              <w:pStyle w:val="P68B1DB1-Normal29"/>
              <w:spacing w:after="0" w:line="240" w:lineRule="auto"/>
              <w:rPr>
                <w:noProof/>
                <w:lang w:val="bg-BG"/>
              </w:rPr>
            </w:pPr>
            <w:r w:rsidRPr="00782BF9">
              <w:rPr>
                <w:noProof/>
                <w:lang w:val="bg-BG"/>
              </w:rPr>
              <w:t>Разрешение за присъединяване към мрежата за капацитет на централи за енергия от възобновяеми източници</w:t>
            </w:r>
          </w:p>
        </w:tc>
      </w:tr>
      <w:tr w:rsidR="00CE3BAD" w:rsidRPr="00782BF9" w14:paraId="1E2253D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DC7B829" w14:textId="77777777" w:rsidR="00CE3BAD" w:rsidRPr="00782BF9" w:rsidRDefault="006B5475">
            <w:pPr>
              <w:pStyle w:val="P68B1DB1-Normal29"/>
              <w:spacing w:after="0" w:line="240" w:lineRule="auto"/>
              <w:rPr>
                <w:noProof/>
                <w:lang w:val="bg-BG"/>
              </w:rPr>
            </w:pPr>
            <w:r w:rsidRPr="00782BF9">
              <w:rPr>
                <w:noProof/>
                <w:lang w:val="bg-BG"/>
              </w:rPr>
              <w:t>115</w:t>
            </w:r>
          </w:p>
        </w:tc>
        <w:tc>
          <w:tcPr>
            <w:tcW w:w="3120" w:type="dxa"/>
            <w:tcBorders>
              <w:top w:val="nil"/>
              <w:left w:val="nil"/>
              <w:bottom w:val="single" w:sz="4" w:space="0" w:color="auto"/>
              <w:right w:val="single" w:sz="4" w:space="0" w:color="auto"/>
            </w:tcBorders>
            <w:shd w:val="clear" w:color="000000" w:fill="C6EFCE"/>
            <w:vAlign w:val="center"/>
          </w:tcPr>
          <w:p w14:paraId="61F0D921" w14:textId="77777777" w:rsidR="00CE3BAD" w:rsidRPr="00782BF9" w:rsidRDefault="006B5475">
            <w:pPr>
              <w:pStyle w:val="P68B1DB1-Normal29"/>
              <w:spacing w:after="0" w:line="240" w:lineRule="auto"/>
              <w:rPr>
                <w:noProof/>
                <w:lang w:val="bg-BG"/>
              </w:rPr>
            </w:pPr>
            <w:r w:rsidRPr="00782BF9">
              <w:rPr>
                <w:noProof/>
                <w:lang w:val="bg-BG"/>
              </w:rPr>
              <w:t xml:space="preserve">C6.I1 Развитие на класическите и интелигентните мрежи на операторите на преносни системи и операторите на разпределителни системи </w:t>
            </w:r>
          </w:p>
        </w:tc>
        <w:tc>
          <w:tcPr>
            <w:tcW w:w="1164" w:type="dxa"/>
            <w:tcBorders>
              <w:top w:val="nil"/>
              <w:left w:val="nil"/>
              <w:bottom w:val="single" w:sz="4" w:space="0" w:color="auto"/>
              <w:right w:val="single" w:sz="4" w:space="0" w:color="auto"/>
            </w:tcBorders>
            <w:shd w:val="clear" w:color="000000" w:fill="C6EFCE"/>
            <w:vAlign w:val="center"/>
          </w:tcPr>
          <w:p w14:paraId="6FC6B7D4"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5872EFC" w14:textId="77777777" w:rsidR="00CE3BAD" w:rsidRPr="00782BF9" w:rsidRDefault="006B5475">
            <w:pPr>
              <w:pStyle w:val="P68B1DB1-Normal29"/>
              <w:spacing w:after="0" w:line="240" w:lineRule="auto"/>
              <w:rPr>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r>
      <w:tr w:rsidR="00CE3BAD" w:rsidRPr="00782BF9" w14:paraId="7B0F6D1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5F70DDD" w14:textId="77777777" w:rsidR="00CE3BAD" w:rsidRPr="00782BF9" w:rsidRDefault="006B5475">
            <w:pPr>
              <w:pStyle w:val="P68B1DB1-Normal29"/>
              <w:spacing w:after="0" w:line="240" w:lineRule="auto"/>
              <w:rPr>
                <w:noProof/>
                <w:lang w:val="bg-BG"/>
              </w:rPr>
            </w:pPr>
            <w:r w:rsidRPr="00782BF9">
              <w:rPr>
                <w:noProof/>
                <w:lang w:val="bg-BG"/>
              </w:rPr>
              <w:t>119</w:t>
            </w:r>
          </w:p>
        </w:tc>
        <w:tc>
          <w:tcPr>
            <w:tcW w:w="3120" w:type="dxa"/>
            <w:tcBorders>
              <w:top w:val="nil"/>
              <w:left w:val="nil"/>
              <w:bottom w:val="single" w:sz="4" w:space="0" w:color="auto"/>
              <w:right w:val="single" w:sz="4" w:space="0" w:color="auto"/>
            </w:tcBorders>
            <w:shd w:val="clear" w:color="000000" w:fill="C6EFCE"/>
            <w:vAlign w:val="center"/>
          </w:tcPr>
          <w:p w14:paraId="11DB97F4" w14:textId="77777777" w:rsidR="00CE3BAD" w:rsidRPr="00782BF9" w:rsidRDefault="006B5475">
            <w:pPr>
              <w:pStyle w:val="P68B1DB1-Normal29"/>
              <w:spacing w:after="0" w:line="240" w:lineRule="auto"/>
              <w:rPr>
                <w:noProof/>
                <w:lang w:val="bg-BG"/>
              </w:rPr>
            </w:pPr>
            <w:r w:rsidRPr="00782BF9">
              <w:rPr>
                <w:noProof/>
                <w:lang w:val="bg-BG"/>
              </w:rPr>
              <w:t>C6.I2 Подкрепа за използване на слънчеви панели за жилищни сгради и модернизация на отоплението</w:t>
            </w:r>
          </w:p>
        </w:tc>
        <w:tc>
          <w:tcPr>
            <w:tcW w:w="1164" w:type="dxa"/>
            <w:tcBorders>
              <w:top w:val="nil"/>
              <w:left w:val="nil"/>
              <w:bottom w:val="single" w:sz="4" w:space="0" w:color="auto"/>
              <w:right w:val="single" w:sz="4" w:space="0" w:color="auto"/>
            </w:tcBorders>
            <w:shd w:val="clear" w:color="000000" w:fill="C6EFCE"/>
            <w:vAlign w:val="center"/>
          </w:tcPr>
          <w:p w14:paraId="306115C0"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178C43BD" w14:textId="77777777" w:rsidR="00CE3BAD" w:rsidRPr="00782BF9" w:rsidRDefault="006B5475">
            <w:pPr>
              <w:pStyle w:val="P68B1DB1-Normal29"/>
              <w:spacing w:after="0" w:line="240" w:lineRule="auto"/>
              <w:rPr>
                <w:noProof/>
                <w:lang w:val="bg-BG"/>
              </w:rPr>
            </w:pPr>
            <w:r w:rsidRPr="00782BF9">
              <w:rPr>
                <w:noProof/>
                <w:lang w:val="bg-BG"/>
              </w:rPr>
              <w:t>Брой на домакинствата, оборудвани със слънчеви панели или със слънчеви панели, акумулираща единица, електрическа отоплителна система и подмяна на прозорци (общо, брой на домакинствата)</w:t>
            </w:r>
          </w:p>
        </w:tc>
      </w:tr>
      <w:tr w:rsidR="00CE3BAD" w:rsidRPr="00782BF9" w14:paraId="0426DDB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9D91DD8" w14:textId="77777777" w:rsidR="00CE3BAD" w:rsidRPr="00782BF9" w:rsidRDefault="006B5475">
            <w:pPr>
              <w:pStyle w:val="P68B1DB1-Normal29"/>
              <w:spacing w:after="0" w:line="240" w:lineRule="auto"/>
              <w:rPr>
                <w:noProof/>
                <w:lang w:val="bg-BG"/>
              </w:rPr>
            </w:pPr>
            <w:r w:rsidRPr="00782BF9">
              <w:rPr>
                <w:noProof/>
                <w:lang w:val="bg-BG"/>
              </w:rPr>
              <w:t>132</w:t>
            </w:r>
          </w:p>
        </w:tc>
        <w:tc>
          <w:tcPr>
            <w:tcW w:w="3120" w:type="dxa"/>
            <w:tcBorders>
              <w:top w:val="nil"/>
              <w:left w:val="nil"/>
              <w:bottom w:val="single" w:sz="4" w:space="0" w:color="auto"/>
              <w:right w:val="single" w:sz="4" w:space="0" w:color="auto"/>
            </w:tcBorders>
            <w:shd w:val="clear" w:color="000000" w:fill="C6EFCE"/>
            <w:vAlign w:val="center"/>
          </w:tcPr>
          <w:p w14:paraId="395A9F24" w14:textId="77777777" w:rsidR="00CE3BAD" w:rsidRPr="00782BF9" w:rsidRDefault="006B5475">
            <w:pPr>
              <w:pStyle w:val="P68B1DB1-Normal29"/>
              <w:spacing w:after="0" w:line="240" w:lineRule="auto"/>
              <w:rPr>
                <w:noProof/>
                <w:lang w:val="bg-BG"/>
              </w:rPr>
            </w:pPr>
            <w:r w:rsidRPr="00782BF9">
              <w:rPr>
                <w:noProof/>
                <w:lang w:val="bg-BG"/>
              </w:rPr>
              <w:t>C6.I5 Разпространяване на интелигентни измервателни уреди</w:t>
            </w:r>
          </w:p>
        </w:tc>
        <w:tc>
          <w:tcPr>
            <w:tcW w:w="1164" w:type="dxa"/>
            <w:tcBorders>
              <w:top w:val="nil"/>
              <w:left w:val="nil"/>
              <w:bottom w:val="single" w:sz="4" w:space="0" w:color="auto"/>
              <w:right w:val="single" w:sz="4" w:space="0" w:color="auto"/>
            </w:tcBorders>
            <w:shd w:val="clear" w:color="000000" w:fill="C6EFCE"/>
            <w:vAlign w:val="center"/>
          </w:tcPr>
          <w:p w14:paraId="64980057"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65208C2" w14:textId="77777777" w:rsidR="00CE3BAD" w:rsidRPr="00782BF9" w:rsidRDefault="006B5475">
            <w:pPr>
              <w:pStyle w:val="P68B1DB1-Normal29"/>
              <w:spacing w:after="0" w:line="240" w:lineRule="auto"/>
              <w:rPr>
                <w:noProof/>
                <w:lang w:val="bg-BG"/>
              </w:rPr>
            </w:pPr>
            <w:r w:rsidRPr="00782BF9">
              <w:rPr>
                <w:noProof/>
                <w:lang w:val="bg-BG"/>
              </w:rPr>
              <w:t>Новоинсталирани интелигентни измервателни уреди</w:t>
            </w:r>
          </w:p>
        </w:tc>
      </w:tr>
      <w:tr w:rsidR="00CE3BAD" w:rsidRPr="00782BF9" w14:paraId="7336AB4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21348EE" w14:textId="77777777" w:rsidR="00CE3BAD" w:rsidRPr="00782BF9" w:rsidRDefault="006B5475">
            <w:pPr>
              <w:pStyle w:val="P68B1DB1-Normal29"/>
              <w:spacing w:after="0" w:line="240" w:lineRule="auto"/>
              <w:rPr>
                <w:noProof/>
                <w:lang w:val="bg-BG"/>
              </w:rPr>
            </w:pPr>
            <w:r w:rsidRPr="00782BF9">
              <w:rPr>
                <w:noProof/>
                <w:lang w:val="bg-BG"/>
              </w:rPr>
              <w:t>372</w:t>
            </w:r>
          </w:p>
        </w:tc>
        <w:tc>
          <w:tcPr>
            <w:tcW w:w="3120" w:type="dxa"/>
            <w:tcBorders>
              <w:top w:val="nil"/>
              <w:left w:val="nil"/>
              <w:bottom w:val="single" w:sz="4" w:space="0" w:color="auto"/>
              <w:right w:val="single" w:sz="4" w:space="0" w:color="auto"/>
            </w:tcBorders>
            <w:shd w:val="clear" w:color="000000" w:fill="C6EFCE"/>
            <w:vAlign w:val="center"/>
          </w:tcPr>
          <w:p w14:paraId="18E1C1CF" w14:textId="77777777" w:rsidR="00CE3BAD" w:rsidRPr="00782BF9" w:rsidRDefault="006B5475">
            <w:pPr>
              <w:pStyle w:val="P68B1DB1-Normal29"/>
              <w:spacing w:after="0" w:line="240" w:lineRule="auto"/>
              <w:rPr>
                <w:noProof/>
                <w:lang w:val="bg-BG"/>
              </w:rPr>
            </w:pPr>
            <w:r w:rsidRPr="00782BF9">
              <w:rPr>
                <w:noProof/>
                <w:lang w:val="bg-BG"/>
              </w:rPr>
              <w:t>C7.R2: Повишаване на осведомеността</w:t>
            </w:r>
          </w:p>
        </w:tc>
        <w:tc>
          <w:tcPr>
            <w:tcW w:w="1164" w:type="dxa"/>
            <w:tcBorders>
              <w:top w:val="nil"/>
              <w:left w:val="nil"/>
              <w:bottom w:val="single" w:sz="4" w:space="0" w:color="auto"/>
              <w:right w:val="single" w:sz="4" w:space="0" w:color="auto"/>
            </w:tcBorders>
            <w:shd w:val="clear" w:color="000000" w:fill="C6EFCE"/>
            <w:vAlign w:val="center"/>
          </w:tcPr>
          <w:p w14:paraId="27D4D28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A9D64F4" w14:textId="77777777" w:rsidR="00CE3BAD" w:rsidRPr="00782BF9" w:rsidRDefault="006B5475">
            <w:pPr>
              <w:pStyle w:val="P68B1DB1-Normal29"/>
              <w:spacing w:after="0" w:line="240" w:lineRule="auto"/>
              <w:rPr>
                <w:noProof/>
                <w:lang w:val="bg-BG"/>
              </w:rPr>
            </w:pPr>
            <w:r w:rsidRPr="00782BF9">
              <w:rPr>
                <w:noProof/>
                <w:lang w:val="bg-BG"/>
              </w:rPr>
              <w:t>Приемане на план за действие за разработване на комуникационна стратегия</w:t>
            </w:r>
          </w:p>
        </w:tc>
      </w:tr>
      <w:tr w:rsidR="00CE3BAD" w:rsidRPr="00782BF9" w14:paraId="0DE218F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3566777" w14:textId="77777777" w:rsidR="00CE3BAD" w:rsidRPr="00782BF9" w:rsidRDefault="006B5475">
            <w:pPr>
              <w:pStyle w:val="P68B1DB1-Normal29"/>
              <w:spacing w:after="0" w:line="240" w:lineRule="auto"/>
              <w:rPr>
                <w:noProof/>
                <w:lang w:val="bg-BG"/>
              </w:rPr>
            </w:pPr>
            <w:r w:rsidRPr="00782BF9">
              <w:rPr>
                <w:noProof/>
                <w:lang w:val="bg-BG"/>
              </w:rPr>
              <w:t>147</w:t>
            </w:r>
          </w:p>
        </w:tc>
        <w:tc>
          <w:tcPr>
            <w:tcW w:w="3120" w:type="dxa"/>
            <w:tcBorders>
              <w:top w:val="nil"/>
              <w:left w:val="nil"/>
              <w:bottom w:val="single" w:sz="4" w:space="0" w:color="auto"/>
              <w:right w:val="single" w:sz="4" w:space="0" w:color="auto"/>
            </w:tcBorders>
            <w:shd w:val="clear" w:color="000000" w:fill="C6EFCE"/>
            <w:vAlign w:val="center"/>
          </w:tcPr>
          <w:p w14:paraId="74CC0696" w14:textId="77777777" w:rsidR="00CE3BAD" w:rsidRPr="00782BF9" w:rsidRDefault="006B5475">
            <w:pPr>
              <w:pStyle w:val="P68B1DB1-Normal29"/>
              <w:spacing w:after="0" w:line="240" w:lineRule="auto"/>
              <w:rPr>
                <w:noProof/>
                <w:lang w:val="bg-BG"/>
              </w:rPr>
            </w:pPr>
            <w:r w:rsidRPr="00782BF9">
              <w:rPr>
                <w:noProof/>
                <w:lang w:val="bg-BG"/>
              </w:rPr>
              <w:t xml:space="preserve">C8.I2 Подкрепа за цифровата трансформация на здравеопазването </w:t>
            </w:r>
          </w:p>
        </w:tc>
        <w:tc>
          <w:tcPr>
            <w:tcW w:w="1164" w:type="dxa"/>
            <w:tcBorders>
              <w:top w:val="nil"/>
              <w:left w:val="nil"/>
              <w:bottom w:val="single" w:sz="4" w:space="0" w:color="auto"/>
              <w:right w:val="single" w:sz="4" w:space="0" w:color="auto"/>
            </w:tcBorders>
            <w:shd w:val="clear" w:color="000000" w:fill="C6EFCE"/>
            <w:vAlign w:val="center"/>
          </w:tcPr>
          <w:p w14:paraId="522597D6"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073EC396" w14:textId="77777777" w:rsidR="00CE3BAD" w:rsidRPr="00782BF9" w:rsidRDefault="006B5475">
            <w:pPr>
              <w:pStyle w:val="P68B1DB1-Normal29"/>
              <w:spacing w:after="0" w:line="240" w:lineRule="auto"/>
              <w:rPr>
                <w:noProof/>
                <w:lang w:val="bg-BG"/>
              </w:rPr>
            </w:pPr>
            <w:r w:rsidRPr="00782BF9">
              <w:rPr>
                <w:noProof/>
                <w:lang w:val="bg-BG"/>
              </w:rPr>
              <w:t xml:space="preserve">Брой болници с модернизирана информационна система за сигурност </w:t>
            </w:r>
          </w:p>
        </w:tc>
      </w:tr>
      <w:tr w:rsidR="00CE3BAD" w:rsidRPr="00782BF9" w14:paraId="0E78769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5E4ED3D" w14:textId="77777777" w:rsidR="00CE3BAD" w:rsidRPr="00782BF9" w:rsidRDefault="006B5475">
            <w:pPr>
              <w:pStyle w:val="P68B1DB1-Normal29"/>
              <w:spacing w:after="0" w:line="240" w:lineRule="auto"/>
              <w:rPr>
                <w:noProof/>
                <w:lang w:val="bg-BG"/>
              </w:rPr>
            </w:pPr>
            <w:r w:rsidRPr="00782BF9">
              <w:rPr>
                <w:noProof/>
                <w:lang w:val="bg-BG"/>
              </w:rPr>
              <w:t>184</w:t>
            </w:r>
          </w:p>
        </w:tc>
        <w:tc>
          <w:tcPr>
            <w:tcW w:w="3120" w:type="dxa"/>
            <w:tcBorders>
              <w:top w:val="nil"/>
              <w:left w:val="nil"/>
              <w:bottom w:val="single" w:sz="4" w:space="0" w:color="auto"/>
              <w:right w:val="single" w:sz="4" w:space="0" w:color="auto"/>
            </w:tcBorders>
            <w:shd w:val="clear" w:color="000000" w:fill="C6EFCE"/>
            <w:vAlign w:val="center"/>
          </w:tcPr>
          <w:p w14:paraId="2A6DFC67" w14:textId="77777777" w:rsidR="00CE3BAD" w:rsidRPr="00782BF9" w:rsidRDefault="006B5475">
            <w:pPr>
              <w:pStyle w:val="P68B1DB1-Normal29"/>
              <w:spacing w:after="0" w:line="240" w:lineRule="auto"/>
              <w:rPr>
                <w:noProof/>
                <w:lang w:val="bg-BG"/>
              </w:rPr>
            </w:pPr>
            <w:r w:rsidRPr="00782BF9">
              <w:rPr>
                <w:noProof/>
                <w:lang w:val="bg-BG"/>
              </w:rPr>
              <w:t xml:space="preserve">C9.R9 Повишаване на осведомеността за премахване на безплатните плащания в сектора на здравеопазването   </w:t>
            </w:r>
          </w:p>
        </w:tc>
        <w:tc>
          <w:tcPr>
            <w:tcW w:w="1164" w:type="dxa"/>
            <w:tcBorders>
              <w:top w:val="nil"/>
              <w:left w:val="nil"/>
              <w:bottom w:val="single" w:sz="4" w:space="0" w:color="auto"/>
              <w:right w:val="single" w:sz="4" w:space="0" w:color="auto"/>
            </w:tcBorders>
            <w:shd w:val="clear" w:color="000000" w:fill="C6EFCE"/>
            <w:vAlign w:val="center"/>
          </w:tcPr>
          <w:p w14:paraId="5878BA95" w14:textId="77777777" w:rsidR="00CE3BAD" w:rsidRPr="00782BF9" w:rsidRDefault="006B5475">
            <w:pPr>
              <w:pStyle w:val="P68B1DB1-Normal29"/>
              <w:spacing w:after="0" w:line="240" w:lineRule="auto"/>
              <w:rPr>
                <w:noProof/>
                <w:lang w:val="bg-BG"/>
              </w:rPr>
            </w:pPr>
            <w:r w:rsidRPr="00782BF9">
              <w:rPr>
                <w:noProof/>
                <w:lang w:val="bg-BG"/>
              </w:rPr>
              <w:t>Целеви </w:t>
            </w:r>
          </w:p>
        </w:tc>
        <w:tc>
          <w:tcPr>
            <w:tcW w:w="3781" w:type="dxa"/>
            <w:tcBorders>
              <w:top w:val="nil"/>
              <w:left w:val="nil"/>
              <w:bottom w:val="single" w:sz="4" w:space="0" w:color="auto"/>
              <w:right w:val="single" w:sz="4" w:space="0" w:color="auto"/>
            </w:tcBorders>
            <w:shd w:val="clear" w:color="000000" w:fill="C6EFCE"/>
            <w:vAlign w:val="center"/>
          </w:tcPr>
          <w:p w14:paraId="2A9AC4B1" w14:textId="77777777" w:rsidR="00CE3BAD" w:rsidRPr="00782BF9" w:rsidRDefault="006B5475">
            <w:pPr>
              <w:pStyle w:val="P68B1DB1-Normal29"/>
              <w:spacing w:after="0" w:line="240" w:lineRule="auto"/>
              <w:rPr>
                <w:noProof/>
                <w:lang w:val="bg-BG"/>
              </w:rPr>
            </w:pPr>
            <w:r w:rsidRPr="00782BF9">
              <w:rPr>
                <w:noProof/>
                <w:lang w:val="bg-BG"/>
              </w:rPr>
              <w:t>Брой на гражданите, до които е достигнала завършената кампания за повишаване на осведомеността </w:t>
            </w:r>
          </w:p>
        </w:tc>
      </w:tr>
      <w:tr w:rsidR="00CE3BAD" w:rsidRPr="00782BF9" w14:paraId="36DC913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E6B6DB4" w14:textId="77777777" w:rsidR="00CE3BAD" w:rsidRPr="00782BF9" w:rsidRDefault="006B5475">
            <w:pPr>
              <w:pStyle w:val="P68B1DB1-Normal29"/>
              <w:spacing w:after="0" w:line="240" w:lineRule="auto"/>
              <w:rPr>
                <w:noProof/>
                <w:lang w:val="bg-BG"/>
              </w:rPr>
            </w:pPr>
            <w:r w:rsidRPr="00782BF9">
              <w:rPr>
                <w:noProof/>
                <w:lang w:val="bg-BG"/>
              </w:rPr>
              <w:t>210</w:t>
            </w:r>
          </w:p>
        </w:tc>
        <w:tc>
          <w:tcPr>
            <w:tcW w:w="3120" w:type="dxa"/>
            <w:tcBorders>
              <w:top w:val="nil"/>
              <w:left w:val="nil"/>
              <w:bottom w:val="single" w:sz="4" w:space="0" w:color="auto"/>
              <w:right w:val="single" w:sz="4" w:space="0" w:color="auto"/>
            </w:tcBorders>
            <w:shd w:val="clear" w:color="000000" w:fill="C6EFCE"/>
            <w:vAlign w:val="center"/>
          </w:tcPr>
          <w:p w14:paraId="3A5C7838" w14:textId="77777777" w:rsidR="00CE3BAD" w:rsidRPr="00782BF9" w:rsidRDefault="006B5475">
            <w:pPr>
              <w:pStyle w:val="P68B1DB1-Normal29"/>
              <w:spacing w:after="0" w:line="240" w:lineRule="auto"/>
              <w:rPr>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1164" w:type="dxa"/>
            <w:tcBorders>
              <w:top w:val="nil"/>
              <w:left w:val="nil"/>
              <w:bottom w:val="single" w:sz="4" w:space="0" w:color="auto"/>
              <w:right w:val="single" w:sz="4" w:space="0" w:color="auto"/>
            </w:tcBorders>
            <w:shd w:val="clear" w:color="000000" w:fill="C6EFCE"/>
            <w:vAlign w:val="center"/>
          </w:tcPr>
          <w:p w14:paraId="087CD06B"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75444B4" w14:textId="77777777" w:rsidR="00CE3BAD" w:rsidRPr="00782BF9" w:rsidRDefault="006B5475">
            <w:pPr>
              <w:pStyle w:val="P68B1DB1-Normal29"/>
              <w:spacing w:after="0" w:line="240" w:lineRule="auto"/>
              <w:rPr>
                <w:noProof/>
                <w:lang w:val="bg-BG"/>
              </w:rPr>
            </w:pPr>
            <w:r w:rsidRPr="00782BF9">
              <w:rPr>
                <w:noProof/>
                <w:lang w:val="bg-BG"/>
              </w:rPr>
              <w:t>Извършване на междинна оценка на добавената стойност и ефективността на схемата за подпомагане</w:t>
            </w:r>
          </w:p>
        </w:tc>
      </w:tr>
      <w:tr w:rsidR="00CE3BAD" w:rsidRPr="00782BF9" w14:paraId="1D0F3D2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6BB02E8" w14:textId="77777777" w:rsidR="00CE3BAD" w:rsidRPr="00782BF9" w:rsidRDefault="006B5475">
            <w:pPr>
              <w:pStyle w:val="P68B1DB1-Normal29"/>
              <w:spacing w:after="0" w:line="240" w:lineRule="auto"/>
              <w:rPr>
                <w:noProof/>
                <w:lang w:val="bg-BG"/>
              </w:rPr>
            </w:pPr>
            <w:r w:rsidRPr="00782BF9">
              <w:rPr>
                <w:noProof/>
                <w:lang w:val="bg-BG"/>
              </w:rPr>
              <w:t>253</w:t>
            </w:r>
          </w:p>
        </w:tc>
        <w:tc>
          <w:tcPr>
            <w:tcW w:w="3120" w:type="dxa"/>
            <w:tcBorders>
              <w:top w:val="nil"/>
              <w:left w:val="nil"/>
              <w:bottom w:val="single" w:sz="4" w:space="0" w:color="auto"/>
              <w:right w:val="single" w:sz="4" w:space="0" w:color="auto"/>
            </w:tcBorders>
            <w:shd w:val="clear" w:color="000000" w:fill="C6EFCE"/>
            <w:vAlign w:val="center"/>
          </w:tcPr>
          <w:p w14:paraId="0F6B4CA9" w14:textId="77777777" w:rsidR="00CE3BAD" w:rsidRPr="00782BF9" w:rsidRDefault="006B5475">
            <w:pPr>
              <w:pStyle w:val="P68B1DB1-Normal29"/>
              <w:spacing w:after="0" w:line="240" w:lineRule="auto"/>
              <w:rPr>
                <w:noProof/>
                <w:lang w:val="bg-BG"/>
              </w:rPr>
            </w:pPr>
            <w:r w:rsidRPr="00782BF9">
              <w:rPr>
                <w:noProof/>
                <w:lang w:val="bg-BG"/>
              </w:rPr>
              <w:t>C9.R34 Цифрова трансформация на процедурите за спазване на данъчното законодателство</w:t>
            </w:r>
          </w:p>
        </w:tc>
        <w:tc>
          <w:tcPr>
            <w:tcW w:w="1164" w:type="dxa"/>
            <w:tcBorders>
              <w:top w:val="nil"/>
              <w:left w:val="nil"/>
              <w:bottom w:val="single" w:sz="4" w:space="0" w:color="auto"/>
              <w:right w:val="single" w:sz="4" w:space="0" w:color="auto"/>
            </w:tcBorders>
            <w:shd w:val="clear" w:color="000000" w:fill="C6EFCE"/>
            <w:vAlign w:val="center"/>
          </w:tcPr>
          <w:p w14:paraId="2268A2B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33756F2"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 за въвеждане на системата eReceipt</w:t>
            </w:r>
          </w:p>
        </w:tc>
      </w:tr>
      <w:tr w:rsidR="00CE3BAD" w:rsidRPr="00782BF9" w14:paraId="75724A9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CAB018C" w14:textId="77777777" w:rsidR="00CE3BAD" w:rsidRPr="00782BF9" w:rsidRDefault="006B5475">
            <w:pPr>
              <w:pStyle w:val="P68B1DB1-Normal29"/>
              <w:spacing w:after="0" w:line="240" w:lineRule="auto"/>
              <w:rPr>
                <w:noProof/>
                <w:lang w:val="bg-BG"/>
              </w:rPr>
            </w:pPr>
            <w:r w:rsidRPr="00782BF9">
              <w:rPr>
                <w:noProof/>
                <w:lang w:val="bg-BG"/>
              </w:rPr>
              <w:t>255</w:t>
            </w:r>
          </w:p>
        </w:tc>
        <w:tc>
          <w:tcPr>
            <w:tcW w:w="3120" w:type="dxa"/>
            <w:tcBorders>
              <w:top w:val="nil"/>
              <w:left w:val="nil"/>
              <w:bottom w:val="single" w:sz="4" w:space="0" w:color="auto"/>
              <w:right w:val="single" w:sz="4" w:space="0" w:color="auto"/>
            </w:tcBorders>
            <w:shd w:val="clear" w:color="000000" w:fill="C6EFCE"/>
            <w:vAlign w:val="center"/>
          </w:tcPr>
          <w:p w14:paraId="77675104" w14:textId="77777777" w:rsidR="00CE3BAD" w:rsidRPr="00782BF9" w:rsidRDefault="006B5475">
            <w:pPr>
              <w:pStyle w:val="P68B1DB1-Normal29"/>
              <w:spacing w:after="0" w:line="240" w:lineRule="auto"/>
              <w:rPr>
                <w:noProof/>
                <w:lang w:val="bg-BG"/>
              </w:rPr>
            </w:pPr>
            <w:r w:rsidRPr="00782BF9">
              <w:rPr>
                <w:noProof/>
                <w:lang w:val="bg-BG"/>
              </w:rPr>
              <w:t>C9.R34 Цифрова трансформация на процедурите за спазване на данъчното законодателство</w:t>
            </w:r>
          </w:p>
        </w:tc>
        <w:tc>
          <w:tcPr>
            <w:tcW w:w="1164" w:type="dxa"/>
            <w:tcBorders>
              <w:top w:val="nil"/>
              <w:left w:val="nil"/>
              <w:bottom w:val="single" w:sz="4" w:space="0" w:color="auto"/>
              <w:right w:val="single" w:sz="4" w:space="0" w:color="auto"/>
            </w:tcBorders>
            <w:shd w:val="clear" w:color="000000" w:fill="C6EFCE"/>
            <w:vAlign w:val="center"/>
          </w:tcPr>
          <w:p w14:paraId="519BFBB7"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8147FA8"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 за опростяване на процедурите за спазване на изискванията за ДДС чрез въвеждане на системата за електронен ДДС</w:t>
            </w:r>
          </w:p>
        </w:tc>
      </w:tr>
      <w:tr w:rsidR="00CE3BAD" w:rsidRPr="00782BF9" w14:paraId="1D3B02C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CA5492B" w14:textId="77777777" w:rsidR="00CE3BAD" w:rsidRPr="00782BF9" w:rsidRDefault="006B5475">
            <w:pPr>
              <w:pStyle w:val="P68B1DB1-Normal29"/>
              <w:spacing w:after="0" w:line="240" w:lineRule="auto"/>
              <w:rPr>
                <w:noProof/>
                <w:lang w:val="bg-BG"/>
              </w:rPr>
            </w:pPr>
            <w:r w:rsidRPr="00782BF9">
              <w:rPr>
                <w:noProof/>
                <w:lang w:val="bg-BG"/>
              </w:rPr>
              <w:t>262</w:t>
            </w:r>
          </w:p>
        </w:tc>
        <w:tc>
          <w:tcPr>
            <w:tcW w:w="3120" w:type="dxa"/>
            <w:tcBorders>
              <w:top w:val="nil"/>
              <w:left w:val="nil"/>
              <w:bottom w:val="single" w:sz="4" w:space="0" w:color="auto"/>
              <w:right w:val="single" w:sz="4" w:space="0" w:color="auto"/>
            </w:tcBorders>
            <w:shd w:val="clear" w:color="000000" w:fill="C6EFCE"/>
            <w:vAlign w:val="center"/>
          </w:tcPr>
          <w:p w14:paraId="2BF4D243" w14:textId="77777777" w:rsidR="00CE3BAD" w:rsidRPr="00782BF9" w:rsidRDefault="006B5475">
            <w:pPr>
              <w:pStyle w:val="P68B1DB1-Normal29"/>
              <w:spacing w:after="0" w:line="240" w:lineRule="auto"/>
              <w:rPr>
                <w:noProof/>
                <w:lang w:val="bg-BG"/>
              </w:rPr>
            </w:pPr>
            <w:r w:rsidRPr="00782BF9">
              <w:rPr>
                <w:noProof/>
                <w:lang w:val="bg-BG"/>
              </w:rPr>
              <w:t>C9.R36 Реформиране на данъка върху газопроводите за комунални услуги</w:t>
            </w:r>
          </w:p>
        </w:tc>
        <w:tc>
          <w:tcPr>
            <w:tcW w:w="1164" w:type="dxa"/>
            <w:tcBorders>
              <w:top w:val="nil"/>
              <w:left w:val="nil"/>
              <w:bottom w:val="single" w:sz="4" w:space="0" w:color="auto"/>
              <w:right w:val="single" w:sz="4" w:space="0" w:color="auto"/>
            </w:tcBorders>
            <w:shd w:val="clear" w:color="000000" w:fill="C6EFCE"/>
            <w:vAlign w:val="center"/>
          </w:tcPr>
          <w:p w14:paraId="6A330D6F"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39744E6"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Закона за отмяна или изменение на Закон № CLXVIII от 2012 г. относно данъка върху тръбопроводите за комунални услуги </w:t>
            </w:r>
          </w:p>
        </w:tc>
      </w:tr>
      <w:tr w:rsidR="00CE3BAD" w:rsidRPr="00782BF9" w14:paraId="0B2DCD9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BE629E3" w14:textId="77777777" w:rsidR="00CE3BAD" w:rsidRPr="00782BF9" w:rsidRDefault="006B5475">
            <w:pPr>
              <w:pStyle w:val="P68B1DB1-Normal29"/>
              <w:spacing w:after="0" w:line="240" w:lineRule="auto"/>
              <w:rPr>
                <w:noProof/>
                <w:lang w:val="bg-BG"/>
              </w:rPr>
            </w:pPr>
            <w:r w:rsidRPr="00782BF9">
              <w:rPr>
                <w:noProof/>
                <w:lang w:val="bg-BG"/>
              </w:rPr>
              <w:t>263</w:t>
            </w:r>
          </w:p>
        </w:tc>
        <w:tc>
          <w:tcPr>
            <w:tcW w:w="3120" w:type="dxa"/>
            <w:tcBorders>
              <w:top w:val="nil"/>
              <w:left w:val="nil"/>
              <w:bottom w:val="single" w:sz="4" w:space="0" w:color="auto"/>
              <w:right w:val="single" w:sz="4" w:space="0" w:color="auto"/>
            </w:tcBorders>
            <w:shd w:val="clear" w:color="000000" w:fill="C6EFCE"/>
            <w:vAlign w:val="center"/>
          </w:tcPr>
          <w:p w14:paraId="47E1E000" w14:textId="77777777" w:rsidR="00CE3BAD" w:rsidRPr="00782BF9" w:rsidRDefault="006B5475">
            <w:pPr>
              <w:pStyle w:val="P68B1DB1-Normal29"/>
              <w:spacing w:after="0" w:line="240" w:lineRule="auto"/>
              <w:rPr>
                <w:noProof/>
                <w:lang w:val="bg-BG"/>
              </w:rPr>
            </w:pPr>
            <w:r w:rsidRPr="00782BF9">
              <w:rPr>
                <w:noProof/>
                <w:lang w:val="bg-BG"/>
              </w:rPr>
              <w:t>C9.R37 Интегриране на използването на комуникационни кампании и поведенчески наблюдения от данъчната администрация</w:t>
            </w:r>
          </w:p>
        </w:tc>
        <w:tc>
          <w:tcPr>
            <w:tcW w:w="1164" w:type="dxa"/>
            <w:tcBorders>
              <w:top w:val="nil"/>
              <w:left w:val="nil"/>
              <w:bottom w:val="single" w:sz="4" w:space="0" w:color="auto"/>
              <w:right w:val="single" w:sz="4" w:space="0" w:color="auto"/>
            </w:tcBorders>
            <w:shd w:val="clear" w:color="000000" w:fill="C6EFCE"/>
            <w:vAlign w:val="center"/>
          </w:tcPr>
          <w:p w14:paraId="3F5B47A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BD7A6FC" w14:textId="77777777" w:rsidR="00CE3BAD" w:rsidRPr="00782BF9" w:rsidRDefault="006B5475">
            <w:pPr>
              <w:pStyle w:val="P68B1DB1-Normal29"/>
              <w:spacing w:after="0" w:line="240" w:lineRule="auto"/>
              <w:rPr>
                <w:noProof/>
                <w:lang w:val="bg-BG"/>
              </w:rPr>
            </w:pPr>
            <w:r w:rsidRPr="00782BF9">
              <w:rPr>
                <w:noProof/>
                <w:lang w:val="bg-BG"/>
              </w:rPr>
              <w:t>Подобряване на комуникационните практики на органите на публичната администрация към техните клиенти</w:t>
            </w:r>
          </w:p>
        </w:tc>
      </w:tr>
      <w:tr w:rsidR="00CE3BAD" w:rsidRPr="00782BF9" w14:paraId="6F4FF8E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733FA1B" w14:textId="77777777" w:rsidR="00CE3BAD" w:rsidRPr="00782BF9" w:rsidRDefault="006B5475">
            <w:pPr>
              <w:pStyle w:val="P68B1DB1-Normal29"/>
              <w:spacing w:after="0" w:line="240" w:lineRule="auto"/>
              <w:rPr>
                <w:noProof/>
                <w:lang w:val="bg-BG"/>
              </w:rPr>
            </w:pPr>
            <w:r w:rsidRPr="00782BF9">
              <w:rPr>
                <w:noProof/>
                <w:lang w:val="bg-BG"/>
              </w:rPr>
              <w:t>264</w:t>
            </w:r>
          </w:p>
        </w:tc>
        <w:tc>
          <w:tcPr>
            <w:tcW w:w="3120" w:type="dxa"/>
            <w:tcBorders>
              <w:top w:val="nil"/>
              <w:left w:val="nil"/>
              <w:bottom w:val="single" w:sz="4" w:space="0" w:color="auto"/>
              <w:right w:val="single" w:sz="4" w:space="0" w:color="auto"/>
            </w:tcBorders>
            <w:shd w:val="clear" w:color="000000" w:fill="C6EFCE"/>
            <w:vAlign w:val="center"/>
          </w:tcPr>
          <w:p w14:paraId="200ED41F" w14:textId="77777777" w:rsidR="00CE3BAD" w:rsidRPr="00782BF9" w:rsidRDefault="006B5475">
            <w:pPr>
              <w:pStyle w:val="P68B1DB1-Normal29"/>
              <w:spacing w:after="0" w:line="240" w:lineRule="auto"/>
              <w:rPr>
                <w:noProof/>
                <w:lang w:val="bg-BG"/>
              </w:rPr>
            </w:pPr>
            <w:r w:rsidRPr="00782BF9">
              <w:rPr>
                <w:noProof/>
                <w:lang w:val="bg-BG"/>
              </w:rPr>
              <w:t>C9.R37 Интегриране на използването на комуникационни кампании и поведенчески наблюдения от данъчната администрация</w:t>
            </w:r>
          </w:p>
        </w:tc>
        <w:tc>
          <w:tcPr>
            <w:tcW w:w="1164" w:type="dxa"/>
            <w:tcBorders>
              <w:top w:val="nil"/>
              <w:left w:val="nil"/>
              <w:bottom w:val="single" w:sz="4" w:space="0" w:color="auto"/>
              <w:right w:val="single" w:sz="4" w:space="0" w:color="auto"/>
            </w:tcBorders>
            <w:shd w:val="clear" w:color="000000" w:fill="C6EFCE"/>
            <w:vAlign w:val="center"/>
          </w:tcPr>
          <w:p w14:paraId="73EC7BE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25A5A88" w14:textId="77777777" w:rsidR="00CE3BAD" w:rsidRPr="00782BF9" w:rsidRDefault="006B5475">
            <w:pPr>
              <w:pStyle w:val="P68B1DB1-Normal29"/>
              <w:spacing w:after="0" w:line="240" w:lineRule="auto"/>
              <w:rPr>
                <w:noProof/>
                <w:lang w:val="bg-BG"/>
              </w:rPr>
            </w:pPr>
            <w:r w:rsidRPr="00782BF9">
              <w:rPr>
                <w:noProof/>
                <w:lang w:val="bg-BG"/>
              </w:rPr>
              <w:t>Прилагане на поведенчески наблюдения при процедурите на NTCA</w:t>
            </w:r>
          </w:p>
        </w:tc>
      </w:tr>
      <w:tr w:rsidR="00CE3BAD" w:rsidRPr="00782BF9" w14:paraId="0150423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A0DC762" w14:textId="77777777" w:rsidR="00CE3BAD" w:rsidRPr="00782BF9" w:rsidRDefault="006B5475">
            <w:pPr>
              <w:pStyle w:val="P68B1DB1-Normal29"/>
              <w:spacing w:after="0" w:line="240" w:lineRule="auto"/>
              <w:rPr>
                <w:noProof/>
                <w:lang w:val="bg-BG"/>
              </w:rPr>
            </w:pPr>
            <w:r w:rsidRPr="00782BF9">
              <w:rPr>
                <w:noProof/>
                <w:lang w:val="bg-BG"/>
              </w:rPr>
              <w:t>272</w:t>
            </w:r>
          </w:p>
        </w:tc>
        <w:tc>
          <w:tcPr>
            <w:tcW w:w="3120" w:type="dxa"/>
            <w:tcBorders>
              <w:top w:val="nil"/>
              <w:left w:val="nil"/>
              <w:bottom w:val="single" w:sz="4" w:space="0" w:color="auto"/>
              <w:right w:val="single" w:sz="4" w:space="0" w:color="auto"/>
            </w:tcBorders>
            <w:shd w:val="clear" w:color="000000" w:fill="C6EFCE"/>
            <w:vAlign w:val="center"/>
          </w:tcPr>
          <w:p w14:paraId="2DA6DD6F" w14:textId="77777777" w:rsidR="00CE3BAD" w:rsidRPr="00782BF9" w:rsidRDefault="006B5475">
            <w:pPr>
              <w:pStyle w:val="P68B1DB1-Normal29"/>
              <w:spacing w:after="0" w:line="240" w:lineRule="auto"/>
              <w:rPr>
                <w:noProof/>
                <w:lang w:val="bg-BG"/>
              </w:rPr>
            </w:pPr>
            <w:r w:rsidRPr="00782BF9">
              <w:rPr>
                <w:noProof/>
                <w:lang w:val="bg-BG"/>
              </w:rPr>
              <w:t>C10.R1: Подобряване на прозрачността, предвидимостта и наличието на процедура за присъединяване към мрежата</w:t>
            </w:r>
            <w:r w:rsidRPr="00782BF9">
              <w:rPr>
                <w:noProof/>
                <w:lang w:val="bg-BG"/>
              </w:rPr>
              <w:br/>
              <w:t>Хармонизиране на процедурата за присъединяване към електроенергийната мрежа от страна на операторите на разпределителни системи</w:t>
            </w:r>
          </w:p>
        </w:tc>
        <w:tc>
          <w:tcPr>
            <w:tcW w:w="1164" w:type="dxa"/>
            <w:tcBorders>
              <w:top w:val="nil"/>
              <w:left w:val="nil"/>
              <w:bottom w:val="single" w:sz="4" w:space="0" w:color="auto"/>
              <w:right w:val="single" w:sz="4" w:space="0" w:color="auto"/>
            </w:tcBorders>
            <w:shd w:val="clear" w:color="000000" w:fill="C6EFCE"/>
            <w:vAlign w:val="center"/>
          </w:tcPr>
          <w:p w14:paraId="7589B533"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EF9697A" w14:textId="77777777" w:rsidR="00CE3BAD" w:rsidRPr="00782BF9" w:rsidRDefault="006B5475">
            <w:pPr>
              <w:pStyle w:val="P68B1DB1-Normal29"/>
              <w:spacing w:after="0" w:line="240" w:lineRule="auto"/>
              <w:rPr>
                <w:noProof/>
                <w:lang w:val="bg-BG"/>
              </w:rPr>
            </w:pPr>
            <w:r w:rsidRPr="00782BF9">
              <w:rPr>
                <w:noProof/>
                <w:lang w:val="bg-BG"/>
              </w:rPr>
              <w:t>Хармонизиране на процедурата за присъединяване към електроенергийната мрежа от страна на операторите на разпределителни системи</w:t>
            </w:r>
          </w:p>
        </w:tc>
      </w:tr>
      <w:tr w:rsidR="00CE3BAD" w:rsidRPr="00782BF9" w14:paraId="6A12CF3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F090A19" w14:textId="77777777" w:rsidR="00CE3BAD" w:rsidRPr="00782BF9" w:rsidRDefault="006B5475">
            <w:pPr>
              <w:pStyle w:val="P68B1DB1-Normal29"/>
              <w:spacing w:after="0" w:line="240" w:lineRule="auto"/>
              <w:rPr>
                <w:noProof/>
                <w:lang w:val="bg-BG"/>
              </w:rPr>
            </w:pPr>
            <w:r w:rsidRPr="00782BF9">
              <w:rPr>
                <w:noProof/>
                <w:lang w:val="bg-BG"/>
              </w:rPr>
              <w:t>273</w:t>
            </w:r>
          </w:p>
        </w:tc>
        <w:tc>
          <w:tcPr>
            <w:tcW w:w="3120" w:type="dxa"/>
            <w:tcBorders>
              <w:top w:val="nil"/>
              <w:left w:val="nil"/>
              <w:bottom w:val="single" w:sz="4" w:space="0" w:color="auto"/>
              <w:right w:val="single" w:sz="4" w:space="0" w:color="auto"/>
            </w:tcBorders>
            <w:shd w:val="clear" w:color="000000" w:fill="C6EFCE"/>
            <w:vAlign w:val="center"/>
          </w:tcPr>
          <w:p w14:paraId="18D56449" w14:textId="77777777" w:rsidR="00CE3BAD" w:rsidRPr="00782BF9" w:rsidRDefault="006B5475">
            <w:pPr>
              <w:pStyle w:val="P68B1DB1-Normal29"/>
              <w:spacing w:after="0" w:line="240" w:lineRule="auto"/>
              <w:rPr>
                <w:noProof/>
                <w:lang w:val="bg-BG"/>
              </w:rPr>
            </w:pPr>
            <w:r w:rsidRPr="00782BF9">
              <w:rPr>
                <w:noProof/>
                <w:lang w:val="bg-BG"/>
              </w:rPr>
              <w:t>C10.R2: Определяне на мрежовите тарифи</w:t>
            </w:r>
          </w:p>
        </w:tc>
        <w:tc>
          <w:tcPr>
            <w:tcW w:w="1164" w:type="dxa"/>
            <w:tcBorders>
              <w:top w:val="nil"/>
              <w:left w:val="nil"/>
              <w:bottom w:val="single" w:sz="4" w:space="0" w:color="auto"/>
              <w:right w:val="single" w:sz="4" w:space="0" w:color="auto"/>
            </w:tcBorders>
            <w:shd w:val="clear" w:color="000000" w:fill="C6EFCE"/>
            <w:vAlign w:val="center"/>
          </w:tcPr>
          <w:p w14:paraId="4D7505A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D65EBC6" w14:textId="77777777" w:rsidR="00CE3BAD" w:rsidRPr="00782BF9" w:rsidRDefault="006B5475">
            <w:pPr>
              <w:pStyle w:val="P68B1DB1-Normal29"/>
              <w:spacing w:after="0" w:line="240" w:lineRule="auto"/>
              <w:rPr>
                <w:noProof/>
                <w:lang w:val="bg-BG"/>
              </w:rPr>
            </w:pPr>
            <w:r w:rsidRPr="00782BF9">
              <w:rPr>
                <w:noProof/>
                <w:lang w:val="bg-BG"/>
              </w:rPr>
              <w:t>Нова методика за изчисляване на мрежовите тарифи</w:t>
            </w:r>
          </w:p>
        </w:tc>
      </w:tr>
      <w:tr w:rsidR="00CE3BAD" w:rsidRPr="00782BF9" w14:paraId="6EFB903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EA3507B" w14:textId="77777777" w:rsidR="00CE3BAD" w:rsidRPr="00782BF9" w:rsidRDefault="006B5475">
            <w:pPr>
              <w:pStyle w:val="P68B1DB1-Normal29"/>
              <w:spacing w:after="0" w:line="240" w:lineRule="auto"/>
              <w:rPr>
                <w:noProof/>
                <w:lang w:val="bg-BG"/>
              </w:rPr>
            </w:pPr>
            <w:r w:rsidRPr="00782BF9">
              <w:rPr>
                <w:noProof/>
                <w:lang w:val="bg-BG"/>
              </w:rPr>
              <w:t>274</w:t>
            </w:r>
          </w:p>
        </w:tc>
        <w:tc>
          <w:tcPr>
            <w:tcW w:w="3120" w:type="dxa"/>
            <w:tcBorders>
              <w:top w:val="nil"/>
              <w:left w:val="nil"/>
              <w:bottom w:val="single" w:sz="4" w:space="0" w:color="auto"/>
              <w:right w:val="single" w:sz="4" w:space="0" w:color="auto"/>
            </w:tcBorders>
            <w:shd w:val="clear" w:color="000000" w:fill="C6EFCE"/>
            <w:vAlign w:val="center"/>
          </w:tcPr>
          <w:p w14:paraId="0A537C0B" w14:textId="77777777" w:rsidR="00CE3BAD" w:rsidRPr="00782BF9" w:rsidRDefault="006B5475">
            <w:pPr>
              <w:pStyle w:val="P68B1DB1-Normal29"/>
              <w:spacing w:after="0" w:line="240" w:lineRule="auto"/>
              <w:rPr>
                <w:noProof/>
                <w:lang w:val="bg-BG"/>
              </w:rPr>
            </w:pPr>
            <w:r w:rsidRPr="00782BF9">
              <w:rPr>
                <w:noProof/>
                <w:lang w:val="bg-BG"/>
              </w:rPr>
              <w:t xml:space="preserve">C10.R3: Адаптиране на законодателството относно интелигентните измервателни уреди </w:t>
            </w:r>
          </w:p>
        </w:tc>
        <w:tc>
          <w:tcPr>
            <w:tcW w:w="1164" w:type="dxa"/>
            <w:tcBorders>
              <w:top w:val="nil"/>
              <w:left w:val="nil"/>
              <w:bottom w:val="single" w:sz="4" w:space="0" w:color="auto"/>
              <w:right w:val="single" w:sz="4" w:space="0" w:color="auto"/>
            </w:tcBorders>
            <w:shd w:val="clear" w:color="000000" w:fill="C6EFCE"/>
            <w:vAlign w:val="center"/>
          </w:tcPr>
          <w:p w14:paraId="3FCA612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1FCEC21" w14:textId="77777777" w:rsidR="00CE3BAD" w:rsidRPr="00782BF9" w:rsidRDefault="006B5475">
            <w:pPr>
              <w:pStyle w:val="P68B1DB1-Normal29"/>
              <w:spacing w:after="0" w:line="240" w:lineRule="auto"/>
              <w:rPr>
                <w:noProof/>
                <w:lang w:val="bg-BG"/>
              </w:rPr>
            </w:pPr>
            <w:r w:rsidRPr="00782BF9">
              <w:rPr>
                <w:noProof/>
                <w:lang w:val="bg-BG"/>
              </w:rPr>
              <w:t>Влизане в сила на измененото законодателство относно интелигентните измервателни уреди</w:t>
            </w:r>
          </w:p>
        </w:tc>
      </w:tr>
      <w:tr w:rsidR="00CE3BAD" w:rsidRPr="00782BF9" w14:paraId="2D664A3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3D89334" w14:textId="77777777" w:rsidR="00CE3BAD" w:rsidRPr="00782BF9" w:rsidRDefault="006B5475">
            <w:pPr>
              <w:pStyle w:val="P68B1DB1-Normal29"/>
              <w:spacing w:after="0" w:line="240" w:lineRule="auto"/>
              <w:rPr>
                <w:noProof/>
                <w:lang w:val="bg-BG"/>
              </w:rPr>
            </w:pPr>
            <w:r w:rsidRPr="00782BF9">
              <w:rPr>
                <w:noProof/>
                <w:lang w:val="bg-BG"/>
              </w:rPr>
              <w:t>279</w:t>
            </w:r>
          </w:p>
        </w:tc>
        <w:tc>
          <w:tcPr>
            <w:tcW w:w="3120" w:type="dxa"/>
            <w:tcBorders>
              <w:top w:val="nil"/>
              <w:left w:val="nil"/>
              <w:bottom w:val="single" w:sz="4" w:space="0" w:color="auto"/>
              <w:right w:val="single" w:sz="4" w:space="0" w:color="auto"/>
            </w:tcBorders>
            <w:shd w:val="clear" w:color="000000" w:fill="C6EFCE"/>
            <w:vAlign w:val="center"/>
          </w:tcPr>
          <w:p w14:paraId="66940A3B"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В.10.I1a: Развитие на цифровите технологии на равнището на системния оператор (безвъзмездни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5859593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6BF8BE2" w14:textId="77777777" w:rsidR="00CE3BAD" w:rsidRPr="00782BF9" w:rsidRDefault="006B5475">
            <w:pPr>
              <w:pStyle w:val="P68B1DB1-Normal29"/>
              <w:spacing w:after="0" w:line="240" w:lineRule="auto"/>
              <w:rPr>
                <w:noProof/>
                <w:lang w:val="bg-BG"/>
              </w:rPr>
            </w:pPr>
            <w:r w:rsidRPr="00782BF9">
              <w:rPr>
                <w:noProof/>
                <w:lang w:val="bg-BG"/>
              </w:rPr>
              <w:t xml:space="preserve">Влизане в сила на споразуменията за отпускане на безвъзмездни средства за развитие на цифровите технологии, свързани с мрежовата инфраструктура и експлоатацията на електроенергийната мрежа на равнището на системния оператор </w:t>
            </w:r>
          </w:p>
        </w:tc>
      </w:tr>
      <w:tr w:rsidR="00CE3BAD" w:rsidRPr="00782BF9" w14:paraId="2CCCF91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8394BFC" w14:textId="77777777" w:rsidR="00CE3BAD" w:rsidRPr="00782BF9" w:rsidRDefault="006B5475">
            <w:pPr>
              <w:pStyle w:val="P68B1DB1-Normal29"/>
              <w:spacing w:after="0" w:line="240" w:lineRule="auto"/>
              <w:rPr>
                <w:noProof/>
                <w:lang w:val="bg-BG"/>
              </w:rPr>
            </w:pPr>
            <w:r w:rsidRPr="00782BF9">
              <w:rPr>
                <w:noProof/>
                <w:lang w:val="bg-BG"/>
              </w:rPr>
              <w:t>283</w:t>
            </w:r>
          </w:p>
        </w:tc>
        <w:tc>
          <w:tcPr>
            <w:tcW w:w="3120" w:type="dxa"/>
            <w:tcBorders>
              <w:top w:val="nil"/>
              <w:left w:val="nil"/>
              <w:bottom w:val="single" w:sz="4" w:space="0" w:color="auto"/>
              <w:right w:val="single" w:sz="4" w:space="0" w:color="auto"/>
            </w:tcBorders>
            <w:shd w:val="clear" w:color="000000" w:fill="C6EFCE"/>
            <w:vAlign w:val="center"/>
          </w:tcPr>
          <w:p w14:paraId="5924EAFF" w14:textId="77777777" w:rsidR="00CE3BAD" w:rsidRPr="00782BF9" w:rsidRDefault="006B5475">
            <w:pPr>
              <w:pStyle w:val="P68B1DB1-Normal29"/>
              <w:spacing w:after="0" w:line="240" w:lineRule="auto"/>
              <w:rPr>
                <w:noProof/>
                <w:lang w:val="bg-BG"/>
              </w:rPr>
            </w:pPr>
            <w:r w:rsidRPr="00782BF9">
              <w:rPr>
                <w:noProof/>
                <w:lang w:val="bg-BG"/>
              </w:rPr>
              <w:t xml:space="preserve">К10.И1: Развитие и цифровизация на електроенергийната мрежа </w:t>
            </w:r>
            <w:r w:rsidRPr="00782BF9">
              <w:rPr>
                <w:noProof/>
                <w:lang w:val="bg-BG"/>
              </w:rPr>
              <w:br/>
              <w:t>C10.I1b: Подобряване на точността на прогнозата за времето (безвъзмездни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78581A6A"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6FA5648" w14:textId="77777777" w:rsidR="00CE3BAD" w:rsidRPr="00782BF9" w:rsidRDefault="006B5475">
            <w:pPr>
              <w:pStyle w:val="P68B1DB1-Normal29"/>
              <w:spacing w:after="0" w:line="240" w:lineRule="auto"/>
              <w:rPr>
                <w:noProof/>
                <w:lang w:val="bg-BG"/>
              </w:rPr>
            </w:pPr>
            <w:r w:rsidRPr="00782BF9">
              <w:rPr>
                <w:noProof/>
                <w:lang w:val="bg-BG"/>
              </w:rPr>
              <w:t>Влизане в сила на споразумението (ята) за отпускане на безвъзмездни средства относно подкрепата за инсталиране на метеорологични станции с цел подобряване на точността на метеорологичните прогнози</w:t>
            </w:r>
          </w:p>
        </w:tc>
      </w:tr>
      <w:tr w:rsidR="00CE3BAD" w:rsidRPr="00782BF9" w14:paraId="425AF15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E7C1D7A" w14:textId="77777777" w:rsidR="00CE3BAD" w:rsidRPr="00782BF9" w:rsidRDefault="006B5475">
            <w:pPr>
              <w:pStyle w:val="P68B1DB1-Normal29"/>
              <w:spacing w:after="0" w:line="240" w:lineRule="auto"/>
              <w:rPr>
                <w:noProof/>
                <w:lang w:val="bg-BG"/>
              </w:rPr>
            </w:pPr>
            <w:r w:rsidRPr="00782BF9">
              <w:rPr>
                <w:noProof/>
                <w:lang w:val="bg-BG"/>
              </w:rPr>
              <w:t>286</w:t>
            </w:r>
          </w:p>
        </w:tc>
        <w:tc>
          <w:tcPr>
            <w:tcW w:w="3120" w:type="dxa"/>
            <w:tcBorders>
              <w:top w:val="nil"/>
              <w:left w:val="nil"/>
              <w:bottom w:val="single" w:sz="4" w:space="0" w:color="auto"/>
              <w:right w:val="single" w:sz="4" w:space="0" w:color="auto"/>
            </w:tcBorders>
            <w:shd w:val="clear" w:color="000000" w:fill="C6EFCE"/>
            <w:vAlign w:val="center"/>
          </w:tcPr>
          <w:p w14:paraId="0A83A76B"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 xml:space="preserve">C10.I1c: Разширена мярка:  </w:t>
            </w:r>
            <w:r w:rsidRPr="00782BF9">
              <w:rPr>
                <w:noProof/>
                <w:lang w:val="bg-BG"/>
              </w:rPr>
              <w:br/>
              <w:t>Развитие на класическа и интелигентна мрежа за оператора на преносна система и оператора на разпределителна система</w:t>
            </w:r>
          </w:p>
        </w:tc>
        <w:tc>
          <w:tcPr>
            <w:tcW w:w="1164" w:type="dxa"/>
            <w:tcBorders>
              <w:top w:val="nil"/>
              <w:left w:val="nil"/>
              <w:bottom w:val="single" w:sz="4" w:space="0" w:color="auto"/>
              <w:right w:val="single" w:sz="4" w:space="0" w:color="auto"/>
            </w:tcBorders>
            <w:shd w:val="clear" w:color="000000" w:fill="C6EFCE"/>
            <w:vAlign w:val="center"/>
          </w:tcPr>
          <w:p w14:paraId="77BA5C0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3698688" w14:textId="77777777" w:rsidR="00CE3BAD" w:rsidRPr="00782BF9" w:rsidRDefault="006B5475">
            <w:pPr>
              <w:pStyle w:val="P68B1DB1-Normal29"/>
              <w:spacing w:after="0" w:line="240" w:lineRule="auto"/>
              <w:rPr>
                <w:noProof/>
                <w:lang w:val="bg-BG"/>
              </w:rPr>
            </w:pPr>
            <w:r w:rsidRPr="00782BF9">
              <w:rPr>
                <w:noProof/>
                <w:lang w:val="bg-BG"/>
              </w:rPr>
              <w:t>Влизане в сила на всички споразумения за предоставяне на безвъзмездна финансова помощ, съдържащи условията за изпълнение и подпомагане на развитието на преносни и разпределителни мрежи</w:t>
            </w:r>
          </w:p>
        </w:tc>
      </w:tr>
      <w:tr w:rsidR="00CE3BAD" w:rsidRPr="00782BF9" w14:paraId="21C6623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5E95998" w14:textId="77777777" w:rsidR="00CE3BAD" w:rsidRPr="00782BF9" w:rsidRDefault="006B5475">
            <w:pPr>
              <w:pStyle w:val="P68B1DB1-Normal29"/>
              <w:spacing w:after="0" w:line="240" w:lineRule="auto"/>
              <w:rPr>
                <w:noProof/>
                <w:lang w:val="bg-BG"/>
              </w:rPr>
            </w:pPr>
            <w:r w:rsidRPr="00782BF9">
              <w:rPr>
                <w:noProof/>
                <w:lang w:val="bg-BG"/>
              </w:rPr>
              <w:t>290</w:t>
            </w:r>
          </w:p>
        </w:tc>
        <w:tc>
          <w:tcPr>
            <w:tcW w:w="3120" w:type="dxa"/>
            <w:tcBorders>
              <w:top w:val="nil"/>
              <w:left w:val="nil"/>
              <w:bottom w:val="single" w:sz="4" w:space="0" w:color="auto"/>
              <w:right w:val="single" w:sz="4" w:space="0" w:color="auto"/>
            </w:tcBorders>
            <w:shd w:val="clear" w:color="000000" w:fill="C6EFCE"/>
            <w:vAlign w:val="center"/>
          </w:tcPr>
          <w:p w14:paraId="541EDE88"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C10.I1d разширена мярка: Разпространение на интелигентни измервателни уреди (безвъзмездни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3F4BD7BB"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B9FEFFB" w14:textId="77777777" w:rsidR="00CE3BAD" w:rsidRPr="00782BF9" w:rsidRDefault="006B5475">
            <w:pPr>
              <w:pStyle w:val="P68B1DB1-Normal29"/>
              <w:spacing w:after="0" w:line="240" w:lineRule="auto"/>
              <w:rPr>
                <w:noProof/>
                <w:lang w:val="bg-BG"/>
              </w:rPr>
            </w:pPr>
            <w:r w:rsidRPr="00782BF9">
              <w:rPr>
                <w:noProof/>
                <w:lang w:val="bg-BG"/>
              </w:rPr>
              <w:t>Влизане в сила на всички споразумения за отпускане на безвъзмездна финансова помощ за закупуване и инсталиране на интелигентни измервателни уреди</w:t>
            </w:r>
          </w:p>
        </w:tc>
      </w:tr>
      <w:tr w:rsidR="00CE3BAD" w:rsidRPr="00782BF9" w14:paraId="5D1C8F36" w14:textId="77777777">
        <w:tblPrEx>
          <w:tblCellMar>
            <w:top w:w="0" w:type="dxa"/>
          </w:tblCellMar>
        </w:tblPrEx>
        <w:trPr>
          <w:trHeight w:val="460"/>
        </w:trPr>
        <w:tc>
          <w:tcPr>
            <w:tcW w:w="5522" w:type="dxa"/>
            <w:gridSpan w:val="3"/>
            <w:tcBorders>
              <w:top w:val="nil"/>
              <w:left w:val="single" w:sz="4" w:space="0" w:color="auto"/>
              <w:bottom w:val="single" w:sz="4" w:space="0" w:color="auto"/>
              <w:right w:val="single" w:sz="4" w:space="0" w:color="auto"/>
            </w:tcBorders>
            <w:shd w:val="clear" w:color="000000" w:fill="C6EFCE"/>
            <w:vAlign w:val="center"/>
          </w:tcPr>
          <w:p w14:paraId="52B31014"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nil"/>
              <w:left w:val="nil"/>
              <w:bottom w:val="single" w:sz="4" w:space="0" w:color="auto"/>
              <w:right w:val="single" w:sz="4" w:space="0" w:color="auto"/>
            </w:tcBorders>
            <w:shd w:val="clear" w:color="000000" w:fill="C6EFCE"/>
            <w:vAlign w:val="center"/>
          </w:tcPr>
          <w:p w14:paraId="3A7CB445" w14:textId="77777777" w:rsidR="00CE3BAD" w:rsidRPr="00782BF9" w:rsidRDefault="006B5475">
            <w:pPr>
              <w:pStyle w:val="P68B1DB1-Normal29"/>
              <w:spacing w:after="0" w:line="240" w:lineRule="auto"/>
              <w:jc w:val="center"/>
              <w:rPr>
                <w:noProof/>
                <w:lang w:val="bg-BG"/>
              </w:rPr>
            </w:pPr>
            <w:r w:rsidRPr="00782BF9">
              <w:rPr>
                <w:noProof/>
                <w:lang w:val="bg-BG"/>
              </w:rPr>
              <w:t>775 140 000 EUR</w:t>
            </w:r>
          </w:p>
        </w:tc>
      </w:tr>
    </w:tbl>
    <w:p w14:paraId="2BAEE3C9"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6F654F56" w14:textId="77777777" w:rsidR="00CE3BAD" w:rsidRPr="00782BF9" w:rsidRDefault="006B5475">
      <w:pPr>
        <w:pStyle w:val="P68B1DB1-ListParagraph27"/>
        <w:numPr>
          <w:ilvl w:val="1"/>
          <w:numId w:val="16"/>
        </w:numPr>
        <w:spacing w:before="120" w:after="120" w:line="240" w:lineRule="auto"/>
        <w:jc w:val="both"/>
        <w:rPr>
          <w:noProof/>
          <w:lang w:val="bg-BG"/>
        </w:rPr>
      </w:pPr>
      <w:r w:rsidRPr="00782BF9">
        <w:rPr>
          <w:noProof/>
          <w:lang w:val="bg-BG"/>
        </w:rPr>
        <w:t>Шеста вноска (безвъзмездна подкрепа):</w:t>
      </w: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229A6606" w14:textId="77777777">
        <w:trPr>
          <w:trHeight w:val="450"/>
          <w:tblHeader/>
        </w:trPr>
        <w:tc>
          <w:tcPr>
            <w:tcW w:w="1238"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1CA194B9"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7DD3480F"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2D8052E6"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2EF90750"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06289BB8"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1848C57B"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3ACCB63B"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5A77D843"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42B07295"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4713D6EC"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5EEA904C"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67AEA520"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32019D95"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0307389F"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0B55981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F28E730" w14:textId="77777777" w:rsidR="00CE3BAD" w:rsidRPr="00782BF9" w:rsidRDefault="006B5475">
            <w:pPr>
              <w:pStyle w:val="P68B1DB1-Normal29"/>
              <w:spacing w:after="0" w:line="240" w:lineRule="auto"/>
              <w:rPr>
                <w:noProof/>
                <w:lang w:val="bg-BG"/>
              </w:rPr>
            </w:pPr>
            <w:r w:rsidRPr="00782BF9">
              <w:rPr>
                <w:noProof/>
                <w:lang w:val="bg-BG"/>
              </w:rPr>
              <w:t>5</w:t>
            </w:r>
          </w:p>
        </w:tc>
        <w:tc>
          <w:tcPr>
            <w:tcW w:w="3120" w:type="dxa"/>
            <w:tcBorders>
              <w:top w:val="nil"/>
              <w:left w:val="nil"/>
              <w:bottom w:val="single" w:sz="4" w:space="0" w:color="auto"/>
              <w:right w:val="single" w:sz="4" w:space="0" w:color="auto"/>
            </w:tcBorders>
            <w:shd w:val="clear" w:color="000000" w:fill="C6EFCE"/>
            <w:vAlign w:val="center"/>
          </w:tcPr>
          <w:p w14:paraId="3F3A09E8" w14:textId="77777777" w:rsidR="00CE3BAD" w:rsidRPr="00782BF9" w:rsidRDefault="006B5475">
            <w:pPr>
              <w:pStyle w:val="P68B1DB1-Normal29"/>
              <w:spacing w:after="0" w:line="240" w:lineRule="auto"/>
              <w:rPr>
                <w:noProof/>
                <w:lang w:val="bg-BG"/>
              </w:rPr>
            </w:pPr>
            <w:r w:rsidRPr="00782BF9">
              <w:rPr>
                <w:noProof/>
                <w:lang w:val="bg-BG"/>
              </w:rPr>
              <w:t>В1.R1 Развитие на конкурентоспособно публично образование с използване на технологията на 21-ви век</w:t>
            </w:r>
          </w:p>
        </w:tc>
        <w:tc>
          <w:tcPr>
            <w:tcW w:w="1164" w:type="dxa"/>
            <w:tcBorders>
              <w:top w:val="nil"/>
              <w:left w:val="nil"/>
              <w:bottom w:val="single" w:sz="4" w:space="0" w:color="auto"/>
              <w:right w:val="single" w:sz="4" w:space="0" w:color="auto"/>
            </w:tcBorders>
            <w:shd w:val="clear" w:color="000000" w:fill="C6EFCE"/>
            <w:vAlign w:val="center"/>
          </w:tcPr>
          <w:p w14:paraId="309AF19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332B4F9" w14:textId="77777777" w:rsidR="00CE3BAD" w:rsidRPr="00782BF9" w:rsidRDefault="006B5475">
            <w:pPr>
              <w:pStyle w:val="P68B1DB1-Normal29"/>
              <w:spacing w:after="0" w:line="240" w:lineRule="auto"/>
              <w:rPr>
                <w:noProof/>
                <w:lang w:val="bg-BG"/>
              </w:rPr>
            </w:pPr>
            <w:r w:rsidRPr="00782BF9">
              <w:rPr>
                <w:noProof/>
                <w:lang w:val="bg-BG"/>
              </w:rPr>
              <w:t xml:space="preserve">Брой на допълнителните цифрови преносими компютри, доставени за ползване от ученика или учителя </w:t>
            </w:r>
          </w:p>
        </w:tc>
      </w:tr>
      <w:tr w:rsidR="00CE3BAD" w:rsidRPr="00782BF9" w14:paraId="400F9E0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DB95A56" w14:textId="77777777" w:rsidR="00CE3BAD" w:rsidRPr="00782BF9" w:rsidRDefault="006B5475">
            <w:pPr>
              <w:pStyle w:val="P68B1DB1-Normal29"/>
              <w:spacing w:after="0" w:line="240" w:lineRule="auto"/>
              <w:rPr>
                <w:noProof/>
                <w:lang w:val="bg-BG"/>
              </w:rPr>
            </w:pPr>
            <w:r w:rsidRPr="00782BF9">
              <w:rPr>
                <w:noProof/>
                <w:lang w:val="bg-BG"/>
              </w:rPr>
              <w:t>19</w:t>
            </w:r>
          </w:p>
        </w:tc>
        <w:tc>
          <w:tcPr>
            <w:tcW w:w="3120" w:type="dxa"/>
            <w:tcBorders>
              <w:top w:val="nil"/>
              <w:left w:val="nil"/>
              <w:bottom w:val="single" w:sz="4" w:space="0" w:color="auto"/>
              <w:right w:val="single" w:sz="4" w:space="0" w:color="auto"/>
            </w:tcBorders>
            <w:shd w:val="clear" w:color="000000" w:fill="C6EFCE"/>
            <w:vAlign w:val="center"/>
          </w:tcPr>
          <w:p w14:paraId="7ACB9238" w14:textId="77777777" w:rsidR="00CE3BAD" w:rsidRPr="00782BF9" w:rsidRDefault="006B5475">
            <w:pPr>
              <w:pStyle w:val="P68B1DB1-Normal29"/>
              <w:spacing w:after="0" w:line="240" w:lineRule="auto"/>
              <w:rPr>
                <w:noProof/>
                <w:lang w:val="bg-BG"/>
              </w:rPr>
            </w:pPr>
            <w:r w:rsidRPr="00782BF9">
              <w:rPr>
                <w:noProof/>
                <w:lang w:val="bg-BG"/>
              </w:rPr>
              <w:t>C1.R3 Подобряване на привлекателността на учителската професия</w:t>
            </w:r>
          </w:p>
        </w:tc>
        <w:tc>
          <w:tcPr>
            <w:tcW w:w="1164" w:type="dxa"/>
            <w:tcBorders>
              <w:top w:val="nil"/>
              <w:left w:val="nil"/>
              <w:bottom w:val="single" w:sz="4" w:space="0" w:color="auto"/>
              <w:right w:val="single" w:sz="4" w:space="0" w:color="auto"/>
            </w:tcBorders>
            <w:shd w:val="clear" w:color="000000" w:fill="C6EFCE"/>
            <w:vAlign w:val="center"/>
          </w:tcPr>
          <w:p w14:paraId="6EB56DA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13C4429" w14:textId="77777777" w:rsidR="00CE3BAD" w:rsidRPr="00782BF9" w:rsidRDefault="006B5475">
            <w:pPr>
              <w:pStyle w:val="P68B1DB1-Normal29"/>
              <w:spacing w:after="0" w:line="240" w:lineRule="auto"/>
              <w:rPr>
                <w:noProof/>
                <w:lang w:val="bg-BG"/>
              </w:rPr>
            </w:pPr>
            <w:r w:rsidRPr="00782BF9">
              <w:rPr>
                <w:noProof/>
                <w:lang w:val="bg-BG"/>
              </w:rPr>
              <w:t>Средна заплата на учителите в системата на общественото образование през 2025 г. спрямо средната заплата на завършилите висше образование</w:t>
            </w:r>
          </w:p>
        </w:tc>
      </w:tr>
      <w:tr w:rsidR="00CE3BAD" w:rsidRPr="00782BF9" w14:paraId="5CAE5AF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22F4BAA" w14:textId="77777777" w:rsidR="00CE3BAD" w:rsidRPr="00782BF9" w:rsidRDefault="006B5475">
            <w:pPr>
              <w:pStyle w:val="P68B1DB1-Normal29"/>
              <w:spacing w:after="0" w:line="240" w:lineRule="auto"/>
              <w:rPr>
                <w:noProof/>
                <w:lang w:val="bg-BG"/>
              </w:rPr>
            </w:pPr>
            <w:r w:rsidRPr="00782BF9">
              <w:rPr>
                <w:noProof/>
                <w:lang w:val="bg-BG"/>
              </w:rPr>
              <w:t>20</w:t>
            </w:r>
          </w:p>
        </w:tc>
        <w:tc>
          <w:tcPr>
            <w:tcW w:w="3120" w:type="dxa"/>
            <w:tcBorders>
              <w:top w:val="nil"/>
              <w:left w:val="nil"/>
              <w:bottom w:val="single" w:sz="4" w:space="0" w:color="auto"/>
              <w:right w:val="single" w:sz="4" w:space="0" w:color="auto"/>
            </w:tcBorders>
            <w:shd w:val="clear" w:color="000000" w:fill="C6EFCE"/>
            <w:vAlign w:val="center"/>
          </w:tcPr>
          <w:p w14:paraId="5B7684A9" w14:textId="77777777" w:rsidR="00CE3BAD" w:rsidRPr="00782BF9" w:rsidRDefault="006B5475">
            <w:pPr>
              <w:pStyle w:val="P68B1DB1-Normal29"/>
              <w:spacing w:after="0" w:line="240" w:lineRule="auto"/>
              <w:rPr>
                <w:noProof/>
                <w:lang w:val="bg-BG"/>
              </w:rPr>
            </w:pPr>
            <w:r w:rsidRPr="00782BF9">
              <w:rPr>
                <w:noProof/>
                <w:lang w:val="bg-BG"/>
              </w:rPr>
              <w:t>C1.R3 Подобряване на привлекателността на учителската професия</w:t>
            </w:r>
          </w:p>
        </w:tc>
        <w:tc>
          <w:tcPr>
            <w:tcW w:w="1164" w:type="dxa"/>
            <w:tcBorders>
              <w:top w:val="nil"/>
              <w:left w:val="nil"/>
              <w:bottom w:val="single" w:sz="4" w:space="0" w:color="auto"/>
              <w:right w:val="single" w:sz="4" w:space="0" w:color="auto"/>
            </w:tcBorders>
            <w:shd w:val="clear" w:color="000000" w:fill="C6EFCE"/>
            <w:vAlign w:val="center"/>
          </w:tcPr>
          <w:p w14:paraId="6CCC214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E26AC56"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 определящо увеличението на заплатите на учителите в началото на образованието за 2025 г.</w:t>
            </w:r>
          </w:p>
        </w:tc>
      </w:tr>
      <w:tr w:rsidR="00CE3BAD" w:rsidRPr="00782BF9" w14:paraId="190A126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7E3F1EC" w14:textId="77777777" w:rsidR="00CE3BAD" w:rsidRPr="00782BF9" w:rsidRDefault="006B5475">
            <w:pPr>
              <w:pStyle w:val="P68B1DB1-Normal29"/>
              <w:spacing w:after="0" w:line="240" w:lineRule="auto"/>
              <w:rPr>
                <w:noProof/>
                <w:lang w:val="bg-BG"/>
              </w:rPr>
            </w:pPr>
            <w:r w:rsidRPr="00782BF9">
              <w:rPr>
                <w:noProof/>
                <w:lang w:val="bg-BG"/>
              </w:rPr>
              <w:t>28</w:t>
            </w:r>
          </w:p>
        </w:tc>
        <w:tc>
          <w:tcPr>
            <w:tcW w:w="3120" w:type="dxa"/>
            <w:tcBorders>
              <w:top w:val="nil"/>
              <w:left w:val="nil"/>
              <w:bottom w:val="single" w:sz="4" w:space="0" w:color="auto"/>
              <w:right w:val="single" w:sz="4" w:space="0" w:color="auto"/>
            </w:tcBorders>
            <w:shd w:val="clear" w:color="000000" w:fill="C6EFCE"/>
            <w:vAlign w:val="center"/>
          </w:tcPr>
          <w:p w14:paraId="6EC4B5CF" w14:textId="77777777" w:rsidR="00CE3BAD" w:rsidRPr="00782BF9" w:rsidRDefault="006B5475">
            <w:pPr>
              <w:pStyle w:val="P68B1DB1-Normal29"/>
              <w:spacing w:after="0" w:line="240" w:lineRule="auto"/>
              <w:rPr>
                <w:noProof/>
                <w:lang w:val="bg-BG"/>
              </w:rPr>
            </w:pPr>
            <w:r w:rsidRPr="00782BF9">
              <w:rPr>
                <w:noProof/>
                <w:lang w:val="bg-BG"/>
              </w:rPr>
              <w:t>C1.R4 Подобряване на устойчивостта на пенсионната система</w:t>
            </w:r>
          </w:p>
        </w:tc>
        <w:tc>
          <w:tcPr>
            <w:tcW w:w="1164" w:type="dxa"/>
            <w:tcBorders>
              <w:top w:val="nil"/>
              <w:left w:val="nil"/>
              <w:bottom w:val="single" w:sz="4" w:space="0" w:color="auto"/>
              <w:right w:val="single" w:sz="4" w:space="0" w:color="auto"/>
            </w:tcBorders>
            <w:shd w:val="clear" w:color="000000" w:fill="C6EFCE"/>
            <w:vAlign w:val="center"/>
          </w:tcPr>
          <w:p w14:paraId="0B7FC68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FF0EEE8"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законодателството за изменение на пенсионната система</w:t>
            </w:r>
          </w:p>
        </w:tc>
      </w:tr>
      <w:tr w:rsidR="00CE3BAD" w:rsidRPr="00782BF9" w14:paraId="7D5956D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2709DE9" w14:textId="77777777" w:rsidR="00CE3BAD" w:rsidRPr="00782BF9" w:rsidRDefault="006B5475">
            <w:pPr>
              <w:pStyle w:val="P68B1DB1-Normal29"/>
              <w:spacing w:after="0" w:line="240" w:lineRule="auto"/>
              <w:rPr>
                <w:noProof/>
                <w:lang w:val="bg-BG"/>
              </w:rPr>
            </w:pPr>
            <w:r w:rsidRPr="00782BF9">
              <w:rPr>
                <w:noProof/>
                <w:lang w:val="bg-BG"/>
              </w:rPr>
              <w:t>79</w:t>
            </w:r>
          </w:p>
        </w:tc>
        <w:tc>
          <w:tcPr>
            <w:tcW w:w="3120" w:type="dxa"/>
            <w:tcBorders>
              <w:top w:val="nil"/>
              <w:left w:val="nil"/>
              <w:bottom w:val="single" w:sz="4" w:space="0" w:color="auto"/>
              <w:right w:val="single" w:sz="4" w:space="0" w:color="auto"/>
            </w:tcBorders>
            <w:shd w:val="clear" w:color="000000" w:fill="C6EFCE"/>
            <w:vAlign w:val="center"/>
          </w:tcPr>
          <w:p w14:paraId="2566B8BB" w14:textId="77777777" w:rsidR="00CE3BAD" w:rsidRPr="00782BF9" w:rsidRDefault="006B5475">
            <w:pPr>
              <w:pStyle w:val="P68B1DB1-Normal29"/>
              <w:spacing w:after="0" w:line="240" w:lineRule="auto"/>
              <w:rPr>
                <w:noProof/>
                <w:lang w:val="bg-BG"/>
              </w:rPr>
            </w:pPr>
            <w:r w:rsidRPr="00782BF9">
              <w:rPr>
                <w:noProof/>
                <w:lang w:val="bg-BG"/>
              </w:rPr>
              <w:t xml:space="preserve">C4.R2 Ускоряване на мерките за адаптиране към изменението на климата в управлението на водите  </w:t>
            </w:r>
          </w:p>
        </w:tc>
        <w:tc>
          <w:tcPr>
            <w:tcW w:w="1164" w:type="dxa"/>
            <w:tcBorders>
              <w:top w:val="nil"/>
              <w:left w:val="nil"/>
              <w:bottom w:val="single" w:sz="4" w:space="0" w:color="auto"/>
              <w:right w:val="single" w:sz="4" w:space="0" w:color="auto"/>
            </w:tcBorders>
            <w:shd w:val="clear" w:color="000000" w:fill="C6EFCE"/>
            <w:vAlign w:val="center"/>
          </w:tcPr>
          <w:p w14:paraId="70C9A38A"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781" w:type="dxa"/>
            <w:tcBorders>
              <w:top w:val="nil"/>
              <w:left w:val="nil"/>
              <w:bottom w:val="single" w:sz="4" w:space="0" w:color="auto"/>
              <w:right w:val="single" w:sz="4" w:space="0" w:color="auto"/>
            </w:tcBorders>
            <w:shd w:val="clear" w:color="000000" w:fill="C6EFCE"/>
            <w:vAlign w:val="center"/>
          </w:tcPr>
          <w:p w14:paraId="0293DB86" w14:textId="77777777" w:rsidR="00CE3BAD" w:rsidRPr="00782BF9" w:rsidRDefault="006B5475">
            <w:pPr>
              <w:pStyle w:val="P68B1DB1-Normal29"/>
              <w:spacing w:after="0" w:line="240" w:lineRule="auto"/>
              <w:rPr>
                <w:noProof/>
                <w:lang w:val="bg-BG"/>
              </w:rPr>
            </w:pPr>
            <w:r w:rsidRPr="00782BF9">
              <w:rPr>
                <w:noProof/>
                <w:lang w:val="bg-BG"/>
              </w:rPr>
              <w:t xml:space="preserve">Изпълнение на план за действие въз основа на препоръките, изготвени от работната група </w:t>
            </w:r>
          </w:p>
        </w:tc>
      </w:tr>
      <w:tr w:rsidR="00CE3BAD" w:rsidRPr="00782BF9" w14:paraId="407A77D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765EBB8" w14:textId="77777777" w:rsidR="00CE3BAD" w:rsidRPr="00782BF9" w:rsidRDefault="006B5475">
            <w:pPr>
              <w:pStyle w:val="P68B1DB1-Normal29"/>
              <w:spacing w:after="0" w:line="240" w:lineRule="auto"/>
              <w:rPr>
                <w:noProof/>
                <w:lang w:val="bg-BG"/>
              </w:rPr>
            </w:pPr>
            <w:r w:rsidRPr="00782BF9">
              <w:rPr>
                <w:noProof/>
                <w:lang w:val="bg-BG"/>
              </w:rPr>
              <w:t>92</w:t>
            </w:r>
          </w:p>
        </w:tc>
        <w:tc>
          <w:tcPr>
            <w:tcW w:w="3120" w:type="dxa"/>
            <w:tcBorders>
              <w:top w:val="nil"/>
              <w:left w:val="nil"/>
              <w:bottom w:val="single" w:sz="4" w:space="0" w:color="auto"/>
              <w:right w:val="single" w:sz="4" w:space="0" w:color="auto"/>
            </w:tcBorders>
            <w:shd w:val="clear" w:color="000000" w:fill="C6EFCE"/>
            <w:vAlign w:val="center"/>
          </w:tcPr>
          <w:p w14:paraId="4C10F2CC" w14:textId="77777777" w:rsidR="00CE3BAD" w:rsidRPr="00782BF9" w:rsidRDefault="006B5475">
            <w:pPr>
              <w:pStyle w:val="P68B1DB1-Normal29"/>
              <w:spacing w:after="0" w:line="240" w:lineRule="auto"/>
              <w:rPr>
                <w:noProof/>
                <w:lang w:val="bg-BG"/>
              </w:rPr>
            </w:pPr>
            <w:r w:rsidRPr="00782BF9">
              <w:rPr>
                <w:noProof/>
                <w:lang w:val="bg-BG"/>
              </w:rPr>
              <w:t>C5.I3 Развитие на автобусен транспорт с нулеви емисии</w:t>
            </w:r>
          </w:p>
        </w:tc>
        <w:tc>
          <w:tcPr>
            <w:tcW w:w="1164" w:type="dxa"/>
            <w:tcBorders>
              <w:top w:val="nil"/>
              <w:left w:val="nil"/>
              <w:bottom w:val="single" w:sz="4" w:space="0" w:color="auto"/>
              <w:right w:val="single" w:sz="4" w:space="0" w:color="auto"/>
            </w:tcBorders>
            <w:shd w:val="clear" w:color="000000" w:fill="C6EFCE"/>
            <w:vAlign w:val="center"/>
          </w:tcPr>
          <w:p w14:paraId="413F46BD"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3899734" w14:textId="77777777" w:rsidR="00CE3BAD" w:rsidRPr="00782BF9" w:rsidRDefault="006B5475">
            <w:pPr>
              <w:pStyle w:val="P68B1DB1-Normal29"/>
              <w:spacing w:after="0" w:line="240" w:lineRule="auto"/>
              <w:rPr>
                <w:noProof/>
                <w:lang w:val="bg-BG"/>
              </w:rPr>
            </w:pPr>
            <w:r w:rsidRPr="00782BF9">
              <w:rPr>
                <w:noProof/>
                <w:lang w:val="bg-BG"/>
              </w:rPr>
              <w:t>Въвеждане в експлоатация на допълнителни електрически автобуси и свързаните с тях зарядни точки</w:t>
            </w:r>
          </w:p>
        </w:tc>
      </w:tr>
      <w:tr w:rsidR="00CE3BAD" w:rsidRPr="00782BF9" w14:paraId="1EBA181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5552830" w14:textId="77777777" w:rsidR="00CE3BAD" w:rsidRPr="00782BF9" w:rsidRDefault="006B5475">
            <w:pPr>
              <w:pStyle w:val="P68B1DB1-Normal29"/>
              <w:spacing w:after="0" w:line="240" w:lineRule="auto"/>
              <w:rPr>
                <w:noProof/>
                <w:lang w:val="bg-BG"/>
              </w:rPr>
            </w:pPr>
            <w:r w:rsidRPr="00782BF9">
              <w:rPr>
                <w:noProof/>
                <w:lang w:val="bg-BG"/>
              </w:rPr>
              <w:t>189</w:t>
            </w:r>
          </w:p>
        </w:tc>
        <w:tc>
          <w:tcPr>
            <w:tcW w:w="3120" w:type="dxa"/>
            <w:tcBorders>
              <w:top w:val="nil"/>
              <w:left w:val="nil"/>
              <w:bottom w:val="single" w:sz="4" w:space="0" w:color="auto"/>
              <w:right w:val="single" w:sz="4" w:space="0" w:color="auto"/>
            </w:tcBorders>
            <w:shd w:val="clear" w:color="000000" w:fill="C6EFCE"/>
            <w:vAlign w:val="center"/>
          </w:tcPr>
          <w:p w14:paraId="1EF3772E"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7D2FECF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2A27D9F" w14:textId="77777777" w:rsidR="00CE3BAD" w:rsidRPr="00782BF9" w:rsidRDefault="006B5475">
            <w:pPr>
              <w:pStyle w:val="P68B1DB1-Normal29"/>
              <w:spacing w:after="0" w:line="240" w:lineRule="auto"/>
              <w:rPr>
                <w:noProof/>
                <w:lang w:val="bg-BG"/>
              </w:rPr>
            </w:pPr>
            <w:r w:rsidRPr="00782BF9">
              <w:rPr>
                <w:noProof/>
                <w:lang w:val="bg-BG"/>
              </w:rPr>
              <w:t>Делът на тръжните процедури с една оферта за обществени поръчки, финансирани с подкрепа от Съюза, не надвишава 15 %</w:t>
            </w:r>
          </w:p>
        </w:tc>
      </w:tr>
      <w:tr w:rsidR="00CE3BAD" w:rsidRPr="00782BF9" w14:paraId="16E533C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43B6107" w14:textId="77777777" w:rsidR="00CE3BAD" w:rsidRPr="00782BF9" w:rsidRDefault="006B5475">
            <w:pPr>
              <w:pStyle w:val="P68B1DB1-Normal29"/>
              <w:spacing w:after="0" w:line="240" w:lineRule="auto"/>
              <w:rPr>
                <w:noProof/>
                <w:lang w:val="bg-BG"/>
              </w:rPr>
            </w:pPr>
            <w:r w:rsidRPr="00782BF9">
              <w:rPr>
                <w:noProof/>
                <w:lang w:val="bg-BG"/>
              </w:rPr>
              <w:t>190</w:t>
            </w:r>
          </w:p>
        </w:tc>
        <w:tc>
          <w:tcPr>
            <w:tcW w:w="3120" w:type="dxa"/>
            <w:tcBorders>
              <w:top w:val="nil"/>
              <w:left w:val="nil"/>
              <w:bottom w:val="single" w:sz="4" w:space="0" w:color="auto"/>
              <w:right w:val="single" w:sz="4" w:space="0" w:color="auto"/>
            </w:tcBorders>
            <w:shd w:val="clear" w:color="000000" w:fill="C6EFCE"/>
            <w:vAlign w:val="center"/>
          </w:tcPr>
          <w:p w14:paraId="5506439A"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6C5C40A9"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A298BCE" w14:textId="77777777" w:rsidR="00CE3BAD" w:rsidRPr="00782BF9" w:rsidRDefault="006B5475">
            <w:pPr>
              <w:pStyle w:val="P68B1DB1-Normal29"/>
              <w:spacing w:after="0" w:line="240" w:lineRule="auto"/>
              <w:rPr>
                <w:noProof/>
                <w:lang w:val="bg-BG"/>
              </w:rPr>
            </w:pPr>
            <w:r w:rsidRPr="00782BF9">
              <w:rPr>
                <w:noProof/>
                <w:lang w:val="bg-BG"/>
              </w:rPr>
              <w:t>Делът на тръжните процедури с една оферта за обществени поръчки, финансирани с национални ресурси, не надвишава 15 %</w:t>
            </w:r>
          </w:p>
        </w:tc>
      </w:tr>
      <w:tr w:rsidR="00CE3BAD" w:rsidRPr="00782BF9" w14:paraId="628A5EE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200403E" w14:textId="77777777" w:rsidR="00CE3BAD" w:rsidRPr="00782BF9" w:rsidRDefault="006B5475">
            <w:pPr>
              <w:pStyle w:val="P68B1DB1-Normal29"/>
              <w:spacing w:after="0" w:line="240" w:lineRule="auto"/>
              <w:rPr>
                <w:noProof/>
                <w:lang w:val="bg-BG"/>
              </w:rPr>
            </w:pPr>
            <w:r w:rsidRPr="00782BF9">
              <w:rPr>
                <w:noProof/>
                <w:lang w:val="bg-BG"/>
              </w:rPr>
              <w:t>239</w:t>
            </w:r>
          </w:p>
        </w:tc>
        <w:tc>
          <w:tcPr>
            <w:tcW w:w="3120" w:type="dxa"/>
            <w:tcBorders>
              <w:top w:val="nil"/>
              <w:left w:val="nil"/>
              <w:bottom w:val="single" w:sz="4" w:space="0" w:color="auto"/>
              <w:right w:val="single" w:sz="4" w:space="0" w:color="auto"/>
            </w:tcBorders>
            <w:shd w:val="clear" w:color="000000" w:fill="C6EFCE"/>
            <w:vAlign w:val="center"/>
          </w:tcPr>
          <w:p w14:paraId="0EAD7A65" w14:textId="77777777" w:rsidR="00CE3BAD" w:rsidRPr="00782BF9" w:rsidRDefault="006B5475">
            <w:pPr>
              <w:pStyle w:val="P68B1DB1-Normal29"/>
              <w:spacing w:after="0" w:line="240" w:lineRule="auto"/>
              <w:rPr>
                <w:noProof/>
                <w:lang w:val="bg-BG"/>
              </w:rPr>
            </w:pPr>
            <w:r w:rsidRPr="00782BF9">
              <w:rPr>
                <w:noProof/>
                <w:lang w:val="bg-BG"/>
              </w:rPr>
              <w:t>C9.R25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1164" w:type="dxa"/>
            <w:tcBorders>
              <w:top w:val="nil"/>
              <w:left w:val="nil"/>
              <w:bottom w:val="single" w:sz="4" w:space="0" w:color="auto"/>
              <w:right w:val="single" w:sz="4" w:space="0" w:color="auto"/>
            </w:tcBorders>
            <w:shd w:val="clear" w:color="000000" w:fill="C6EFCE"/>
            <w:vAlign w:val="center"/>
          </w:tcPr>
          <w:p w14:paraId="303D2F83"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6547E9F" w14:textId="77777777" w:rsidR="00CE3BAD" w:rsidRPr="00782BF9" w:rsidRDefault="006B5475">
            <w:pPr>
              <w:pStyle w:val="P68B1DB1-Normal29"/>
              <w:spacing w:after="0" w:line="240" w:lineRule="auto"/>
              <w:rPr>
                <w:noProof/>
                <w:lang w:val="bg-BG"/>
              </w:rPr>
            </w:pPr>
            <w:r w:rsidRPr="00782BF9">
              <w:rPr>
                <w:noProof/>
                <w:lang w:val="bg-BG"/>
              </w:rPr>
              <w:t>Засилване на ефективното прилагане на правилата относно задължителната обществена консултация със законодателните актове и системното публикуване на предварителните обобщения на оценките на въздействието (3)</w:t>
            </w:r>
          </w:p>
        </w:tc>
      </w:tr>
      <w:tr w:rsidR="00CE3BAD" w:rsidRPr="00782BF9" w14:paraId="51205A4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168504F" w14:textId="77777777" w:rsidR="00CE3BAD" w:rsidRPr="00782BF9" w:rsidRDefault="006B5475">
            <w:pPr>
              <w:pStyle w:val="P68B1DB1-Normal29"/>
              <w:spacing w:after="0" w:line="240" w:lineRule="auto"/>
              <w:rPr>
                <w:noProof/>
                <w:lang w:val="bg-BG"/>
              </w:rPr>
            </w:pPr>
            <w:r w:rsidRPr="00782BF9">
              <w:rPr>
                <w:noProof/>
                <w:lang w:val="bg-BG"/>
              </w:rPr>
              <w:t>242</w:t>
            </w:r>
          </w:p>
        </w:tc>
        <w:tc>
          <w:tcPr>
            <w:tcW w:w="3120" w:type="dxa"/>
            <w:tcBorders>
              <w:top w:val="nil"/>
              <w:left w:val="nil"/>
              <w:bottom w:val="single" w:sz="4" w:space="0" w:color="auto"/>
              <w:right w:val="single" w:sz="4" w:space="0" w:color="auto"/>
            </w:tcBorders>
            <w:shd w:val="clear" w:color="000000" w:fill="C6EFCE"/>
            <w:vAlign w:val="center"/>
          </w:tcPr>
          <w:p w14:paraId="49DDD8F7" w14:textId="77777777" w:rsidR="00CE3BAD" w:rsidRPr="00782BF9" w:rsidRDefault="006B5475">
            <w:pPr>
              <w:pStyle w:val="P68B1DB1-Normal29"/>
              <w:spacing w:after="0" w:line="240" w:lineRule="auto"/>
              <w:rPr>
                <w:noProof/>
                <w:lang w:val="bg-BG"/>
              </w:rPr>
            </w:pPr>
            <w:r w:rsidRPr="00782BF9">
              <w:rPr>
                <w:noProof/>
                <w:lang w:val="bg-BG"/>
              </w:rPr>
              <w:t>C9.R28 Подкрепа за основания на данни процес на вземане на решения и законодателен процес с оглед повишаване на ефикасността, прозрачността и намаляване на рисковете от нередности</w:t>
            </w:r>
          </w:p>
        </w:tc>
        <w:tc>
          <w:tcPr>
            <w:tcW w:w="1164" w:type="dxa"/>
            <w:tcBorders>
              <w:top w:val="nil"/>
              <w:left w:val="nil"/>
              <w:bottom w:val="single" w:sz="4" w:space="0" w:color="auto"/>
              <w:right w:val="single" w:sz="4" w:space="0" w:color="auto"/>
            </w:tcBorders>
            <w:shd w:val="clear" w:color="000000" w:fill="C6EFCE"/>
            <w:vAlign w:val="center"/>
          </w:tcPr>
          <w:p w14:paraId="5ED955B8" w14:textId="77777777" w:rsidR="00CE3BAD" w:rsidRPr="00782BF9" w:rsidRDefault="006B5475">
            <w:pPr>
              <w:pStyle w:val="P68B1DB1-Normal29"/>
              <w:spacing w:after="0" w:line="240" w:lineRule="auto"/>
              <w:rPr>
                <w:noProof/>
                <w:lang w:val="bg-BG"/>
              </w:rPr>
            </w:pPr>
            <w:r w:rsidRPr="00782BF9">
              <w:rPr>
                <w:noProof/>
                <w:lang w:val="bg-BG"/>
              </w:rPr>
              <w:t>Целеви </w:t>
            </w:r>
          </w:p>
        </w:tc>
        <w:tc>
          <w:tcPr>
            <w:tcW w:w="3781" w:type="dxa"/>
            <w:tcBorders>
              <w:top w:val="nil"/>
              <w:left w:val="nil"/>
              <w:bottom w:val="single" w:sz="4" w:space="0" w:color="auto"/>
              <w:right w:val="single" w:sz="4" w:space="0" w:color="auto"/>
            </w:tcBorders>
            <w:shd w:val="clear" w:color="000000" w:fill="C6EFCE"/>
            <w:vAlign w:val="center"/>
          </w:tcPr>
          <w:p w14:paraId="52BA5374" w14:textId="77777777" w:rsidR="00CE3BAD" w:rsidRPr="00782BF9" w:rsidRDefault="006B5475">
            <w:pPr>
              <w:pStyle w:val="P68B1DB1-Normal29"/>
              <w:spacing w:after="0" w:line="240" w:lineRule="auto"/>
              <w:rPr>
                <w:noProof/>
                <w:lang w:val="bg-BG"/>
              </w:rPr>
            </w:pPr>
            <w:r w:rsidRPr="00782BF9">
              <w:rPr>
                <w:noProof/>
                <w:lang w:val="bg-BG"/>
              </w:rPr>
              <w:t>Брой на лицата, преминали курсове за обучение по визуализиране на данни  </w:t>
            </w:r>
          </w:p>
        </w:tc>
      </w:tr>
      <w:tr w:rsidR="00CE3BAD" w:rsidRPr="00782BF9" w14:paraId="744B9A3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13497DB" w14:textId="77777777" w:rsidR="00CE3BAD" w:rsidRPr="00782BF9" w:rsidRDefault="006B5475">
            <w:pPr>
              <w:pStyle w:val="P68B1DB1-Normal29"/>
              <w:spacing w:after="0" w:line="240" w:lineRule="auto"/>
              <w:rPr>
                <w:noProof/>
                <w:lang w:val="bg-BG"/>
              </w:rPr>
            </w:pPr>
            <w:r w:rsidRPr="00782BF9">
              <w:rPr>
                <w:noProof/>
                <w:lang w:val="bg-BG"/>
              </w:rPr>
              <w:t>243</w:t>
            </w:r>
          </w:p>
        </w:tc>
        <w:tc>
          <w:tcPr>
            <w:tcW w:w="3120" w:type="dxa"/>
            <w:tcBorders>
              <w:top w:val="nil"/>
              <w:left w:val="nil"/>
              <w:bottom w:val="single" w:sz="4" w:space="0" w:color="auto"/>
              <w:right w:val="single" w:sz="4" w:space="0" w:color="auto"/>
            </w:tcBorders>
            <w:shd w:val="clear" w:color="000000" w:fill="C6EFCE"/>
            <w:vAlign w:val="center"/>
          </w:tcPr>
          <w:p w14:paraId="39B297A2" w14:textId="77777777" w:rsidR="00CE3BAD" w:rsidRPr="00782BF9" w:rsidRDefault="006B5475">
            <w:pPr>
              <w:pStyle w:val="P68B1DB1-Normal29"/>
              <w:spacing w:after="0" w:line="240" w:lineRule="auto"/>
              <w:rPr>
                <w:noProof/>
                <w:lang w:val="bg-BG"/>
              </w:rPr>
            </w:pPr>
            <w:r w:rsidRPr="00782BF9">
              <w:rPr>
                <w:noProof/>
                <w:lang w:val="bg-BG"/>
              </w:rPr>
              <w:t>C9.R29 Разширяване на автоматичната система за вземане на административни решения с оглед повишаване на ефективността, прозрачността и намаляване на рисковете от нередности</w:t>
            </w:r>
          </w:p>
        </w:tc>
        <w:tc>
          <w:tcPr>
            <w:tcW w:w="1164" w:type="dxa"/>
            <w:tcBorders>
              <w:top w:val="nil"/>
              <w:left w:val="nil"/>
              <w:bottom w:val="single" w:sz="4" w:space="0" w:color="auto"/>
              <w:right w:val="single" w:sz="4" w:space="0" w:color="auto"/>
            </w:tcBorders>
            <w:shd w:val="clear" w:color="000000" w:fill="C6EFCE"/>
            <w:vAlign w:val="center"/>
          </w:tcPr>
          <w:p w14:paraId="136FEAFC"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79683D0" w14:textId="77777777" w:rsidR="00CE3BAD" w:rsidRPr="00782BF9" w:rsidRDefault="006B5475">
            <w:pPr>
              <w:pStyle w:val="P68B1DB1-Normal29"/>
              <w:spacing w:after="0" w:line="240" w:lineRule="auto"/>
              <w:rPr>
                <w:noProof/>
                <w:lang w:val="bg-BG"/>
              </w:rPr>
            </w:pPr>
            <w:r w:rsidRPr="00782BF9">
              <w:rPr>
                <w:noProof/>
                <w:lang w:val="bg-BG"/>
              </w:rPr>
              <w:t>Допълнителни автоматизирани видове случаи, въведени в автоматичната система за административно вземане на решения (AKD)</w:t>
            </w:r>
          </w:p>
        </w:tc>
      </w:tr>
      <w:tr w:rsidR="00CE3BAD" w:rsidRPr="00782BF9" w14:paraId="52F0204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36890D8" w14:textId="77777777" w:rsidR="00CE3BAD" w:rsidRPr="00782BF9" w:rsidRDefault="006B5475">
            <w:pPr>
              <w:pStyle w:val="P68B1DB1-Normal29"/>
              <w:spacing w:after="0" w:line="240" w:lineRule="auto"/>
              <w:rPr>
                <w:noProof/>
                <w:lang w:val="bg-BG"/>
              </w:rPr>
            </w:pPr>
            <w:r w:rsidRPr="00782BF9">
              <w:rPr>
                <w:noProof/>
                <w:lang w:val="bg-BG"/>
              </w:rPr>
              <w:t>251</w:t>
            </w:r>
          </w:p>
        </w:tc>
        <w:tc>
          <w:tcPr>
            <w:tcW w:w="3120" w:type="dxa"/>
            <w:tcBorders>
              <w:top w:val="nil"/>
              <w:left w:val="nil"/>
              <w:bottom w:val="single" w:sz="4" w:space="0" w:color="auto"/>
              <w:right w:val="single" w:sz="4" w:space="0" w:color="auto"/>
            </w:tcBorders>
            <w:shd w:val="clear" w:color="000000" w:fill="C6EFCE"/>
            <w:vAlign w:val="center"/>
          </w:tcPr>
          <w:p w14:paraId="2D8965FE" w14:textId="77777777" w:rsidR="00CE3BAD" w:rsidRPr="00782BF9" w:rsidRDefault="006B5475">
            <w:pPr>
              <w:pStyle w:val="P68B1DB1-Normal29"/>
              <w:spacing w:after="0" w:line="240" w:lineRule="auto"/>
              <w:rPr>
                <w:noProof/>
                <w:lang w:val="bg-BG"/>
              </w:rPr>
            </w:pPr>
            <w:r w:rsidRPr="00782BF9">
              <w:rPr>
                <w:noProof/>
                <w:lang w:val="bg-BG"/>
              </w:rPr>
              <w:t>C9.R34 Цифрова трансформация на процедурите за спазване на данъчното законодателство</w:t>
            </w:r>
          </w:p>
        </w:tc>
        <w:tc>
          <w:tcPr>
            <w:tcW w:w="1164" w:type="dxa"/>
            <w:tcBorders>
              <w:top w:val="nil"/>
              <w:left w:val="nil"/>
              <w:bottom w:val="single" w:sz="4" w:space="0" w:color="auto"/>
              <w:right w:val="single" w:sz="4" w:space="0" w:color="auto"/>
            </w:tcBorders>
            <w:shd w:val="clear" w:color="000000" w:fill="C6EFCE"/>
            <w:vAlign w:val="center"/>
          </w:tcPr>
          <w:p w14:paraId="0B1A8B9B"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46A73FB"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 за въвеждане на решението за ePayroll</w:t>
            </w:r>
          </w:p>
        </w:tc>
      </w:tr>
      <w:tr w:rsidR="00CE3BAD" w:rsidRPr="00782BF9" w14:paraId="7AD006D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1131131" w14:textId="77777777" w:rsidR="00CE3BAD" w:rsidRPr="00782BF9" w:rsidRDefault="006B5475">
            <w:pPr>
              <w:pStyle w:val="P68B1DB1-Normal29"/>
              <w:spacing w:after="0" w:line="240" w:lineRule="auto"/>
              <w:rPr>
                <w:noProof/>
                <w:lang w:val="bg-BG"/>
              </w:rPr>
            </w:pPr>
            <w:r w:rsidRPr="00782BF9">
              <w:rPr>
                <w:noProof/>
                <w:lang w:val="bg-BG"/>
              </w:rPr>
              <w:t>269</w:t>
            </w:r>
          </w:p>
        </w:tc>
        <w:tc>
          <w:tcPr>
            <w:tcW w:w="3120" w:type="dxa"/>
            <w:tcBorders>
              <w:top w:val="nil"/>
              <w:left w:val="nil"/>
              <w:bottom w:val="single" w:sz="4" w:space="0" w:color="auto"/>
              <w:right w:val="single" w:sz="4" w:space="0" w:color="auto"/>
            </w:tcBorders>
            <w:shd w:val="clear" w:color="000000" w:fill="C6EFCE"/>
            <w:vAlign w:val="center"/>
          </w:tcPr>
          <w:p w14:paraId="338776FE" w14:textId="77777777" w:rsidR="00CE3BAD" w:rsidRPr="00782BF9" w:rsidRDefault="006B5475">
            <w:pPr>
              <w:pStyle w:val="P68B1DB1-Normal29"/>
              <w:spacing w:after="0" w:line="240" w:lineRule="auto"/>
              <w:rPr>
                <w:noProof/>
                <w:lang w:val="bg-BG"/>
              </w:rPr>
            </w:pPr>
            <w:r w:rsidRPr="00782BF9">
              <w:rPr>
                <w:noProof/>
                <w:lang w:val="bg-BG"/>
              </w:rPr>
              <w:t>C9.R38 Подобряване на ефективността на публичните разходи чрез извършване на прегледи на разходите</w:t>
            </w:r>
          </w:p>
        </w:tc>
        <w:tc>
          <w:tcPr>
            <w:tcW w:w="1164" w:type="dxa"/>
            <w:tcBorders>
              <w:top w:val="nil"/>
              <w:left w:val="nil"/>
              <w:bottom w:val="single" w:sz="4" w:space="0" w:color="auto"/>
              <w:right w:val="single" w:sz="4" w:space="0" w:color="auto"/>
            </w:tcBorders>
            <w:shd w:val="clear" w:color="000000" w:fill="C6EFCE"/>
            <w:vAlign w:val="center"/>
          </w:tcPr>
          <w:p w14:paraId="6EECC137"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BBD5E1C" w14:textId="77777777" w:rsidR="00CE3BAD" w:rsidRPr="00782BF9" w:rsidRDefault="006B5475">
            <w:pPr>
              <w:pStyle w:val="P68B1DB1-Normal29"/>
              <w:spacing w:after="0" w:line="240" w:lineRule="auto"/>
              <w:rPr>
                <w:noProof/>
                <w:lang w:val="bg-BG"/>
              </w:rPr>
            </w:pPr>
            <w:r w:rsidRPr="00782BF9">
              <w:rPr>
                <w:noProof/>
                <w:lang w:val="bg-BG"/>
              </w:rPr>
              <w:t>Доклади за резултатите от третия и четвъртия преглед на разходите</w:t>
            </w:r>
          </w:p>
        </w:tc>
      </w:tr>
      <w:tr w:rsidR="00CE3BAD" w:rsidRPr="00782BF9" w14:paraId="541AD89B" w14:textId="77777777">
        <w:tblPrEx>
          <w:tblCellMar>
            <w:top w:w="0" w:type="dxa"/>
          </w:tblCellMar>
        </w:tblPrEx>
        <w:trPr>
          <w:trHeight w:val="460"/>
        </w:trPr>
        <w:tc>
          <w:tcPr>
            <w:tcW w:w="5522" w:type="dxa"/>
            <w:gridSpan w:val="3"/>
            <w:tcBorders>
              <w:top w:val="nil"/>
              <w:left w:val="single" w:sz="4" w:space="0" w:color="auto"/>
              <w:bottom w:val="single" w:sz="4" w:space="0" w:color="auto"/>
              <w:right w:val="single" w:sz="4" w:space="0" w:color="auto"/>
            </w:tcBorders>
            <w:shd w:val="clear" w:color="000000" w:fill="C6EFCE"/>
            <w:vAlign w:val="center"/>
          </w:tcPr>
          <w:p w14:paraId="19A3B942"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nil"/>
              <w:left w:val="nil"/>
              <w:bottom w:val="single" w:sz="4" w:space="0" w:color="auto"/>
              <w:right w:val="single" w:sz="4" w:space="0" w:color="auto"/>
            </w:tcBorders>
            <w:shd w:val="clear" w:color="000000" w:fill="C6EFCE"/>
            <w:vAlign w:val="center"/>
          </w:tcPr>
          <w:p w14:paraId="3906C75C" w14:textId="77777777" w:rsidR="00CE3BAD" w:rsidRPr="00782BF9" w:rsidRDefault="006B5475">
            <w:pPr>
              <w:pStyle w:val="P68B1DB1-Normal29"/>
              <w:spacing w:after="0" w:line="240" w:lineRule="auto"/>
              <w:jc w:val="center"/>
              <w:rPr>
                <w:noProof/>
                <w:lang w:val="bg-BG"/>
              </w:rPr>
            </w:pPr>
            <w:r w:rsidRPr="00782BF9">
              <w:rPr>
                <w:noProof/>
                <w:lang w:val="bg-BG"/>
              </w:rPr>
              <w:t>424 220 000 EUR</w:t>
            </w:r>
          </w:p>
        </w:tc>
      </w:tr>
    </w:tbl>
    <w:p w14:paraId="24F49764"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56608C14" w14:textId="77777777" w:rsidR="00CE3BAD" w:rsidRPr="00782BF9" w:rsidRDefault="006B5475">
      <w:pPr>
        <w:pStyle w:val="P68B1DB1-ListParagraph27"/>
        <w:numPr>
          <w:ilvl w:val="1"/>
          <w:numId w:val="16"/>
        </w:numPr>
        <w:spacing w:before="120" w:after="120" w:line="240" w:lineRule="auto"/>
        <w:jc w:val="both"/>
        <w:rPr>
          <w:noProof/>
          <w:lang w:val="bg-BG"/>
        </w:rPr>
      </w:pPr>
      <w:r w:rsidRPr="00782BF9">
        <w:rPr>
          <w:noProof/>
          <w:lang w:val="bg-BG"/>
        </w:rPr>
        <w:t>Седма вноска (безвъзмездна подкрепа):</w:t>
      </w:r>
    </w:p>
    <w:p w14:paraId="50EAB04F"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7D6EB90F" w14:textId="77777777">
        <w:trPr>
          <w:trHeight w:val="450"/>
          <w:tblHeader/>
        </w:trPr>
        <w:tc>
          <w:tcPr>
            <w:tcW w:w="1238"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567AA6C2"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3A5C3512"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7E6CD026"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2F7A2F20"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2E069693"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1BBE7DDF"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75EF8C94"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01F10F4B"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17E457BC"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532E42E1"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4DCB56A0"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0CC70E12"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4B738920"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2A60807F"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2365CB4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0C89B2A" w14:textId="77777777" w:rsidR="00CE3BAD" w:rsidRPr="00782BF9" w:rsidRDefault="006B5475">
            <w:pPr>
              <w:pStyle w:val="P68B1DB1-Normal29"/>
              <w:spacing w:after="0" w:line="240" w:lineRule="auto"/>
              <w:rPr>
                <w:noProof/>
                <w:lang w:val="bg-BG"/>
              </w:rPr>
            </w:pPr>
            <w:r w:rsidRPr="00782BF9">
              <w:rPr>
                <w:noProof/>
                <w:lang w:val="bg-BG"/>
              </w:rPr>
              <w:t>9</w:t>
            </w:r>
          </w:p>
        </w:tc>
        <w:tc>
          <w:tcPr>
            <w:tcW w:w="3120" w:type="dxa"/>
            <w:tcBorders>
              <w:top w:val="nil"/>
              <w:left w:val="nil"/>
              <w:bottom w:val="single" w:sz="4" w:space="0" w:color="auto"/>
              <w:right w:val="single" w:sz="4" w:space="0" w:color="auto"/>
            </w:tcBorders>
            <w:shd w:val="clear" w:color="000000" w:fill="C6EFCE"/>
            <w:vAlign w:val="center"/>
          </w:tcPr>
          <w:p w14:paraId="1AF5638A" w14:textId="77777777" w:rsidR="00CE3BAD" w:rsidRPr="00782BF9" w:rsidRDefault="006B5475">
            <w:pPr>
              <w:pStyle w:val="P68B1DB1-Normal29"/>
              <w:spacing w:after="0" w:line="240" w:lineRule="auto"/>
              <w:rPr>
                <w:noProof/>
                <w:lang w:val="bg-BG"/>
              </w:rPr>
            </w:pPr>
            <w:r w:rsidRPr="00782BF9">
              <w:rPr>
                <w:noProof/>
                <w:lang w:val="bg-BG"/>
              </w:rPr>
              <w:t>C1.I1 Подобряване на достъпа до качествено образование в прогимназиалния етап на основното образование</w:t>
            </w:r>
          </w:p>
        </w:tc>
        <w:tc>
          <w:tcPr>
            <w:tcW w:w="1164" w:type="dxa"/>
            <w:tcBorders>
              <w:top w:val="nil"/>
              <w:left w:val="nil"/>
              <w:bottom w:val="single" w:sz="4" w:space="0" w:color="auto"/>
              <w:right w:val="single" w:sz="4" w:space="0" w:color="auto"/>
            </w:tcBorders>
            <w:shd w:val="clear" w:color="000000" w:fill="C6EFCE"/>
            <w:vAlign w:val="center"/>
          </w:tcPr>
          <w:p w14:paraId="52F87156"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020BFAB" w14:textId="77777777" w:rsidR="00CE3BAD" w:rsidRPr="00782BF9" w:rsidRDefault="006B5475">
            <w:pPr>
              <w:pStyle w:val="P68B1DB1-Normal29"/>
              <w:spacing w:after="0" w:line="240" w:lineRule="auto"/>
              <w:rPr>
                <w:noProof/>
                <w:lang w:val="bg-BG"/>
              </w:rPr>
            </w:pPr>
            <w:r w:rsidRPr="00782BF9">
              <w:rPr>
                <w:noProof/>
                <w:lang w:val="bg-BG"/>
              </w:rPr>
              <w:t>Осъществяване на допълнителни институционални реорганизации за интегриране на малки прогимназиални класове в по-големи училища в съседните населени места</w:t>
            </w:r>
          </w:p>
        </w:tc>
      </w:tr>
      <w:tr w:rsidR="00CE3BAD" w:rsidRPr="00782BF9" w14:paraId="57DC7ED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3343990" w14:textId="77777777" w:rsidR="00CE3BAD" w:rsidRPr="00782BF9" w:rsidRDefault="006B5475">
            <w:pPr>
              <w:pStyle w:val="P68B1DB1-Normal29"/>
              <w:spacing w:after="0" w:line="240" w:lineRule="auto"/>
              <w:rPr>
                <w:noProof/>
                <w:lang w:val="bg-BG"/>
              </w:rPr>
            </w:pPr>
            <w:r w:rsidRPr="00782BF9">
              <w:rPr>
                <w:noProof/>
                <w:lang w:val="bg-BG"/>
              </w:rPr>
              <w:t>15</w:t>
            </w:r>
          </w:p>
        </w:tc>
        <w:tc>
          <w:tcPr>
            <w:tcW w:w="3120" w:type="dxa"/>
            <w:tcBorders>
              <w:top w:val="nil"/>
              <w:left w:val="nil"/>
              <w:bottom w:val="single" w:sz="4" w:space="0" w:color="auto"/>
              <w:right w:val="single" w:sz="4" w:space="0" w:color="auto"/>
            </w:tcBorders>
            <w:shd w:val="clear" w:color="000000" w:fill="C6EFCE"/>
            <w:vAlign w:val="center"/>
          </w:tcPr>
          <w:p w14:paraId="559109D3" w14:textId="77777777" w:rsidR="00CE3BAD" w:rsidRPr="00782BF9" w:rsidRDefault="006B5475">
            <w:pPr>
              <w:pStyle w:val="P68B1DB1-Normal29"/>
              <w:spacing w:after="0" w:line="240" w:lineRule="auto"/>
              <w:rPr>
                <w:noProof/>
                <w:lang w:val="bg-BG"/>
              </w:rPr>
            </w:pPr>
            <w:r w:rsidRPr="00782BF9">
              <w:rPr>
                <w:noProof/>
                <w:lang w:val="bg-BG"/>
              </w:rPr>
              <w:t>C1.R2 Намаляване на риска от сегрегация в училищата</w:t>
            </w:r>
          </w:p>
        </w:tc>
        <w:tc>
          <w:tcPr>
            <w:tcW w:w="1164" w:type="dxa"/>
            <w:tcBorders>
              <w:top w:val="nil"/>
              <w:left w:val="nil"/>
              <w:bottom w:val="single" w:sz="4" w:space="0" w:color="auto"/>
              <w:right w:val="single" w:sz="4" w:space="0" w:color="auto"/>
            </w:tcBorders>
            <w:shd w:val="clear" w:color="000000" w:fill="C6EFCE"/>
            <w:vAlign w:val="center"/>
          </w:tcPr>
          <w:p w14:paraId="3832CC8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FDE2274" w14:textId="77777777" w:rsidR="00CE3BAD" w:rsidRPr="00782BF9" w:rsidRDefault="006B5475">
            <w:pPr>
              <w:pStyle w:val="P68B1DB1-Normal29"/>
              <w:spacing w:after="0" w:line="240" w:lineRule="auto"/>
              <w:rPr>
                <w:noProof/>
                <w:lang w:val="bg-BG"/>
              </w:rPr>
            </w:pPr>
            <w:r w:rsidRPr="00782BF9">
              <w:rPr>
                <w:noProof/>
                <w:lang w:val="bg-BG"/>
              </w:rPr>
              <w:t>Доклад относно прилагането на новото законодателство, предвиждащо намаляване на държавната подкрепа за началните и прогимназиалните училища с нисък дял на ученици в неравностойно положение</w:t>
            </w:r>
          </w:p>
        </w:tc>
      </w:tr>
      <w:tr w:rsidR="00CE3BAD" w:rsidRPr="00782BF9" w14:paraId="7AE2604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0FA57D1" w14:textId="77777777" w:rsidR="00CE3BAD" w:rsidRPr="00782BF9" w:rsidRDefault="006B5475">
            <w:pPr>
              <w:pStyle w:val="P68B1DB1-Normal29"/>
              <w:spacing w:after="0" w:line="240" w:lineRule="auto"/>
              <w:rPr>
                <w:noProof/>
                <w:lang w:val="bg-BG"/>
              </w:rPr>
            </w:pPr>
            <w:r w:rsidRPr="00782BF9">
              <w:rPr>
                <w:noProof/>
                <w:lang w:val="bg-BG"/>
              </w:rPr>
              <w:t>25</w:t>
            </w:r>
          </w:p>
        </w:tc>
        <w:tc>
          <w:tcPr>
            <w:tcW w:w="3120" w:type="dxa"/>
            <w:tcBorders>
              <w:top w:val="nil"/>
              <w:left w:val="nil"/>
              <w:bottom w:val="single" w:sz="4" w:space="0" w:color="auto"/>
              <w:right w:val="single" w:sz="4" w:space="0" w:color="auto"/>
            </w:tcBorders>
            <w:shd w:val="clear" w:color="000000" w:fill="C6EFCE"/>
            <w:vAlign w:val="center"/>
          </w:tcPr>
          <w:p w14:paraId="5F07CDBB" w14:textId="77777777" w:rsidR="00CE3BAD" w:rsidRPr="00782BF9" w:rsidRDefault="006B5475">
            <w:pPr>
              <w:pStyle w:val="P68B1DB1-Normal29"/>
              <w:spacing w:after="0" w:line="240" w:lineRule="auto"/>
              <w:rPr>
                <w:noProof/>
                <w:lang w:val="bg-BG"/>
              </w:rPr>
            </w:pPr>
            <w:r w:rsidRPr="00782BF9">
              <w:rPr>
                <w:noProof/>
                <w:lang w:val="bg-BG"/>
              </w:rPr>
              <w:t>C1.I4 Създаване на нови детски ясли</w:t>
            </w:r>
          </w:p>
        </w:tc>
        <w:tc>
          <w:tcPr>
            <w:tcW w:w="1164" w:type="dxa"/>
            <w:tcBorders>
              <w:top w:val="nil"/>
              <w:left w:val="nil"/>
              <w:bottom w:val="single" w:sz="4" w:space="0" w:color="auto"/>
              <w:right w:val="single" w:sz="4" w:space="0" w:color="auto"/>
            </w:tcBorders>
            <w:shd w:val="clear" w:color="000000" w:fill="C6EFCE"/>
            <w:vAlign w:val="center"/>
          </w:tcPr>
          <w:p w14:paraId="496C72D9"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07EC898" w14:textId="77777777" w:rsidR="00CE3BAD" w:rsidRPr="00782BF9" w:rsidRDefault="006B5475">
            <w:pPr>
              <w:pStyle w:val="P68B1DB1-Normal29"/>
              <w:spacing w:after="0" w:line="240" w:lineRule="auto"/>
              <w:rPr>
                <w:noProof/>
                <w:lang w:val="bg-BG"/>
              </w:rPr>
            </w:pPr>
            <w:r w:rsidRPr="00782BF9">
              <w:rPr>
                <w:noProof/>
                <w:lang w:val="bg-BG"/>
              </w:rPr>
              <w:t>Брой на допълнителните деца, записани в новосъздадени детски ясли</w:t>
            </w:r>
          </w:p>
        </w:tc>
      </w:tr>
      <w:tr w:rsidR="00CE3BAD" w:rsidRPr="00782BF9" w14:paraId="7187A0F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994AE07" w14:textId="77777777" w:rsidR="00CE3BAD" w:rsidRPr="00782BF9" w:rsidRDefault="006B5475">
            <w:pPr>
              <w:pStyle w:val="P68B1DB1-Normal29"/>
              <w:spacing w:after="0" w:line="240" w:lineRule="auto"/>
              <w:rPr>
                <w:noProof/>
                <w:lang w:val="bg-BG"/>
              </w:rPr>
            </w:pPr>
            <w:r w:rsidRPr="00782BF9">
              <w:rPr>
                <w:noProof/>
                <w:lang w:val="bg-BG"/>
              </w:rPr>
              <w:t>40</w:t>
            </w:r>
          </w:p>
        </w:tc>
        <w:tc>
          <w:tcPr>
            <w:tcW w:w="3120" w:type="dxa"/>
            <w:tcBorders>
              <w:top w:val="nil"/>
              <w:left w:val="nil"/>
              <w:bottom w:val="single" w:sz="4" w:space="0" w:color="auto"/>
              <w:right w:val="single" w:sz="4" w:space="0" w:color="auto"/>
            </w:tcBorders>
            <w:shd w:val="clear" w:color="000000" w:fill="C6EFCE"/>
            <w:vAlign w:val="center"/>
          </w:tcPr>
          <w:p w14:paraId="37E536C2" w14:textId="77777777" w:rsidR="00CE3BAD" w:rsidRPr="00782BF9" w:rsidRDefault="006B5475">
            <w:pPr>
              <w:pStyle w:val="P68B1DB1-Normal29"/>
              <w:spacing w:after="0" w:line="240" w:lineRule="auto"/>
              <w:rPr>
                <w:noProof/>
                <w:lang w:val="bg-BG"/>
              </w:rPr>
            </w:pPr>
            <w:r w:rsidRPr="00782BF9">
              <w:rPr>
                <w:noProof/>
                <w:lang w:val="bg-BG"/>
              </w:rPr>
              <w:t>C2.I3 Разработване на цифрови учебни програми за професионално образование и обучение</w:t>
            </w:r>
          </w:p>
        </w:tc>
        <w:tc>
          <w:tcPr>
            <w:tcW w:w="1164" w:type="dxa"/>
            <w:tcBorders>
              <w:top w:val="nil"/>
              <w:left w:val="nil"/>
              <w:bottom w:val="single" w:sz="4" w:space="0" w:color="auto"/>
              <w:right w:val="single" w:sz="4" w:space="0" w:color="auto"/>
            </w:tcBorders>
            <w:shd w:val="clear" w:color="000000" w:fill="C6EFCE"/>
            <w:vAlign w:val="center"/>
          </w:tcPr>
          <w:p w14:paraId="6F727FC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69BC956" w14:textId="77777777" w:rsidR="00CE3BAD" w:rsidRPr="00782BF9" w:rsidRDefault="006B5475">
            <w:pPr>
              <w:pStyle w:val="P68B1DB1-Normal29"/>
              <w:spacing w:after="0" w:line="240" w:lineRule="auto"/>
              <w:rPr>
                <w:noProof/>
                <w:lang w:val="bg-BG"/>
              </w:rPr>
            </w:pPr>
            <w:r w:rsidRPr="00782BF9">
              <w:rPr>
                <w:noProof/>
                <w:lang w:val="bg-BG"/>
              </w:rPr>
              <w:t>Брой на цифровите учебни материали, разработени за целите на професионалното образование и обучение</w:t>
            </w:r>
          </w:p>
        </w:tc>
      </w:tr>
      <w:tr w:rsidR="00CE3BAD" w:rsidRPr="00782BF9" w14:paraId="578EF3B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B36EA76" w14:textId="77777777" w:rsidR="00CE3BAD" w:rsidRPr="00782BF9" w:rsidRDefault="006B5475">
            <w:pPr>
              <w:pStyle w:val="P68B1DB1-Normal29"/>
              <w:spacing w:after="0" w:line="240" w:lineRule="auto"/>
              <w:rPr>
                <w:noProof/>
                <w:lang w:val="bg-BG"/>
              </w:rPr>
            </w:pPr>
            <w:r w:rsidRPr="00782BF9">
              <w:rPr>
                <w:noProof/>
                <w:lang w:val="bg-BG"/>
              </w:rPr>
              <w:t>58</w:t>
            </w:r>
          </w:p>
        </w:tc>
        <w:tc>
          <w:tcPr>
            <w:tcW w:w="3120" w:type="dxa"/>
            <w:tcBorders>
              <w:top w:val="nil"/>
              <w:left w:val="nil"/>
              <w:bottom w:val="single" w:sz="4" w:space="0" w:color="auto"/>
              <w:right w:val="single" w:sz="4" w:space="0" w:color="auto"/>
            </w:tcBorders>
            <w:shd w:val="clear" w:color="000000" w:fill="C6EFCE"/>
            <w:vAlign w:val="center"/>
          </w:tcPr>
          <w:p w14:paraId="04CD9CB1" w14:textId="77777777" w:rsidR="00CE3BAD" w:rsidRPr="00782BF9" w:rsidRDefault="006B5475">
            <w:pPr>
              <w:pStyle w:val="P68B1DB1-Normal29"/>
              <w:spacing w:after="0" w:line="240" w:lineRule="auto"/>
              <w:rPr>
                <w:noProof/>
                <w:lang w:val="bg-BG"/>
              </w:rPr>
            </w:pPr>
            <w:r w:rsidRPr="00782BF9">
              <w:rPr>
                <w:noProof/>
                <w:lang w:val="bg-BG"/>
              </w:rPr>
              <w:t>C3.I2 Производство и използване на енергия от възобновяеми източници в общини в неравностойно положение</w:t>
            </w:r>
          </w:p>
        </w:tc>
        <w:tc>
          <w:tcPr>
            <w:tcW w:w="1164" w:type="dxa"/>
            <w:tcBorders>
              <w:top w:val="nil"/>
              <w:left w:val="nil"/>
              <w:bottom w:val="single" w:sz="4" w:space="0" w:color="auto"/>
              <w:right w:val="single" w:sz="4" w:space="0" w:color="auto"/>
            </w:tcBorders>
            <w:shd w:val="clear" w:color="000000" w:fill="C6EFCE"/>
            <w:vAlign w:val="center"/>
          </w:tcPr>
          <w:p w14:paraId="5F00F476"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2AF3B9E" w14:textId="77777777" w:rsidR="00CE3BAD" w:rsidRPr="00782BF9" w:rsidRDefault="006B5475">
            <w:pPr>
              <w:pStyle w:val="P68B1DB1-Normal29"/>
              <w:spacing w:after="0" w:line="240" w:lineRule="auto"/>
              <w:rPr>
                <w:noProof/>
                <w:lang w:val="bg-BG"/>
              </w:rPr>
            </w:pPr>
            <w:r w:rsidRPr="00782BF9">
              <w:rPr>
                <w:noProof/>
                <w:lang w:val="bg-BG"/>
              </w:rPr>
              <w:t>Инсталиране на допълнителен капацитет за производство на енергия от възобновяеми източници във или в полза на общини в неравностойно положение</w:t>
            </w:r>
          </w:p>
        </w:tc>
      </w:tr>
      <w:tr w:rsidR="00CE3BAD" w:rsidRPr="00782BF9" w14:paraId="266BD4A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227983B" w14:textId="77777777" w:rsidR="00CE3BAD" w:rsidRPr="00782BF9" w:rsidRDefault="006B5475">
            <w:pPr>
              <w:pStyle w:val="P68B1DB1-Normal29"/>
              <w:spacing w:after="0" w:line="240" w:lineRule="auto"/>
              <w:rPr>
                <w:noProof/>
                <w:lang w:val="bg-BG"/>
              </w:rPr>
            </w:pPr>
            <w:r w:rsidRPr="00782BF9">
              <w:rPr>
                <w:noProof/>
                <w:lang w:val="bg-BG"/>
              </w:rPr>
              <w:t>65</w:t>
            </w:r>
          </w:p>
        </w:tc>
        <w:tc>
          <w:tcPr>
            <w:tcW w:w="3120" w:type="dxa"/>
            <w:tcBorders>
              <w:top w:val="nil"/>
              <w:left w:val="nil"/>
              <w:bottom w:val="single" w:sz="4" w:space="0" w:color="auto"/>
              <w:right w:val="single" w:sz="4" w:space="0" w:color="auto"/>
            </w:tcBorders>
            <w:shd w:val="clear" w:color="000000" w:fill="C6EFCE"/>
            <w:vAlign w:val="center"/>
          </w:tcPr>
          <w:p w14:paraId="6407DB7C" w14:textId="77777777" w:rsidR="00CE3BAD" w:rsidRPr="00782BF9" w:rsidRDefault="006B5475">
            <w:pPr>
              <w:pStyle w:val="P68B1DB1-Normal29"/>
              <w:spacing w:after="0" w:line="240" w:lineRule="auto"/>
              <w:rPr>
                <w:noProof/>
                <w:lang w:val="bg-BG"/>
              </w:rPr>
            </w:pPr>
            <w:r w:rsidRPr="00782BF9">
              <w:rPr>
                <w:noProof/>
                <w:lang w:val="bg-BG"/>
              </w:rPr>
              <w:t>C4.R1 Повишаване на осведомеността</w:t>
            </w:r>
          </w:p>
        </w:tc>
        <w:tc>
          <w:tcPr>
            <w:tcW w:w="1164" w:type="dxa"/>
            <w:tcBorders>
              <w:top w:val="nil"/>
              <w:left w:val="nil"/>
              <w:bottom w:val="single" w:sz="4" w:space="0" w:color="auto"/>
              <w:right w:val="single" w:sz="4" w:space="0" w:color="auto"/>
            </w:tcBorders>
            <w:shd w:val="clear" w:color="000000" w:fill="C6EFCE"/>
            <w:vAlign w:val="center"/>
          </w:tcPr>
          <w:p w14:paraId="1C7C0BE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DE146F4" w14:textId="77777777" w:rsidR="00CE3BAD" w:rsidRPr="00782BF9" w:rsidRDefault="006B5475">
            <w:pPr>
              <w:pStyle w:val="P68B1DB1-Normal29"/>
              <w:spacing w:after="0" w:line="240" w:lineRule="auto"/>
              <w:rPr>
                <w:noProof/>
                <w:lang w:val="bg-BG"/>
              </w:rPr>
            </w:pPr>
            <w:r w:rsidRPr="00782BF9">
              <w:rPr>
                <w:noProof/>
                <w:lang w:val="bg-BG"/>
              </w:rPr>
              <w:t xml:space="preserve">Организиране на информационни сесии </w:t>
            </w:r>
          </w:p>
        </w:tc>
      </w:tr>
      <w:tr w:rsidR="00CE3BAD" w:rsidRPr="00782BF9" w14:paraId="14685EA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1CA1EF4" w14:textId="77777777" w:rsidR="00CE3BAD" w:rsidRPr="00782BF9" w:rsidRDefault="006B5475">
            <w:pPr>
              <w:pStyle w:val="P68B1DB1-Normal29"/>
              <w:spacing w:after="0" w:line="240" w:lineRule="auto"/>
              <w:rPr>
                <w:noProof/>
                <w:lang w:val="bg-BG"/>
              </w:rPr>
            </w:pPr>
            <w:r w:rsidRPr="00782BF9">
              <w:rPr>
                <w:noProof/>
                <w:lang w:val="bg-BG"/>
              </w:rPr>
              <w:t>67</w:t>
            </w:r>
          </w:p>
        </w:tc>
        <w:tc>
          <w:tcPr>
            <w:tcW w:w="3120" w:type="dxa"/>
            <w:tcBorders>
              <w:top w:val="nil"/>
              <w:left w:val="nil"/>
              <w:bottom w:val="single" w:sz="4" w:space="0" w:color="auto"/>
              <w:right w:val="single" w:sz="4" w:space="0" w:color="auto"/>
            </w:tcBorders>
            <w:shd w:val="clear" w:color="000000" w:fill="C6EFCE"/>
            <w:vAlign w:val="center"/>
          </w:tcPr>
          <w:p w14:paraId="12123C07" w14:textId="77777777" w:rsidR="00CE3BAD" w:rsidRPr="00782BF9" w:rsidRDefault="006B5475">
            <w:pPr>
              <w:pStyle w:val="P68B1DB1-Normal29"/>
              <w:spacing w:after="0" w:line="240" w:lineRule="auto"/>
              <w:rPr>
                <w:noProof/>
                <w:lang w:val="bg-BG"/>
              </w:rPr>
            </w:pPr>
            <w:r w:rsidRPr="00782BF9">
              <w:rPr>
                <w:noProof/>
                <w:lang w:val="bg-BG"/>
              </w:rPr>
              <w:t>C4.I3 — Опазване на природата</w:t>
            </w:r>
          </w:p>
        </w:tc>
        <w:tc>
          <w:tcPr>
            <w:tcW w:w="1164" w:type="dxa"/>
            <w:tcBorders>
              <w:top w:val="nil"/>
              <w:left w:val="nil"/>
              <w:bottom w:val="single" w:sz="4" w:space="0" w:color="auto"/>
              <w:right w:val="single" w:sz="4" w:space="0" w:color="auto"/>
            </w:tcBorders>
            <w:shd w:val="clear" w:color="000000" w:fill="C6EFCE"/>
            <w:vAlign w:val="center"/>
          </w:tcPr>
          <w:p w14:paraId="609593A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54EA04C" w14:textId="7AC75311" w:rsidR="00CE3BAD" w:rsidRPr="00782BF9" w:rsidRDefault="006B5475">
            <w:pPr>
              <w:pStyle w:val="P68B1DB1-Normal29"/>
              <w:spacing w:after="0" w:line="240" w:lineRule="auto"/>
              <w:rPr>
                <w:noProof/>
                <w:lang w:val="bg-BG"/>
              </w:rPr>
            </w:pPr>
            <w:r w:rsidRPr="00782BF9">
              <w:rPr>
                <w:noProof/>
                <w:lang w:val="bg-BG"/>
              </w:rPr>
              <w:t xml:space="preserve">Постигане на добро екологично състояние на повърхностните и подземните водни тела, засегнати от инвестиции 3. </w:t>
            </w:r>
          </w:p>
        </w:tc>
      </w:tr>
      <w:tr w:rsidR="00CE3BAD" w:rsidRPr="00782BF9" w14:paraId="279B934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303D462" w14:textId="77777777" w:rsidR="00CE3BAD" w:rsidRPr="00782BF9" w:rsidRDefault="006B5475">
            <w:pPr>
              <w:pStyle w:val="P68B1DB1-Normal29"/>
              <w:spacing w:after="0" w:line="240" w:lineRule="auto"/>
              <w:rPr>
                <w:noProof/>
                <w:lang w:val="bg-BG"/>
              </w:rPr>
            </w:pPr>
            <w:r w:rsidRPr="00782BF9">
              <w:rPr>
                <w:noProof/>
                <w:lang w:val="bg-BG"/>
              </w:rPr>
              <w:t>73</w:t>
            </w:r>
          </w:p>
        </w:tc>
        <w:tc>
          <w:tcPr>
            <w:tcW w:w="3120" w:type="dxa"/>
            <w:tcBorders>
              <w:top w:val="nil"/>
              <w:left w:val="nil"/>
              <w:bottom w:val="single" w:sz="4" w:space="0" w:color="auto"/>
              <w:right w:val="single" w:sz="4" w:space="0" w:color="auto"/>
            </w:tcBorders>
            <w:shd w:val="clear" w:color="000000" w:fill="C6EFCE"/>
            <w:vAlign w:val="center"/>
          </w:tcPr>
          <w:p w14:paraId="44F7716B" w14:textId="77777777" w:rsidR="00CE3BAD" w:rsidRPr="00782BF9" w:rsidRDefault="006B5475">
            <w:pPr>
              <w:pStyle w:val="P68B1DB1-Normal29"/>
              <w:spacing w:after="0" w:line="240" w:lineRule="auto"/>
              <w:rPr>
                <w:noProof/>
                <w:lang w:val="bg-BG"/>
              </w:rPr>
            </w:pPr>
            <w:r w:rsidRPr="00782BF9">
              <w:rPr>
                <w:noProof/>
                <w:lang w:val="bg-BG"/>
              </w:rPr>
              <w:t>C4.I2 Създаване на система за мониторинг</w:t>
            </w:r>
          </w:p>
        </w:tc>
        <w:tc>
          <w:tcPr>
            <w:tcW w:w="1164" w:type="dxa"/>
            <w:tcBorders>
              <w:top w:val="nil"/>
              <w:left w:val="nil"/>
              <w:bottom w:val="single" w:sz="4" w:space="0" w:color="auto"/>
              <w:right w:val="single" w:sz="4" w:space="0" w:color="auto"/>
            </w:tcBorders>
            <w:shd w:val="clear" w:color="000000" w:fill="C6EFCE"/>
            <w:vAlign w:val="center"/>
          </w:tcPr>
          <w:p w14:paraId="63C6EA17"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10F6B7D" w14:textId="77777777" w:rsidR="00CE3BAD" w:rsidRPr="00782BF9" w:rsidRDefault="006B5475">
            <w:pPr>
              <w:pStyle w:val="P68B1DB1-Normal29"/>
              <w:spacing w:after="0" w:line="240" w:lineRule="auto"/>
              <w:rPr>
                <w:noProof/>
                <w:lang w:val="bg-BG"/>
              </w:rPr>
            </w:pPr>
            <w:r w:rsidRPr="00782BF9">
              <w:rPr>
                <w:noProof/>
                <w:lang w:val="bg-BG"/>
              </w:rPr>
              <w:t xml:space="preserve">Цялостна система за мониторинг на национално равнище </w:t>
            </w:r>
          </w:p>
        </w:tc>
      </w:tr>
      <w:tr w:rsidR="00CE3BAD" w:rsidRPr="00782BF9" w14:paraId="0A85C78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66D9762" w14:textId="77777777" w:rsidR="00CE3BAD" w:rsidRPr="00782BF9" w:rsidRDefault="006B5475">
            <w:pPr>
              <w:pStyle w:val="P68B1DB1-Normal29"/>
              <w:spacing w:after="0" w:line="240" w:lineRule="auto"/>
              <w:rPr>
                <w:noProof/>
                <w:lang w:val="bg-BG"/>
              </w:rPr>
            </w:pPr>
            <w:r w:rsidRPr="00782BF9">
              <w:rPr>
                <w:noProof/>
                <w:lang w:val="bg-BG"/>
              </w:rPr>
              <w:t>74</w:t>
            </w:r>
          </w:p>
        </w:tc>
        <w:tc>
          <w:tcPr>
            <w:tcW w:w="3120" w:type="dxa"/>
            <w:tcBorders>
              <w:top w:val="nil"/>
              <w:left w:val="nil"/>
              <w:bottom w:val="single" w:sz="4" w:space="0" w:color="auto"/>
              <w:right w:val="single" w:sz="4" w:space="0" w:color="auto"/>
            </w:tcBorders>
            <w:shd w:val="clear" w:color="000000" w:fill="C6EFCE"/>
            <w:vAlign w:val="center"/>
          </w:tcPr>
          <w:p w14:paraId="055551DD" w14:textId="77777777" w:rsidR="00CE3BAD" w:rsidRPr="00782BF9" w:rsidRDefault="006B5475">
            <w:pPr>
              <w:pStyle w:val="P68B1DB1-Normal29"/>
              <w:spacing w:after="0" w:line="240" w:lineRule="auto"/>
              <w:rPr>
                <w:noProof/>
                <w:lang w:val="bg-BG"/>
              </w:rPr>
            </w:pPr>
            <w:r w:rsidRPr="00782BF9">
              <w:rPr>
                <w:noProof/>
                <w:lang w:val="bg-BG"/>
              </w:rPr>
              <w:t xml:space="preserve">C4.I2 Създаване на система за мониторинг </w:t>
            </w:r>
          </w:p>
        </w:tc>
        <w:tc>
          <w:tcPr>
            <w:tcW w:w="1164" w:type="dxa"/>
            <w:tcBorders>
              <w:top w:val="nil"/>
              <w:left w:val="nil"/>
              <w:bottom w:val="single" w:sz="4" w:space="0" w:color="auto"/>
              <w:right w:val="single" w:sz="4" w:space="0" w:color="auto"/>
            </w:tcBorders>
            <w:shd w:val="clear" w:color="000000" w:fill="C6EFCE"/>
            <w:vAlign w:val="center"/>
          </w:tcPr>
          <w:p w14:paraId="353234CC"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622041B6" w14:textId="77777777" w:rsidR="00CE3BAD" w:rsidRPr="00782BF9" w:rsidRDefault="006B5475">
            <w:pPr>
              <w:pStyle w:val="P68B1DB1-Normal29"/>
              <w:spacing w:after="0" w:line="240" w:lineRule="auto"/>
              <w:rPr>
                <w:noProof/>
                <w:lang w:val="bg-BG"/>
              </w:rPr>
            </w:pPr>
            <w:r w:rsidRPr="00782BF9">
              <w:rPr>
                <w:noProof/>
                <w:lang w:val="bg-BG"/>
              </w:rPr>
              <w:t xml:space="preserve">Разработване на всеобхватна система за мониторинг на национално равнище </w:t>
            </w:r>
          </w:p>
        </w:tc>
      </w:tr>
      <w:tr w:rsidR="00CE3BAD" w:rsidRPr="00782BF9" w14:paraId="55C8A9A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9442271" w14:textId="77777777" w:rsidR="00CE3BAD" w:rsidRPr="00782BF9" w:rsidRDefault="006B5475">
            <w:pPr>
              <w:pStyle w:val="P68B1DB1-Normal29"/>
              <w:spacing w:after="0" w:line="240" w:lineRule="auto"/>
              <w:rPr>
                <w:noProof/>
                <w:lang w:val="bg-BG"/>
              </w:rPr>
            </w:pPr>
            <w:r w:rsidRPr="00782BF9">
              <w:rPr>
                <w:noProof/>
                <w:lang w:val="bg-BG"/>
              </w:rPr>
              <w:t>81</w:t>
            </w:r>
          </w:p>
        </w:tc>
        <w:tc>
          <w:tcPr>
            <w:tcW w:w="3120" w:type="dxa"/>
            <w:tcBorders>
              <w:top w:val="nil"/>
              <w:left w:val="nil"/>
              <w:bottom w:val="single" w:sz="4" w:space="0" w:color="auto"/>
              <w:right w:val="single" w:sz="4" w:space="0" w:color="auto"/>
            </w:tcBorders>
            <w:shd w:val="clear" w:color="000000" w:fill="C6EFCE"/>
            <w:vAlign w:val="center"/>
          </w:tcPr>
          <w:p w14:paraId="55EA1CD2" w14:textId="77777777" w:rsidR="00CE3BAD" w:rsidRPr="00782BF9" w:rsidRDefault="006B5475">
            <w:pPr>
              <w:pStyle w:val="P68B1DB1-Normal29"/>
              <w:spacing w:after="0" w:line="240" w:lineRule="auto"/>
              <w:rPr>
                <w:noProof/>
                <w:lang w:val="bg-BG"/>
              </w:rPr>
            </w:pPr>
            <w:r w:rsidRPr="00782BF9">
              <w:rPr>
                <w:noProof/>
                <w:lang w:val="bg-BG"/>
              </w:rPr>
              <w:t>C5.I1 Изграждане на капацитет на крайградската железопътна мрежа</w:t>
            </w:r>
          </w:p>
        </w:tc>
        <w:tc>
          <w:tcPr>
            <w:tcW w:w="1164" w:type="dxa"/>
            <w:tcBorders>
              <w:top w:val="nil"/>
              <w:left w:val="nil"/>
              <w:bottom w:val="single" w:sz="4" w:space="0" w:color="auto"/>
              <w:right w:val="single" w:sz="4" w:space="0" w:color="auto"/>
            </w:tcBorders>
            <w:shd w:val="clear" w:color="000000" w:fill="C6EFCE"/>
            <w:vAlign w:val="center"/>
          </w:tcPr>
          <w:p w14:paraId="116080FB"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E40C4BF" w14:textId="77777777" w:rsidR="00CE3BAD" w:rsidRPr="00782BF9" w:rsidRDefault="006B5475">
            <w:pPr>
              <w:pStyle w:val="P68B1DB1-Normal29"/>
              <w:spacing w:after="0" w:line="240" w:lineRule="auto"/>
              <w:rPr>
                <w:noProof/>
                <w:lang w:val="bg-BG"/>
              </w:rPr>
            </w:pPr>
            <w:r w:rsidRPr="00782BF9">
              <w:rPr>
                <w:noProof/>
                <w:lang w:val="bg-BG"/>
              </w:rPr>
              <w:t>50 % физическа готовност за разширяване на крайградската железопътна мрежа</w:t>
            </w:r>
          </w:p>
        </w:tc>
      </w:tr>
      <w:tr w:rsidR="00CE3BAD" w:rsidRPr="00782BF9" w14:paraId="0B9A603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E2061F4" w14:textId="77777777" w:rsidR="00CE3BAD" w:rsidRPr="00782BF9" w:rsidRDefault="006B5475">
            <w:pPr>
              <w:pStyle w:val="P68B1DB1-Normal29"/>
              <w:spacing w:after="0" w:line="240" w:lineRule="auto"/>
              <w:rPr>
                <w:noProof/>
                <w:lang w:val="bg-BG"/>
              </w:rPr>
            </w:pPr>
            <w:r w:rsidRPr="00782BF9">
              <w:rPr>
                <w:noProof/>
                <w:lang w:val="bg-BG"/>
              </w:rPr>
              <w:t>93</w:t>
            </w:r>
          </w:p>
        </w:tc>
        <w:tc>
          <w:tcPr>
            <w:tcW w:w="3120" w:type="dxa"/>
            <w:tcBorders>
              <w:top w:val="nil"/>
              <w:left w:val="nil"/>
              <w:bottom w:val="single" w:sz="4" w:space="0" w:color="auto"/>
              <w:right w:val="single" w:sz="4" w:space="0" w:color="auto"/>
            </w:tcBorders>
            <w:shd w:val="clear" w:color="000000" w:fill="C6EFCE"/>
            <w:vAlign w:val="center"/>
          </w:tcPr>
          <w:p w14:paraId="0B5A86AA" w14:textId="77777777" w:rsidR="00CE3BAD" w:rsidRPr="00782BF9" w:rsidRDefault="006B5475">
            <w:pPr>
              <w:pStyle w:val="P68B1DB1-Normal29"/>
              <w:spacing w:after="0" w:line="240" w:lineRule="auto"/>
              <w:rPr>
                <w:noProof/>
                <w:lang w:val="bg-BG"/>
              </w:rPr>
            </w:pPr>
            <w:r w:rsidRPr="00782BF9">
              <w:rPr>
                <w:noProof/>
                <w:lang w:val="bg-BG"/>
              </w:rPr>
              <w:t>C5.I3 Развитие на автобусен транспорт с нулеви емисии</w:t>
            </w:r>
          </w:p>
        </w:tc>
        <w:tc>
          <w:tcPr>
            <w:tcW w:w="1164" w:type="dxa"/>
            <w:tcBorders>
              <w:top w:val="nil"/>
              <w:left w:val="nil"/>
              <w:bottom w:val="single" w:sz="4" w:space="0" w:color="auto"/>
              <w:right w:val="single" w:sz="4" w:space="0" w:color="auto"/>
            </w:tcBorders>
            <w:shd w:val="clear" w:color="000000" w:fill="C6EFCE"/>
            <w:vAlign w:val="center"/>
          </w:tcPr>
          <w:p w14:paraId="2AECE40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CF3AF56" w14:textId="77777777" w:rsidR="00CE3BAD" w:rsidRPr="00782BF9" w:rsidRDefault="006B5475">
            <w:pPr>
              <w:pStyle w:val="P68B1DB1-Normal29"/>
              <w:spacing w:after="0" w:line="240" w:lineRule="auto"/>
              <w:rPr>
                <w:noProof/>
                <w:lang w:val="bg-BG"/>
              </w:rPr>
            </w:pPr>
            <w:r w:rsidRPr="00782BF9">
              <w:rPr>
                <w:noProof/>
                <w:lang w:val="bg-BG"/>
              </w:rPr>
              <w:t>Въвеждане в експлоатация на допълнителни електрически автобуси и свързаните с тях зарядни точки</w:t>
            </w:r>
          </w:p>
        </w:tc>
      </w:tr>
      <w:tr w:rsidR="00CE3BAD" w:rsidRPr="00782BF9" w14:paraId="7F2FB55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C690B7F" w14:textId="77777777" w:rsidR="00CE3BAD" w:rsidRPr="00782BF9" w:rsidRDefault="006B5475">
            <w:pPr>
              <w:pStyle w:val="P68B1DB1-Normal29"/>
              <w:spacing w:after="0" w:line="240" w:lineRule="auto"/>
              <w:rPr>
                <w:noProof/>
                <w:lang w:val="bg-BG"/>
              </w:rPr>
            </w:pPr>
            <w:r w:rsidRPr="00782BF9">
              <w:rPr>
                <w:noProof/>
                <w:lang w:val="bg-BG"/>
              </w:rPr>
              <w:t>98</w:t>
            </w:r>
          </w:p>
        </w:tc>
        <w:tc>
          <w:tcPr>
            <w:tcW w:w="3120" w:type="dxa"/>
            <w:tcBorders>
              <w:top w:val="nil"/>
              <w:left w:val="nil"/>
              <w:bottom w:val="single" w:sz="4" w:space="0" w:color="auto"/>
              <w:right w:val="single" w:sz="4" w:space="0" w:color="auto"/>
            </w:tcBorders>
            <w:shd w:val="clear" w:color="000000" w:fill="C6EFCE"/>
            <w:vAlign w:val="center"/>
          </w:tcPr>
          <w:p w14:paraId="24EADCDB" w14:textId="77777777" w:rsidR="00CE3BAD" w:rsidRPr="00782BF9" w:rsidRDefault="006B5475">
            <w:pPr>
              <w:pStyle w:val="P68B1DB1-Normal29"/>
              <w:spacing w:after="0" w:line="240" w:lineRule="auto"/>
              <w:rPr>
                <w:noProof/>
                <w:lang w:val="bg-BG"/>
              </w:rPr>
            </w:pPr>
            <w:r w:rsidRPr="00782BF9">
              <w:rPr>
                <w:noProof/>
                <w:lang w:val="bg-BG"/>
              </w:rPr>
              <w:t>C5.R1 Въвеждане на единна национална система за тарифи, продажба на билети и информация за пътниците за автобусен и железопътен транспорт от националния орган за обществен транспорт</w:t>
            </w:r>
          </w:p>
        </w:tc>
        <w:tc>
          <w:tcPr>
            <w:tcW w:w="1164" w:type="dxa"/>
            <w:tcBorders>
              <w:top w:val="nil"/>
              <w:left w:val="nil"/>
              <w:bottom w:val="single" w:sz="4" w:space="0" w:color="auto"/>
              <w:right w:val="single" w:sz="4" w:space="0" w:color="auto"/>
            </w:tcBorders>
            <w:shd w:val="clear" w:color="000000" w:fill="C6EFCE"/>
            <w:vAlign w:val="center"/>
          </w:tcPr>
          <w:p w14:paraId="61278F9A"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5BD032D" w14:textId="77777777" w:rsidR="00CE3BAD" w:rsidRPr="00782BF9" w:rsidRDefault="006B5475">
            <w:pPr>
              <w:pStyle w:val="P68B1DB1-Normal29"/>
              <w:spacing w:after="0" w:line="240" w:lineRule="auto"/>
              <w:rPr>
                <w:noProof/>
                <w:lang w:val="bg-BG"/>
              </w:rPr>
            </w:pPr>
            <w:r w:rsidRPr="00782BF9">
              <w:rPr>
                <w:noProof/>
                <w:lang w:val="bg-BG"/>
              </w:rPr>
              <w:t xml:space="preserve">Въвеждане на портал OpenData и на система за информация за пътниците в реално време </w:t>
            </w:r>
          </w:p>
        </w:tc>
      </w:tr>
      <w:tr w:rsidR="00CE3BAD" w:rsidRPr="00782BF9" w14:paraId="1489D2C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44C4B81" w14:textId="77777777" w:rsidR="00CE3BAD" w:rsidRPr="00782BF9" w:rsidRDefault="006B5475">
            <w:pPr>
              <w:pStyle w:val="P68B1DB1-Normal29"/>
              <w:spacing w:after="0" w:line="240" w:lineRule="auto"/>
              <w:rPr>
                <w:noProof/>
                <w:lang w:val="bg-BG"/>
              </w:rPr>
            </w:pPr>
            <w:r w:rsidRPr="00782BF9">
              <w:rPr>
                <w:noProof/>
                <w:lang w:val="bg-BG"/>
              </w:rPr>
              <w:t>116</w:t>
            </w:r>
          </w:p>
        </w:tc>
        <w:tc>
          <w:tcPr>
            <w:tcW w:w="3120" w:type="dxa"/>
            <w:tcBorders>
              <w:top w:val="nil"/>
              <w:left w:val="nil"/>
              <w:bottom w:val="single" w:sz="4" w:space="0" w:color="auto"/>
              <w:right w:val="single" w:sz="4" w:space="0" w:color="auto"/>
            </w:tcBorders>
            <w:shd w:val="clear" w:color="000000" w:fill="C6EFCE"/>
            <w:vAlign w:val="center"/>
          </w:tcPr>
          <w:p w14:paraId="5DF97498" w14:textId="77777777" w:rsidR="00CE3BAD" w:rsidRPr="00782BF9" w:rsidRDefault="006B5475">
            <w:pPr>
              <w:pStyle w:val="P68B1DB1-Normal29"/>
              <w:spacing w:after="0" w:line="240" w:lineRule="auto"/>
              <w:rPr>
                <w:noProof/>
                <w:lang w:val="bg-BG"/>
              </w:rPr>
            </w:pPr>
            <w:r w:rsidRPr="00782BF9">
              <w:rPr>
                <w:noProof/>
                <w:lang w:val="bg-BG"/>
              </w:rPr>
              <w:t>C6.I1 Развитие на класическите и интелигентните мрежи на операторите на преносни системи и операторите на разпределителни системи</w:t>
            </w:r>
          </w:p>
        </w:tc>
        <w:tc>
          <w:tcPr>
            <w:tcW w:w="1164" w:type="dxa"/>
            <w:tcBorders>
              <w:top w:val="nil"/>
              <w:left w:val="nil"/>
              <w:bottom w:val="single" w:sz="4" w:space="0" w:color="auto"/>
              <w:right w:val="single" w:sz="4" w:space="0" w:color="auto"/>
            </w:tcBorders>
            <w:shd w:val="clear" w:color="000000" w:fill="C6EFCE"/>
            <w:vAlign w:val="center"/>
          </w:tcPr>
          <w:p w14:paraId="45FAD82A"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343A125" w14:textId="77777777" w:rsidR="00CE3BAD" w:rsidRPr="00782BF9" w:rsidRDefault="006B5475">
            <w:pPr>
              <w:pStyle w:val="P68B1DB1-Normal29"/>
              <w:spacing w:after="0" w:line="240" w:lineRule="auto"/>
              <w:rPr>
                <w:noProof/>
                <w:lang w:val="bg-BG"/>
              </w:rPr>
            </w:pPr>
            <w:r w:rsidRPr="00782BF9">
              <w:rPr>
                <w:noProof/>
                <w:lang w:val="bg-BG"/>
              </w:rPr>
              <w:t>Допълнително 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r>
      <w:tr w:rsidR="00CE3BAD" w:rsidRPr="00782BF9" w14:paraId="2D6F380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667B09A" w14:textId="77777777" w:rsidR="00CE3BAD" w:rsidRPr="00782BF9" w:rsidRDefault="006B5475">
            <w:pPr>
              <w:pStyle w:val="P68B1DB1-Normal29"/>
              <w:spacing w:after="0" w:line="240" w:lineRule="auto"/>
              <w:rPr>
                <w:noProof/>
                <w:lang w:val="bg-BG"/>
              </w:rPr>
            </w:pPr>
            <w:r w:rsidRPr="00782BF9">
              <w:rPr>
                <w:noProof/>
                <w:lang w:val="bg-BG"/>
              </w:rPr>
              <w:t>120</w:t>
            </w:r>
          </w:p>
        </w:tc>
        <w:tc>
          <w:tcPr>
            <w:tcW w:w="3120" w:type="dxa"/>
            <w:tcBorders>
              <w:top w:val="nil"/>
              <w:left w:val="nil"/>
              <w:bottom w:val="single" w:sz="4" w:space="0" w:color="auto"/>
              <w:right w:val="single" w:sz="4" w:space="0" w:color="auto"/>
            </w:tcBorders>
            <w:shd w:val="clear" w:color="000000" w:fill="C6EFCE"/>
            <w:vAlign w:val="center"/>
          </w:tcPr>
          <w:p w14:paraId="52EEC009" w14:textId="77777777" w:rsidR="00CE3BAD" w:rsidRPr="00782BF9" w:rsidRDefault="006B5475">
            <w:pPr>
              <w:pStyle w:val="P68B1DB1-Normal29"/>
              <w:spacing w:after="0" w:line="240" w:lineRule="auto"/>
              <w:rPr>
                <w:noProof/>
                <w:lang w:val="bg-BG"/>
              </w:rPr>
            </w:pPr>
            <w:r w:rsidRPr="00782BF9">
              <w:rPr>
                <w:noProof/>
                <w:lang w:val="bg-BG"/>
              </w:rPr>
              <w:t>C6.I2 Подкрепа за използване на слънчеви панели за жилищни сгради и модернизация на отоплението</w:t>
            </w:r>
          </w:p>
        </w:tc>
        <w:tc>
          <w:tcPr>
            <w:tcW w:w="1164" w:type="dxa"/>
            <w:tcBorders>
              <w:top w:val="nil"/>
              <w:left w:val="nil"/>
              <w:bottom w:val="single" w:sz="4" w:space="0" w:color="auto"/>
              <w:right w:val="single" w:sz="4" w:space="0" w:color="auto"/>
            </w:tcBorders>
            <w:shd w:val="clear" w:color="000000" w:fill="C6EFCE"/>
            <w:vAlign w:val="center"/>
          </w:tcPr>
          <w:p w14:paraId="2C4A0D09"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FE2DE19" w14:textId="77777777" w:rsidR="00CE3BAD" w:rsidRPr="00782BF9" w:rsidRDefault="006B5475">
            <w:pPr>
              <w:pStyle w:val="P68B1DB1-Normal29"/>
              <w:spacing w:after="0" w:line="240" w:lineRule="auto"/>
              <w:rPr>
                <w:noProof/>
                <w:lang w:val="bg-BG"/>
              </w:rPr>
            </w:pPr>
            <w:r w:rsidRPr="00782BF9">
              <w:rPr>
                <w:noProof/>
                <w:lang w:val="bg-BG"/>
              </w:rPr>
              <w:t>Брой на допълнителните домакинства, оборудвани със слънчеви панели или със слънчеви панели, акумулираща единица, електрическа отоплителна система и подмяна на прозорци (общо, брой на домакинствата)</w:t>
            </w:r>
          </w:p>
        </w:tc>
      </w:tr>
      <w:tr w:rsidR="00CE3BAD" w:rsidRPr="00782BF9" w14:paraId="4B367A1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EC5414E" w14:textId="77777777" w:rsidR="00CE3BAD" w:rsidRPr="00782BF9" w:rsidRDefault="006B5475">
            <w:pPr>
              <w:pStyle w:val="P68B1DB1-Normal29"/>
              <w:spacing w:after="0" w:line="240" w:lineRule="auto"/>
              <w:rPr>
                <w:noProof/>
                <w:lang w:val="bg-BG"/>
              </w:rPr>
            </w:pPr>
            <w:r w:rsidRPr="00782BF9">
              <w:rPr>
                <w:noProof/>
                <w:lang w:val="bg-BG"/>
              </w:rPr>
              <w:t>133</w:t>
            </w:r>
          </w:p>
        </w:tc>
        <w:tc>
          <w:tcPr>
            <w:tcW w:w="3120" w:type="dxa"/>
            <w:tcBorders>
              <w:top w:val="nil"/>
              <w:left w:val="nil"/>
              <w:bottom w:val="single" w:sz="4" w:space="0" w:color="auto"/>
              <w:right w:val="single" w:sz="4" w:space="0" w:color="auto"/>
            </w:tcBorders>
            <w:shd w:val="clear" w:color="000000" w:fill="C6EFCE"/>
            <w:vAlign w:val="center"/>
          </w:tcPr>
          <w:p w14:paraId="1067223C" w14:textId="77777777" w:rsidR="00CE3BAD" w:rsidRPr="00782BF9" w:rsidRDefault="006B5475">
            <w:pPr>
              <w:pStyle w:val="P68B1DB1-Normal29"/>
              <w:spacing w:after="0" w:line="240" w:lineRule="auto"/>
              <w:rPr>
                <w:noProof/>
                <w:lang w:val="bg-BG"/>
              </w:rPr>
            </w:pPr>
            <w:r w:rsidRPr="00782BF9">
              <w:rPr>
                <w:noProof/>
                <w:lang w:val="bg-BG"/>
              </w:rPr>
              <w:t>C6.I5 Разпространяване на интелигентни измервателни уреди</w:t>
            </w:r>
          </w:p>
        </w:tc>
        <w:tc>
          <w:tcPr>
            <w:tcW w:w="1164" w:type="dxa"/>
            <w:tcBorders>
              <w:top w:val="nil"/>
              <w:left w:val="nil"/>
              <w:bottom w:val="single" w:sz="4" w:space="0" w:color="auto"/>
              <w:right w:val="single" w:sz="4" w:space="0" w:color="auto"/>
            </w:tcBorders>
            <w:shd w:val="clear" w:color="000000" w:fill="C6EFCE"/>
            <w:vAlign w:val="center"/>
          </w:tcPr>
          <w:p w14:paraId="5F99038E"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C2A3B6D" w14:textId="77777777" w:rsidR="00CE3BAD" w:rsidRPr="00782BF9" w:rsidRDefault="006B5475">
            <w:pPr>
              <w:pStyle w:val="P68B1DB1-Normal29"/>
              <w:spacing w:after="0" w:line="240" w:lineRule="auto"/>
              <w:rPr>
                <w:noProof/>
                <w:lang w:val="bg-BG"/>
              </w:rPr>
            </w:pPr>
            <w:r w:rsidRPr="00782BF9">
              <w:rPr>
                <w:noProof/>
                <w:lang w:val="bg-BG"/>
              </w:rPr>
              <w:t>Допълнителни новоинсталирани интелигентни измервателни уреди (кумулативно)</w:t>
            </w:r>
          </w:p>
        </w:tc>
      </w:tr>
      <w:tr w:rsidR="00CE3BAD" w:rsidRPr="00782BF9" w14:paraId="11AA211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3F6DF16" w14:textId="77777777" w:rsidR="00CE3BAD" w:rsidRPr="00782BF9" w:rsidRDefault="006B5475">
            <w:pPr>
              <w:pStyle w:val="P68B1DB1-Normal29"/>
              <w:spacing w:after="0" w:line="240" w:lineRule="auto"/>
              <w:rPr>
                <w:noProof/>
                <w:lang w:val="bg-BG"/>
              </w:rPr>
            </w:pPr>
            <w:r w:rsidRPr="00782BF9">
              <w:rPr>
                <w:noProof/>
                <w:lang w:val="bg-BG"/>
              </w:rPr>
              <w:t>375</w:t>
            </w:r>
          </w:p>
        </w:tc>
        <w:tc>
          <w:tcPr>
            <w:tcW w:w="3120" w:type="dxa"/>
            <w:tcBorders>
              <w:top w:val="nil"/>
              <w:left w:val="nil"/>
              <w:bottom w:val="single" w:sz="4" w:space="0" w:color="auto"/>
              <w:right w:val="single" w:sz="4" w:space="0" w:color="auto"/>
            </w:tcBorders>
            <w:shd w:val="clear" w:color="000000" w:fill="C6EFCE"/>
            <w:vAlign w:val="center"/>
          </w:tcPr>
          <w:p w14:paraId="30D905D7" w14:textId="7E8021A9" w:rsidR="00CE3BAD" w:rsidRPr="00782BF9" w:rsidRDefault="006B5475">
            <w:pPr>
              <w:pStyle w:val="P68B1DB1-Normal29"/>
              <w:spacing w:after="0" w:line="240" w:lineRule="auto"/>
              <w:rPr>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64" w:type="dxa"/>
            <w:tcBorders>
              <w:top w:val="nil"/>
              <w:left w:val="nil"/>
              <w:bottom w:val="single" w:sz="4" w:space="0" w:color="auto"/>
              <w:right w:val="single" w:sz="4" w:space="0" w:color="auto"/>
            </w:tcBorders>
            <w:shd w:val="clear" w:color="000000" w:fill="C6EFCE"/>
            <w:vAlign w:val="center"/>
          </w:tcPr>
          <w:p w14:paraId="10C1E173"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8F2B22B" w14:textId="77777777" w:rsidR="00CE3BAD" w:rsidRPr="00782BF9" w:rsidRDefault="006B5475">
            <w:pPr>
              <w:pStyle w:val="P68B1DB1-Normal29"/>
              <w:spacing w:after="0" w:line="240" w:lineRule="auto"/>
              <w:rPr>
                <w:noProof/>
                <w:lang w:val="bg-BG"/>
              </w:rPr>
            </w:pPr>
            <w:r w:rsidRPr="00782BF9">
              <w:rPr>
                <w:noProof/>
                <w:lang w:val="bg-BG"/>
              </w:rPr>
              <w:t>Публикуване на ръководство за комуникация</w:t>
            </w:r>
          </w:p>
        </w:tc>
      </w:tr>
      <w:tr w:rsidR="00CE3BAD" w:rsidRPr="00782BF9" w14:paraId="7347CE2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6C37659" w14:textId="77777777" w:rsidR="00CE3BAD" w:rsidRPr="00782BF9" w:rsidRDefault="006B5475">
            <w:pPr>
              <w:pStyle w:val="P68B1DB1-Normal29"/>
              <w:spacing w:after="0" w:line="240" w:lineRule="auto"/>
              <w:rPr>
                <w:noProof/>
                <w:lang w:val="bg-BG"/>
              </w:rPr>
            </w:pPr>
            <w:r w:rsidRPr="00782BF9">
              <w:rPr>
                <w:noProof/>
                <w:lang w:val="bg-BG"/>
              </w:rPr>
              <w:t>149</w:t>
            </w:r>
          </w:p>
        </w:tc>
        <w:tc>
          <w:tcPr>
            <w:tcW w:w="3120" w:type="dxa"/>
            <w:tcBorders>
              <w:top w:val="nil"/>
              <w:left w:val="nil"/>
              <w:bottom w:val="single" w:sz="4" w:space="0" w:color="auto"/>
              <w:right w:val="single" w:sz="4" w:space="0" w:color="auto"/>
            </w:tcBorders>
            <w:shd w:val="clear" w:color="000000" w:fill="C6EFCE"/>
            <w:vAlign w:val="center"/>
          </w:tcPr>
          <w:p w14:paraId="53A000C2" w14:textId="77777777" w:rsidR="00CE3BAD" w:rsidRPr="00782BF9" w:rsidRDefault="006B5475">
            <w:pPr>
              <w:pStyle w:val="P68B1DB1-Normal29"/>
              <w:spacing w:after="0" w:line="240" w:lineRule="auto"/>
              <w:rPr>
                <w:noProof/>
                <w:lang w:val="bg-BG"/>
              </w:rPr>
            </w:pPr>
            <w:r w:rsidRPr="00782BF9">
              <w:rPr>
                <w:noProof/>
                <w:lang w:val="bg-BG"/>
              </w:rPr>
              <w:t xml:space="preserve">C8.I2 Подкрепа за цифровата трансформация на здравеопазването </w:t>
            </w:r>
          </w:p>
        </w:tc>
        <w:tc>
          <w:tcPr>
            <w:tcW w:w="1164" w:type="dxa"/>
            <w:tcBorders>
              <w:top w:val="nil"/>
              <w:left w:val="nil"/>
              <w:bottom w:val="single" w:sz="4" w:space="0" w:color="auto"/>
              <w:right w:val="single" w:sz="4" w:space="0" w:color="auto"/>
            </w:tcBorders>
            <w:shd w:val="clear" w:color="000000" w:fill="C6EFCE"/>
            <w:vAlign w:val="center"/>
          </w:tcPr>
          <w:p w14:paraId="3C49F6CE"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7C8E1EFD" w14:textId="77777777" w:rsidR="00CE3BAD" w:rsidRPr="00782BF9" w:rsidRDefault="006B5475">
            <w:pPr>
              <w:pStyle w:val="P68B1DB1-Normal29"/>
              <w:spacing w:after="0" w:line="240" w:lineRule="auto"/>
              <w:rPr>
                <w:noProof/>
                <w:lang w:val="bg-BG"/>
              </w:rPr>
            </w:pPr>
            <w:r w:rsidRPr="00782BF9">
              <w:rPr>
                <w:noProof/>
                <w:lang w:val="bg-BG"/>
              </w:rPr>
              <w:t xml:space="preserve">Увеличаване на дела на видовете процедури на здравните органи, които могат да бъдат започнати по електронен път </w:t>
            </w:r>
          </w:p>
        </w:tc>
      </w:tr>
      <w:tr w:rsidR="00CE3BAD" w:rsidRPr="00782BF9" w14:paraId="53ED535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4BCFDA5" w14:textId="77777777" w:rsidR="00CE3BAD" w:rsidRPr="00782BF9" w:rsidRDefault="006B5475">
            <w:pPr>
              <w:pStyle w:val="P68B1DB1-Normal29"/>
              <w:spacing w:after="0" w:line="240" w:lineRule="auto"/>
              <w:rPr>
                <w:noProof/>
                <w:lang w:val="bg-BG"/>
              </w:rPr>
            </w:pPr>
            <w:r w:rsidRPr="00782BF9">
              <w:rPr>
                <w:noProof/>
                <w:lang w:val="bg-BG"/>
              </w:rPr>
              <w:t>150</w:t>
            </w:r>
          </w:p>
        </w:tc>
        <w:tc>
          <w:tcPr>
            <w:tcW w:w="3120" w:type="dxa"/>
            <w:tcBorders>
              <w:top w:val="nil"/>
              <w:left w:val="nil"/>
              <w:bottom w:val="single" w:sz="4" w:space="0" w:color="auto"/>
              <w:right w:val="single" w:sz="4" w:space="0" w:color="auto"/>
            </w:tcBorders>
            <w:shd w:val="clear" w:color="000000" w:fill="C6EFCE"/>
            <w:vAlign w:val="center"/>
          </w:tcPr>
          <w:p w14:paraId="015B7B70" w14:textId="77777777" w:rsidR="00CE3BAD" w:rsidRPr="00782BF9" w:rsidRDefault="006B5475">
            <w:pPr>
              <w:pStyle w:val="P68B1DB1-Normal29"/>
              <w:spacing w:after="0" w:line="240" w:lineRule="auto"/>
              <w:rPr>
                <w:noProof/>
                <w:lang w:val="bg-BG"/>
              </w:rPr>
            </w:pPr>
            <w:r w:rsidRPr="00782BF9">
              <w:rPr>
                <w:noProof/>
                <w:lang w:val="bg-BG"/>
              </w:rPr>
              <w:t xml:space="preserve">C8.I2 Подкрепа за цифровата трансформация на здравеопазването </w:t>
            </w:r>
          </w:p>
        </w:tc>
        <w:tc>
          <w:tcPr>
            <w:tcW w:w="1164" w:type="dxa"/>
            <w:tcBorders>
              <w:top w:val="nil"/>
              <w:left w:val="nil"/>
              <w:bottom w:val="single" w:sz="4" w:space="0" w:color="auto"/>
              <w:right w:val="single" w:sz="4" w:space="0" w:color="auto"/>
            </w:tcBorders>
            <w:shd w:val="clear" w:color="000000" w:fill="C6EFCE"/>
            <w:vAlign w:val="center"/>
          </w:tcPr>
          <w:p w14:paraId="2D9B18A8"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320DBBE0" w14:textId="77777777" w:rsidR="00CE3BAD" w:rsidRPr="00782BF9" w:rsidRDefault="006B5475">
            <w:pPr>
              <w:pStyle w:val="P68B1DB1-Normal29"/>
              <w:spacing w:after="0" w:line="240" w:lineRule="auto"/>
              <w:rPr>
                <w:noProof/>
                <w:lang w:val="bg-BG"/>
              </w:rPr>
            </w:pPr>
            <w:r w:rsidRPr="00782BF9">
              <w:rPr>
                <w:noProof/>
                <w:lang w:val="bg-BG"/>
              </w:rPr>
              <w:t>Брой на телемедицинските услуги, предоставяни чрез цифрови инструменти, в рамките на една година </w:t>
            </w:r>
          </w:p>
        </w:tc>
      </w:tr>
      <w:tr w:rsidR="00CE3BAD" w:rsidRPr="00782BF9" w14:paraId="07D6FBF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2A3BD7C" w14:textId="77777777" w:rsidR="00CE3BAD" w:rsidRPr="00782BF9" w:rsidRDefault="006B5475">
            <w:pPr>
              <w:pStyle w:val="P68B1DB1-Normal29"/>
              <w:spacing w:after="0" w:line="240" w:lineRule="auto"/>
              <w:rPr>
                <w:noProof/>
                <w:lang w:val="bg-BG"/>
              </w:rPr>
            </w:pPr>
            <w:r w:rsidRPr="00782BF9">
              <w:rPr>
                <w:noProof/>
                <w:lang w:val="bg-BG"/>
              </w:rPr>
              <w:t>151</w:t>
            </w:r>
          </w:p>
        </w:tc>
        <w:tc>
          <w:tcPr>
            <w:tcW w:w="3120" w:type="dxa"/>
            <w:tcBorders>
              <w:top w:val="nil"/>
              <w:left w:val="nil"/>
              <w:bottom w:val="single" w:sz="4" w:space="0" w:color="auto"/>
              <w:right w:val="single" w:sz="4" w:space="0" w:color="auto"/>
            </w:tcBorders>
            <w:shd w:val="clear" w:color="000000" w:fill="C6EFCE"/>
            <w:vAlign w:val="center"/>
          </w:tcPr>
          <w:p w14:paraId="6EA92419" w14:textId="77777777" w:rsidR="00CE3BAD" w:rsidRPr="00782BF9" w:rsidRDefault="006B5475">
            <w:pPr>
              <w:pStyle w:val="P68B1DB1-Normal29"/>
              <w:spacing w:after="0" w:line="240" w:lineRule="auto"/>
              <w:rPr>
                <w:noProof/>
                <w:lang w:val="bg-BG"/>
              </w:rPr>
            </w:pPr>
            <w:r w:rsidRPr="00782BF9">
              <w:rPr>
                <w:noProof/>
                <w:lang w:val="bg-BG"/>
              </w:rPr>
              <w:t xml:space="preserve">C8.I2 Подкрепа за цифровата трансформация на здравеопазването </w:t>
            </w:r>
          </w:p>
        </w:tc>
        <w:tc>
          <w:tcPr>
            <w:tcW w:w="1164" w:type="dxa"/>
            <w:tcBorders>
              <w:top w:val="nil"/>
              <w:left w:val="nil"/>
              <w:bottom w:val="single" w:sz="4" w:space="0" w:color="auto"/>
              <w:right w:val="single" w:sz="4" w:space="0" w:color="auto"/>
            </w:tcBorders>
            <w:shd w:val="clear" w:color="000000" w:fill="C6EFCE"/>
            <w:vAlign w:val="center"/>
          </w:tcPr>
          <w:p w14:paraId="69DABC0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76D515C" w14:textId="77777777" w:rsidR="00CE3BAD" w:rsidRPr="00782BF9" w:rsidRDefault="006B5475">
            <w:pPr>
              <w:pStyle w:val="P68B1DB1-Normal29"/>
              <w:spacing w:after="0" w:line="240" w:lineRule="auto"/>
              <w:rPr>
                <w:noProof/>
                <w:lang w:val="bg-BG"/>
              </w:rPr>
            </w:pPr>
            <w:r w:rsidRPr="00782BF9">
              <w:rPr>
                <w:noProof/>
                <w:lang w:val="bg-BG"/>
              </w:rPr>
              <w:t xml:space="preserve">Стартирали са нови модули на EESZT в подкрепа на управлението на предлагането и цифровизираните процеси за полагане на грижи </w:t>
            </w:r>
          </w:p>
        </w:tc>
      </w:tr>
      <w:tr w:rsidR="00CE3BAD" w:rsidRPr="00782BF9" w14:paraId="7BB3434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D8CAF0F" w14:textId="77777777" w:rsidR="00CE3BAD" w:rsidRPr="00782BF9" w:rsidRDefault="006B5475">
            <w:pPr>
              <w:pStyle w:val="P68B1DB1-Normal29"/>
              <w:spacing w:after="0" w:line="240" w:lineRule="auto"/>
              <w:rPr>
                <w:noProof/>
                <w:lang w:val="bg-BG"/>
              </w:rPr>
            </w:pPr>
            <w:r w:rsidRPr="00782BF9">
              <w:rPr>
                <w:noProof/>
                <w:lang w:val="bg-BG"/>
              </w:rPr>
              <w:t>153</w:t>
            </w:r>
          </w:p>
        </w:tc>
        <w:tc>
          <w:tcPr>
            <w:tcW w:w="3120" w:type="dxa"/>
            <w:tcBorders>
              <w:top w:val="nil"/>
              <w:left w:val="nil"/>
              <w:bottom w:val="single" w:sz="4" w:space="0" w:color="auto"/>
              <w:right w:val="single" w:sz="4" w:space="0" w:color="auto"/>
            </w:tcBorders>
            <w:shd w:val="clear" w:color="000000" w:fill="C6EFCE"/>
            <w:vAlign w:val="center"/>
          </w:tcPr>
          <w:p w14:paraId="7924B01B" w14:textId="77777777" w:rsidR="00CE3BAD" w:rsidRPr="00782BF9" w:rsidRDefault="006B5475">
            <w:pPr>
              <w:pStyle w:val="P68B1DB1-Normal29"/>
              <w:spacing w:after="0" w:line="240" w:lineRule="auto"/>
              <w:rPr>
                <w:noProof/>
                <w:lang w:val="bg-BG"/>
              </w:rPr>
            </w:pPr>
            <w:r w:rsidRPr="00782BF9">
              <w:rPr>
                <w:noProof/>
                <w:lang w:val="bg-BG"/>
              </w:rPr>
              <w:t xml:space="preserve">C8.I2 Подкрепа за цифровата трансформация на здравеопазването </w:t>
            </w:r>
          </w:p>
        </w:tc>
        <w:tc>
          <w:tcPr>
            <w:tcW w:w="1164" w:type="dxa"/>
            <w:tcBorders>
              <w:top w:val="nil"/>
              <w:left w:val="nil"/>
              <w:bottom w:val="single" w:sz="4" w:space="0" w:color="auto"/>
              <w:right w:val="single" w:sz="4" w:space="0" w:color="auto"/>
            </w:tcBorders>
            <w:shd w:val="clear" w:color="000000" w:fill="C6EFCE"/>
            <w:vAlign w:val="center"/>
          </w:tcPr>
          <w:p w14:paraId="0F84FDF6"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7C0F8D79" w14:textId="77777777" w:rsidR="00CE3BAD" w:rsidRPr="00782BF9" w:rsidRDefault="006B5475">
            <w:pPr>
              <w:pStyle w:val="P68B1DB1-Normal29"/>
              <w:spacing w:after="0" w:line="240" w:lineRule="auto"/>
              <w:rPr>
                <w:noProof/>
                <w:lang w:val="bg-BG"/>
              </w:rPr>
            </w:pPr>
            <w:r w:rsidRPr="00782BF9">
              <w:rPr>
                <w:noProof/>
                <w:lang w:val="bg-BG"/>
              </w:rPr>
              <w:t>Брой на уникалните потребители на мобилното приложение за централно здравно обслужване</w:t>
            </w:r>
          </w:p>
        </w:tc>
      </w:tr>
      <w:tr w:rsidR="00CE3BAD" w:rsidRPr="00782BF9" w14:paraId="4416670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7280ED3" w14:textId="77777777" w:rsidR="00CE3BAD" w:rsidRPr="00782BF9" w:rsidRDefault="006B5475">
            <w:pPr>
              <w:pStyle w:val="P68B1DB1-Normal29"/>
              <w:spacing w:after="0" w:line="240" w:lineRule="auto"/>
              <w:rPr>
                <w:noProof/>
                <w:lang w:val="bg-BG"/>
              </w:rPr>
            </w:pPr>
            <w:r w:rsidRPr="00782BF9">
              <w:rPr>
                <w:noProof/>
                <w:lang w:val="bg-BG"/>
              </w:rPr>
              <w:t>155</w:t>
            </w:r>
          </w:p>
        </w:tc>
        <w:tc>
          <w:tcPr>
            <w:tcW w:w="3120" w:type="dxa"/>
            <w:tcBorders>
              <w:top w:val="nil"/>
              <w:left w:val="nil"/>
              <w:bottom w:val="single" w:sz="4" w:space="0" w:color="auto"/>
              <w:right w:val="single" w:sz="4" w:space="0" w:color="auto"/>
            </w:tcBorders>
            <w:shd w:val="clear" w:color="000000" w:fill="C6EFCE"/>
            <w:vAlign w:val="center"/>
          </w:tcPr>
          <w:p w14:paraId="46CD7205" w14:textId="77777777" w:rsidR="00CE3BAD" w:rsidRPr="00782BF9" w:rsidRDefault="006B5475">
            <w:pPr>
              <w:pStyle w:val="P68B1DB1-Normal29"/>
              <w:spacing w:after="0" w:line="240" w:lineRule="auto"/>
              <w:rPr>
                <w:noProof/>
                <w:lang w:val="bg-BG"/>
              </w:rPr>
            </w:pPr>
            <w:r w:rsidRPr="00782BF9">
              <w:rPr>
                <w:noProof/>
                <w:lang w:val="bg-BG"/>
              </w:rPr>
              <w:t xml:space="preserve">C8.I3 Програма за мониторинг на здравето от разстояние за възрастни хора </w:t>
            </w:r>
          </w:p>
        </w:tc>
        <w:tc>
          <w:tcPr>
            <w:tcW w:w="1164" w:type="dxa"/>
            <w:tcBorders>
              <w:top w:val="nil"/>
              <w:left w:val="nil"/>
              <w:bottom w:val="single" w:sz="4" w:space="0" w:color="auto"/>
              <w:right w:val="single" w:sz="4" w:space="0" w:color="auto"/>
            </w:tcBorders>
            <w:shd w:val="clear" w:color="000000" w:fill="C6EFCE"/>
            <w:vAlign w:val="center"/>
          </w:tcPr>
          <w:p w14:paraId="529BFA97"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44E9455A" w14:textId="77777777" w:rsidR="00CE3BAD" w:rsidRPr="00782BF9" w:rsidRDefault="006B5475">
            <w:pPr>
              <w:pStyle w:val="P68B1DB1-Normal29"/>
              <w:spacing w:after="0" w:line="240" w:lineRule="auto"/>
              <w:rPr>
                <w:noProof/>
                <w:lang w:val="bg-BG"/>
              </w:rPr>
            </w:pPr>
            <w:r w:rsidRPr="00782BF9">
              <w:rPr>
                <w:noProof/>
                <w:lang w:val="bg-BG"/>
              </w:rPr>
              <w:t>Брой на участниците в програмата за дистанционно наблюдение на здравето за възрастни хора</w:t>
            </w:r>
          </w:p>
        </w:tc>
      </w:tr>
      <w:tr w:rsidR="00CE3BAD" w:rsidRPr="00782BF9" w14:paraId="0774967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A7AA559" w14:textId="77777777" w:rsidR="00CE3BAD" w:rsidRPr="00782BF9" w:rsidRDefault="006B5475">
            <w:pPr>
              <w:pStyle w:val="P68B1DB1-Normal29"/>
              <w:spacing w:after="0" w:line="240" w:lineRule="auto"/>
              <w:rPr>
                <w:noProof/>
                <w:lang w:val="bg-BG"/>
              </w:rPr>
            </w:pPr>
            <w:r w:rsidRPr="00782BF9">
              <w:rPr>
                <w:noProof/>
                <w:lang w:val="bg-BG"/>
              </w:rPr>
              <w:t>157</w:t>
            </w:r>
          </w:p>
        </w:tc>
        <w:tc>
          <w:tcPr>
            <w:tcW w:w="3120" w:type="dxa"/>
            <w:tcBorders>
              <w:top w:val="nil"/>
              <w:left w:val="nil"/>
              <w:bottom w:val="single" w:sz="4" w:space="0" w:color="auto"/>
              <w:right w:val="single" w:sz="4" w:space="0" w:color="auto"/>
            </w:tcBorders>
            <w:shd w:val="clear" w:color="000000" w:fill="C6EFCE"/>
            <w:vAlign w:val="center"/>
          </w:tcPr>
          <w:p w14:paraId="3E261735" w14:textId="77777777" w:rsidR="00CE3BAD" w:rsidRPr="00782BF9" w:rsidRDefault="006B5475">
            <w:pPr>
              <w:pStyle w:val="P68B1DB1-Normal29"/>
              <w:spacing w:after="0" w:line="240" w:lineRule="auto"/>
              <w:rPr>
                <w:noProof/>
                <w:lang w:val="bg-BG"/>
              </w:rPr>
            </w:pPr>
            <w:r w:rsidRPr="00782BF9">
              <w:rPr>
                <w:noProof/>
                <w:lang w:val="bg-BG"/>
              </w:rPr>
              <w:t xml:space="preserve">C8.I4 Развитие на първичните здравни грижи </w:t>
            </w:r>
          </w:p>
        </w:tc>
        <w:tc>
          <w:tcPr>
            <w:tcW w:w="1164" w:type="dxa"/>
            <w:tcBorders>
              <w:top w:val="nil"/>
              <w:left w:val="nil"/>
              <w:bottom w:val="single" w:sz="4" w:space="0" w:color="auto"/>
              <w:right w:val="single" w:sz="4" w:space="0" w:color="auto"/>
            </w:tcBorders>
            <w:shd w:val="clear" w:color="000000" w:fill="C6EFCE"/>
            <w:vAlign w:val="center"/>
          </w:tcPr>
          <w:p w14:paraId="565517DB"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198110F7" w14:textId="77777777" w:rsidR="00CE3BAD" w:rsidRPr="00782BF9" w:rsidRDefault="006B5475">
            <w:pPr>
              <w:pStyle w:val="P68B1DB1-Normal29"/>
              <w:spacing w:after="0" w:line="240" w:lineRule="auto"/>
              <w:rPr>
                <w:noProof/>
                <w:lang w:val="bg-BG"/>
              </w:rPr>
            </w:pPr>
            <w:r w:rsidRPr="00782BF9">
              <w:rPr>
                <w:noProof/>
                <w:lang w:val="bg-BG"/>
              </w:rPr>
              <w:t>Брой на лекарите, участващи в новосъздадени и действащи общности на общопрактикуващи лекари</w:t>
            </w:r>
          </w:p>
        </w:tc>
      </w:tr>
      <w:tr w:rsidR="00CE3BAD" w:rsidRPr="00782BF9" w14:paraId="640B74F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EBE338C" w14:textId="77777777" w:rsidR="00CE3BAD" w:rsidRPr="00782BF9" w:rsidRDefault="006B5475">
            <w:pPr>
              <w:pStyle w:val="P68B1DB1-Normal29"/>
              <w:spacing w:after="0" w:line="240" w:lineRule="auto"/>
              <w:rPr>
                <w:noProof/>
                <w:lang w:val="bg-BG"/>
              </w:rPr>
            </w:pPr>
            <w:r w:rsidRPr="00782BF9">
              <w:rPr>
                <w:noProof/>
                <w:lang w:val="bg-BG"/>
              </w:rPr>
              <w:t>158</w:t>
            </w:r>
          </w:p>
        </w:tc>
        <w:tc>
          <w:tcPr>
            <w:tcW w:w="3120" w:type="dxa"/>
            <w:tcBorders>
              <w:top w:val="nil"/>
              <w:left w:val="nil"/>
              <w:bottom w:val="single" w:sz="4" w:space="0" w:color="auto"/>
              <w:right w:val="single" w:sz="4" w:space="0" w:color="auto"/>
            </w:tcBorders>
            <w:shd w:val="clear" w:color="000000" w:fill="C6EFCE"/>
            <w:vAlign w:val="center"/>
          </w:tcPr>
          <w:p w14:paraId="01CC3830" w14:textId="77777777" w:rsidR="00CE3BAD" w:rsidRPr="00782BF9" w:rsidRDefault="006B5475">
            <w:pPr>
              <w:pStyle w:val="P68B1DB1-Normal29"/>
              <w:spacing w:after="0" w:line="240" w:lineRule="auto"/>
              <w:rPr>
                <w:noProof/>
                <w:lang w:val="bg-BG"/>
              </w:rPr>
            </w:pPr>
            <w:r w:rsidRPr="00782BF9">
              <w:rPr>
                <w:noProof/>
                <w:lang w:val="bg-BG"/>
              </w:rPr>
              <w:t>C8.I4 Развитие на първичните здравни грижи</w:t>
            </w:r>
          </w:p>
        </w:tc>
        <w:tc>
          <w:tcPr>
            <w:tcW w:w="1164" w:type="dxa"/>
            <w:tcBorders>
              <w:top w:val="nil"/>
              <w:left w:val="nil"/>
              <w:bottom w:val="single" w:sz="4" w:space="0" w:color="auto"/>
              <w:right w:val="single" w:sz="4" w:space="0" w:color="auto"/>
            </w:tcBorders>
            <w:shd w:val="clear" w:color="000000" w:fill="C6EFCE"/>
            <w:vAlign w:val="center"/>
          </w:tcPr>
          <w:p w14:paraId="12943101"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5A28A33E" w14:textId="77777777" w:rsidR="00CE3BAD" w:rsidRPr="00782BF9" w:rsidRDefault="006B5475">
            <w:pPr>
              <w:pStyle w:val="P68B1DB1-Normal29"/>
              <w:spacing w:after="0" w:line="240" w:lineRule="auto"/>
              <w:rPr>
                <w:noProof/>
                <w:lang w:val="bg-BG"/>
              </w:rPr>
            </w:pPr>
            <w:r w:rsidRPr="00782BF9">
              <w:rPr>
                <w:noProof/>
                <w:lang w:val="bg-BG"/>
              </w:rPr>
              <w:t xml:space="preserve">Брой на пациентите, записани в програмата за управление на хроничните заболявания  </w:t>
            </w:r>
          </w:p>
        </w:tc>
      </w:tr>
      <w:tr w:rsidR="00CE3BAD" w:rsidRPr="00782BF9" w14:paraId="41CB381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693E43B" w14:textId="77777777" w:rsidR="00CE3BAD" w:rsidRPr="00782BF9" w:rsidRDefault="006B5475">
            <w:pPr>
              <w:pStyle w:val="P68B1DB1-Normal29"/>
              <w:spacing w:after="0" w:line="240" w:lineRule="auto"/>
              <w:rPr>
                <w:noProof/>
                <w:lang w:val="bg-BG"/>
              </w:rPr>
            </w:pPr>
            <w:r w:rsidRPr="00782BF9">
              <w:rPr>
                <w:noProof/>
                <w:lang w:val="bg-BG"/>
              </w:rPr>
              <w:t>159</w:t>
            </w:r>
          </w:p>
        </w:tc>
        <w:tc>
          <w:tcPr>
            <w:tcW w:w="3120" w:type="dxa"/>
            <w:tcBorders>
              <w:top w:val="nil"/>
              <w:left w:val="nil"/>
              <w:bottom w:val="single" w:sz="4" w:space="0" w:color="auto"/>
              <w:right w:val="single" w:sz="4" w:space="0" w:color="auto"/>
            </w:tcBorders>
            <w:shd w:val="clear" w:color="000000" w:fill="C6EFCE"/>
            <w:vAlign w:val="center"/>
          </w:tcPr>
          <w:p w14:paraId="12A76881" w14:textId="77777777" w:rsidR="00CE3BAD" w:rsidRPr="00782BF9" w:rsidRDefault="006B5475">
            <w:pPr>
              <w:pStyle w:val="P68B1DB1-Normal29"/>
              <w:spacing w:after="0" w:line="240" w:lineRule="auto"/>
              <w:rPr>
                <w:noProof/>
                <w:lang w:val="bg-BG"/>
              </w:rPr>
            </w:pPr>
            <w:r w:rsidRPr="00782BF9">
              <w:rPr>
                <w:noProof/>
                <w:lang w:val="bg-BG"/>
              </w:rPr>
              <w:t>C8.I4 Развитие на първичните здравни грижи</w:t>
            </w:r>
          </w:p>
        </w:tc>
        <w:tc>
          <w:tcPr>
            <w:tcW w:w="1164" w:type="dxa"/>
            <w:tcBorders>
              <w:top w:val="nil"/>
              <w:left w:val="nil"/>
              <w:bottom w:val="single" w:sz="4" w:space="0" w:color="auto"/>
              <w:right w:val="single" w:sz="4" w:space="0" w:color="auto"/>
            </w:tcBorders>
            <w:shd w:val="clear" w:color="000000" w:fill="C6EFCE"/>
            <w:vAlign w:val="center"/>
          </w:tcPr>
          <w:p w14:paraId="3B60D1C3"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0C5C08D3" w14:textId="77777777" w:rsidR="00CE3BAD" w:rsidRPr="00782BF9" w:rsidRDefault="006B5475">
            <w:pPr>
              <w:pStyle w:val="P68B1DB1-Normal29"/>
              <w:spacing w:after="0" w:line="240" w:lineRule="auto"/>
              <w:rPr>
                <w:noProof/>
                <w:lang w:val="bg-BG"/>
              </w:rPr>
            </w:pPr>
            <w:r w:rsidRPr="00782BF9">
              <w:rPr>
                <w:noProof/>
                <w:lang w:val="bg-BG"/>
              </w:rPr>
              <w:t xml:space="preserve">Брой на пациентите, записани в програми за профилактика и промоция на здравето  </w:t>
            </w:r>
          </w:p>
        </w:tc>
      </w:tr>
      <w:tr w:rsidR="00CE3BAD" w:rsidRPr="00782BF9" w14:paraId="45D5F31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C343927" w14:textId="77777777" w:rsidR="00CE3BAD" w:rsidRPr="00782BF9" w:rsidRDefault="006B5475">
            <w:pPr>
              <w:pStyle w:val="P68B1DB1-Normal29"/>
              <w:spacing w:after="0" w:line="240" w:lineRule="auto"/>
              <w:rPr>
                <w:noProof/>
                <w:lang w:val="bg-BG"/>
              </w:rPr>
            </w:pPr>
            <w:r w:rsidRPr="00782BF9">
              <w:rPr>
                <w:noProof/>
                <w:lang w:val="bg-BG"/>
              </w:rPr>
              <w:t>181</w:t>
            </w:r>
          </w:p>
        </w:tc>
        <w:tc>
          <w:tcPr>
            <w:tcW w:w="3120" w:type="dxa"/>
            <w:tcBorders>
              <w:top w:val="nil"/>
              <w:left w:val="nil"/>
              <w:bottom w:val="single" w:sz="4" w:space="0" w:color="auto"/>
              <w:right w:val="single" w:sz="4" w:space="0" w:color="auto"/>
            </w:tcBorders>
            <w:shd w:val="clear" w:color="000000" w:fill="C6EFCE"/>
            <w:vAlign w:val="center"/>
          </w:tcPr>
          <w:p w14:paraId="6A8162BC" w14:textId="77777777" w:rsidR="00CE3BAD" w:rsidRPr="00782BF9" w:rsidRDefault="006B5475">
            <w:pPr>
              <w:pStyle w:val="P68B1DB1-Normal29"/>
              <w:spacing w:after="0" w:line="240" w:lineRule="auto"/>
              <w:rPr>
                <w:noProof/>
                <w:lang w:val="bg-BG"/>
              </w:rPr>
            </w:pPr>
            <w:r w:rsidRPr="00782BF9">
              <w:rPr>
                <w:noProof/>
                <w:lang w:val="bg-BG"/>
              </w:rPr>
              <w:t>C9.R8 Актуализиране на системите за сътрудничество на прокуратурата с цел борба с корупционните практики.</w:t>
            </w:r>
          </w:p>
        </w:tc>
        <w:tc>
          <w:tcPr>
            <w:tcW w:w="1164" w:type="dxa"/>
            <w:tcBorders>
              <w:top w:val="nil"/>
              <w:left w:val="nil"/>
              <w:bottom w:val="single" w:sz="4" w:space="0" w:color="auto"/>
              <w:right w:val="single" w:sz="4" w:space="0" w:color="auto"/>
            </w:tcBorders>
            <w:shd w:val="clear" w:color="000000" w:fill="C6EFCE"/>
            <w:vAlign w:val="center"/>
          </w:tcPr>
          <w:p w14:paraId="00B5B0C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54B53AD" w14:textId="77777777" w:rsidR="00CE3BAD" w:rsidRPr="00782BF9" w:rsidRDefault="006B5475">
            <w:pPr>
              <w:pStyle w:val="P68B1DB1-Normal29"/>
              <w:spacing w:after="0" w:line="240" w:lineRule="auto"/>
              <w:rPr>
                <w:noProof/>
                <w:lang w:val="bg-BG"/>
              </w:rPr>
            </w:pPr>
            <w:r w:rsidRPr="00782BF9">
              <w:rPr>
                <w:noProof/>
                <w:lang w:val="bg-BG"/>
              </w:rPr>
              <w:t>Създаване на нова информационна система за разглеждане на преписките по делата на прокуратурата</w:t>
            </w:r>
          </w:p>
        </w:tc>
      </w:tr>
      <w:tr w:rsidR="00CE3BAD" w:rsidRPr="00782BF9" w14:paraId="2F79C9A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BDB4CC3" w14:textId="77777777" w:rsidR="00CE3BAD" w:rsidRPr="00782BF9" w:rsidRDefault="006B5475">
            <w:pPr>
              <w:pStyle w:val="P68B1DB1-Normal29"/>
              <w:spacing w:after="0" w:line="240" w:lineRule="auto"/>
              <w:rPr>
                <w:noProof/>
                <w:lang w:val="bg-BG"/>
              </w:rPr>
            </w:pPr>
            <w:r w:rsidRPr="00782BF9">
              <w:rPr>
                <w:noProof/>
                <w:lang w:val="bg-BG"/>
              </w:rPr>
              <w:t>244</w:t>
            </w:r>
          </w:p>
        </w:tc>
        <w:tc>
          <w:tcPr>
            <w:tcW w:w="3120" w:type="dxa"/>
            <w:tcBorders>
              <w:top w:val="nil"/>
              <w:left w:val="nil"/>
              <w:bottom w:val="single" w:sz="4" w:space="0" w:color="auto"/>
              <w:right w:val="single" w:sz="4" w:space="0" w:color="auto"/>
            </w:tcBorders>
            <w:shd w:val="clear" w:color="000000" w:fill="C6EFCE"/>
            <w:vAlign w:val="center"/>
          </w:tcPr>
          <w:p w14:paraId="671CB066" w14:textId="77777777" w:rsidR="00CE3BAD" w:rsidRPr="00782BF9" w:rsidRDefault="006B5475">
            <w:pPr>
              <w:pStyle w:val="P68B1DB1-Normal29"/>
              <w:spacing w:after="0" w:line="240" w:lineRule="auto"/>
              <w:rPr>
                <w:noProof/>
                <w:lang w:val="bg-BG"/>
              </w:rPr>
            </w:pPr>
            <w:r w:rsidRPr="00782BF9">
              <w:rPr>
                <w:noProof/>
                <w:lang w:val="bg-BG"/>
              </w:rPr>
              <w:t>C9.R30 Укрепване на националната система за управление на ИТ оборудване с цел повишаване на ефективността на обществените услуги</w:t>
            </w:r>
          </w:p>
        </w:tc>
        <w:tc>
          <w:tcPr>
            <w:tcW w:w="1164" w:type="dxa"/>
            <w:tcBorders>
              <w:top w:val="nil"/>
              <w:left w:val="nil"/>
              <w:bottom w:val="single" w:sz="4" w:space="0" w:color="auto"/>
              <w:right w:val="single" w:sz="4" w:space="0" w:color="auto"/>
            </w:tcBorders>
            <w:shd w:val="clear" w:color="000000" w:fill="C6EFCE"/>
            <w:vAlign w:val="center"/>
          </w:tcPr>
          <w:p w14:paraId="52A837E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A75ACFB" w14:textId="77777777" w:rsidR="00CE3BAD" w:rsidRPr="00782BF9" w:rsidRDefault="006B5475">
            <w:pPr>
              <w:pStyle w:val="P68B1DB1-Normal29"/>
              <w:spacing w:after="0" w:line="240" w:lineRule="auto"/>
              <w:rPr>
                <w:noProof/>
                <w:lang w:val="bg-BG"/>
              </w:rPr>
            </w:pPr>
            <w:r w:rsidRPr="00782BF9">
              <w:rPr>
                <w:noProof/>
                <w:lang w:val="bg-BG"/>
              </w:rPr>
              <w:t>Създаване на централна система за управление на ИТ оборудване и лицензиране на софтуер </w:t>
            </w:r>
          </w:p>
        </w:tc>
      </w:tr>
      <w:tr w:rsidR="00CE3BAD" w:rsidRPr="00782BF9" w14:paraId="65947F1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E3A463D" w14:textId="77777777" w:rsidR="00CE3BAD" w:rsidRPr="00782BF9" w:rsidRDefault="006B5475">
            <w:pPr>
              <w:pStyle w:val="P68B1DB1-Normal29"/>
              <w:spacing w:after="0" w:line="240" w:lineRule="auto"/>
              <w:rPr>
                <w:noProof/>
                <w:lang w:val="bg-BG"/>
              </w:rPr>
            </w:pPr>
            <w:r w:rsidRPr="00782BF9">
              <w:rPr>
                <w:noProof/>
                <w:lang w:val="bg-BG"/>
              </w:rPr>
              <w:t>249</w:t>
            </w:r>
          </w:p>
        </w:tc>
        <w:tc>
          <w:tcPr>
            <w:tcW w:w="3120" w:type="dxa"/>
            <w:tcBorders>
              <w:top w:val="nil"/>
              <w:left w:val="nil"/>
              <w:bottom w:val="single" w:sz="4" w:space="0" w:color="auto"/>
              <w:right w:val="single" w:sz="4" w:space="0" w:color="auto"/>
            </w:tcBorders>
            <w:shd w:val="clear" w:color="000000" w:fill="C6EFCE"/>
            <w:vAlign w:val="center"/>
          </w:tcPr>
          <w:p w14:paraId="4CA576F0" w14:textId="77777777" w:rsidR="00CE3BAD" w:rsidRPr="00782BF9" w:rsidRDefault="006B5475">
            <w:pPr>
              <w:pStyle w:val="P68B1DB1-Normal29"/>
              <w:spacing w:after="0" w:line="240" w:lineRule="auto"/>
              <w:rPr>
                <w:noProof/>
                <w:lang w:val="bg-BG"/>
              </w:rPr>
            </w:pPr>
            <w:r w:rsidRPr="00782BF9">
              <w:rPr>
                <w:noProof/>
                <w:lang w:val="bg-BG"/>
              </w:rPr>
              <w:t>C9.R33 Разширяване на обхвата на правилата за неприспадане за изходящи плащания</w:t>
            </w:r>
          </w:p>
        </w:tc>
        <w:tc>
          <w:tcPr>
            <w:tcW w:w="1164" w:type="dxa"/>
            <w:tcBorders>
              <w:top w:val="nil"/>
              <w:left w:val="nil"/>
              <w:bottom w:val="single" w:sz="4" w:space="0" w:color="auto"/>
              <w:right w:val="single" w:sz="4" w:space="0" w:color="auto"/>
            </w:tcBorders>
            <w:shd w:val="clear" w:color="000000" w:fill="C6EFCE"/>
            <w:vAlign w:val="center"/>
          </w:tcPr>
          <w:p w14:paraId="02D0BADF"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C9D9CC9" w14:textId="77777777" w:rsidR="00CE3BAD" w:rsidRPr="00782BF9" w:rsidRDefault="006B5475">
            <w:pPr>
              <w:pStyle w:val="P68B1DB1-Normal29"/>
              <w:spacing w:after="0" w:line="240" w:lineRule="auto"/>
              <w:rPr>
                <w:noProof/>
                <w:lang w:val="bg-BG"/>
              </w:rPr>
            </w:pPr>
            <w:r w:rsidRPr="00782BF9">
              <w:rPr>
                <w:noProof/>
                <w:lang w:val="bg-BG"/>
              </w:rPr>
              <w:t>Независима оценка на ефективността на цялостния набор от национални правила, свързани с агресивното данъчно планиране</w:t>
            </w:r>
          </w:p>
        </w:tc>
      </w:tr>
      <w:tr w:rsidR="00CE3BAD" w:rsidRPr="00782BF9" w14:paraId="6420B21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CDCB5C8" w14:textId="77777777" w:rsidR="00CE3BAD" w:rsidRPr="00782BF9" w:rsidRDefault="006B5475">
            <w:pPr>
              <w:pStyle w:val="P68B1DB1-Normal29"/>
              <w:spacing w:after="0" w:line="240" w:lineRule="auto"/>
              <w:rPr>
                <w:noProof/>
                <w:lang w:val="bg-BG"/>
              </w:rPr>
            </w:pPr>
            <w:r w:rsidRPr="00782BF9">
              <w:rPr>
                <w:noProof/>
                <w:lang w:val="bg-BG"/>
              </w:rPr>
              <w:t>266</w:t>
            </w:r>
          </w:p>
        </w:tc>
        <w:tc>
          <w:tcPr>
            <w:tcW w:w="3120" w:type="dxa"/>
            <w:tcBorders>
              <w:top w:val="nil"/>
              <w:left w:val="nil"/>
              <w:bottom w:val="single" w:sz="4" w:space="0" w:color="auto"/>
              <w:right w:val="single" w:sz="4" w:space="0" w:color="auto"/>
            </w:tcBorders>
            <w:shd w:val="clear" w:color="000000" w:fill="C6EFCE"/>
            <w:vAlign w:val="center"/>
          </w:tcPr>
          <w:p w14:paraId="0A366904" w14:textId="77777777" w:rsidR="00CE3BAD" w:rsidRPr="00782BF9" w:rsidRDefault="006B5475">
            <w:pPr>
              <w:pStyle w:val="P68B1DB1-Normal29"/>
              <w:spacing w:after="0" w:line="240" w:lineRule="auto"/>
              <w:rPr>
                <w:noProof/>
                <w:lang w:val="bg-BG"/>
              </w:rPr>
            </w:pPr>
            <w:r w:rsidRPr="00782BF9">
              <w:rPr>
                <w:noProof/>
                <w:lang w:val="bg-BG"/>
              </w:rPr>
              <w:t>C9.R37 Интегриране на използването на комуникационни кампании и поведенчески наблюдения от данъчната администрация</w:t>
            </w:r>
          </w:p>
        </w:tc>
        <w:tc>
          <w:tcPr>
            <w:tcW w:w="1164" w:type="dxa"/>
            <w:tcBorders>
              <w:top w:val="nil"/>
              <w:left w:val="nil"/>
              <w:bottom w:val="single" w:sz="4" w:space="0" w:color="auto"/>
              <w:right w:val="single" w:sz="4" w:space="0" w:color="auto"/>
            </w:tcBorders>
            <w:shd w:val="clear" w:color="000000" w:fill="C6EFCE"/>
            <w:vAlign w:val="center"/>
          </w:tcPr>
          <w:p w14:paraId="64676A2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E5F9695" w14:textId="77777777" w:rsidR="00CE3BAD" w:rsidRPr="00782BF9" w:rsidRDefault="006B5475">
            <w:pPr>
              <w:pStyle w:val="P68B1DB1-Normal29"/>
              <w:spacing w:after="0" w:line="240" w:lineRule="auto"/>
              <w:rPr>
                <w:noProof/>
                <w:lang w:val="bg-BG"/>
              </w:rPr>
            </w:pPr>
            <w:r w:rsidRPr="00782BF9">
              <w:rPr>
                <w:noProof/>
                <w:lang w:val="bg-BG"/>
              </w:rPr>
              <w:t>Наличие на нови функционалности на интегрираните платформи на NTCA</w:t>
            </w:r>
          </w:p>
        </w:tc>
      </w:tr>
      <w:tr w:rsidR="00CE3BAD" w:rsidRPr="00782BF9" w14:paraId="1FD78F4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55DD03C" w14:textId="77777777" w:rsidR="00CE3BAD" w:rsidRPr="00782BF9" w:rsidRDefault="006B5475">
            <w:pPr>
              <w:pStyle w:val="P68B1DB1-Normal29"/>
              <w:spacing w:after="0" w:line="240" w:lineRule="auto"/>
              <w:rPr>
                <w:noProof/>
                <w:lang w:val="bg-BG"/>
              </w:rPr>
            </w:pPr>
            <w:r w:rsidRPr="00782BF9">
              <w:rPr>
                <w:noProof/>
                <w:lang w:val="bg-BG"/>
              </w:rPr>
              <w:t>270</w:t>
            </w:r>
          </w:p>
        </w:tc>
        <w:tc>
          <w:tcPr>
            <w:tcW w:w="3120" w:type="dxa"/>
            <w:tcBorders>
              <w:top w:val="nil"/>
              <w:left w:val="nil"/>
              <w:bottom w:val="single" w:sz="4" w:space="0" w:color="auto"/>
              <w:right w:val="single" w:sz="4" w:space="0" w:color="auto"/>
            </w:tcBorders>
            <w:shd w:val="clear" w:color="000000" w:fill="C6EFCE"/>
            <w:vAlign w:val="center"/>
          </w:tcPr>
          <w:p w14:paraId="0B0A7580" w14:textId="77777777" w:rsidR="00CE3BAD" w:rsidRPr="00782BF9" w:rsidRDefault="006B5475">
            <w:pPr>
              <w:pStyle w:val="P68B1DB1-Normal29"/>
              <w:spacing w:after="0" w:line="240" w:lineRule="auto"/>
              <w:rPr>
                <w:noProof/>
                <w:lang w:val="bg-BG"/>
              </w:rPr>
            </w:pPr>
            <w:r w:rsidRPr="00782BF9">
              <w:rPr>
                <w:noProof/>
                <w:lang w:val="bg-BG"/>
              </w:rPr>
              <w:t>C9.R38 Подобряване на ефективността на публичните разходи чрез извършване на прегледи на разходите</w:t>
            </w:r>
          </w:p>
        </w:tc>
        <w:tc>
          <w:tcPr>
            <w:tcW w:w="1164" w:type="dxa"/>
            <w:tcBorders>
              <w:top w:val="nil"/>
              <w:left w:val="nil"/>
              <w:bottom w:val="single" w:sz="4" w:space="0" w:color="auto"/>
              <w:right w:val="single" w:sz="4" w:space="0" w:color="auto"/>
            </w:tcBorders>
            <w:shd w:val="clear" w:color="000000" w:fill="C6EFCE"/>
            <w:vAlign w:val="center"/>
          </w:tcPr>
          <w:p w14:paraId="2B4A71F7"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202C8A0" w14:textId="77777777" w:rsidR="00CE3BAD" w:rsidRPr="00782BF9" w:rsidRDefault="006B5475">
            <w:pPr>
              <w:pStyle w:val="P68B1DB1-Normal29"/>
              <w:spacing w:after="0" w:line="240" w:lineRule="auto"/>
              <w:rPr>
                <w:noProof/>
                <w:lang w:val="bg-BG"/>
              </w:rPr>
            </w:pPr>
            <w:r w:rsidRPr="00782BF9">
              <w:rPr>
                <w:noProof/>
                <w:lang w:val="bg-BG"/>
              </w:rPr>
              <w:t>Заключителен доклад относно резултатите от прегледа на разходите</w:t>
            </w:r>
          </w:p>
        </w:tc>
      </w:tr>
      <w:tr w:rsidR="00CE3BAD" w:rsidRPr="00782BF9" w14:paraId="06D48A8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BA1230A" w14:textId="77777777" w:rsidR="00CE3BAD" w:rsidRPr="00782BF9" w:rsidRDefault="006B5475">
            <w:pPr>
              <w:pStyle w:val="P68B1DB1-Normal29"/>
              <w:spacing w:after="0" w:line="240" w:lineRule="auto"/>
              <w:rPr>
                <w:noProof/>
                <w:lang w:val="bg-BG"/>
              </w:rPr>
            </w:pPr>
            <w:r w:rsidRPr="00782BF9">
              <w:rPr>
                <w:noProof/>
                <w:lang w:val="bg-BG"/>
              </w:rPr>
              <w:t>276</w:t>
            </w:r>
          </w:p>
        </w:tc>
        <w:tc>
          <w:tcPr>
            <w:tcW w:w="3120" w:type="dxa"/>
            <w:tcBorders>
              <w:top w:val="nil"/>
              <w:left w:val="nil"/>
              <w:bottom w:val="single" w:sz="4" w:space="0" w:color="auto"/>
              <w:right w:val="single" w:sz="4" w:space="0" w:color="auto"/>
            </w:tcBorders>
            <w:shd w:val="clear" w:color="000000" w:fill="C6EFCE"/>
            <w:vAlign w:val="center"/>
          </w:tcPr>
          <w:p w14:paraId="5FC9F499" w14:textId="77777777" w:rsidR="00CE3BAD" w:rsidRPr="00782BF9" w:rsidRDefault="006B5475">
            <w:pPr>
              <w:pStyle w:val="P68B1DB1-Normal29"/>
              <w:spacing w:after="0" w:line="240" w:lineRule="auto"/>
              <w:rPr>
                <w:noProof/>
                <w:lang w:val="bg-BG"/>
              </w:rPr>
            </w:pPr>
            <w:r w:rsidRPr="00782BF9">
              <w:rPr>
                <w:noProof/>
                <w:lang w:val="bg-BG"/>
              </w:rPr>
              <w:t>C10.R5: По-широко използване на динамично ценообразуване в споразуменията за закупуване на електроенергия</w:t>
            </w:r>
          </w:p>
        </w:tc>
        <w:tc>
          <w:tcPr>
            <w:tcW w:w="1164" w:type="dxa"/>
            <w:tcBorders>
              <w:top w:val="nil"/>
              <w:left w:val="nil"/>
              <w:bottom w:val="single" w:sz="4" w:space="0" w:color="auto"/>
              <w:right w:val="single" w:sz="4" w:space="0" w:color="auto"/>
            </w:tcBorders>
            <w:shd w:val="clear" w:color="000000" w:fill="C6EFCE"/>
            <w:vAlign w:val="center"/>
          </w:tcPr>
          <w:p w14:paraId="61B973B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299F18E" w14:textId="77777777" w:rsidR="00CE3BAD" w:rsidRPr="00782BF9" w:rsidRDefault="006B5475">
            <w:pPr>
              <w:pStyle w:val="P68B1DB1-Normal29"/>
              <w:spacing w:after="0" w:line="240" w:lineRule="auto"/>
              <w:rPr>
                <w:noProof/>
                <w:lang w:val="bg-BG"/>
              </w:rPr>
            </w:pPr>
            <w:r w:rsidRPr="00782BF9">
              <w:rPr>
                <w:noProof/>
                <w:lang w:val="bg-BG"/>
              </w:rPr>
              <w:t>Влизане в сила на измененото законодателство за улесняване на прилагането на динамично ценообразуване в сегмента на битовите потребители и микропредприятията</w:t>
            </w:r>
          </w:p>
        </w:tc>
      </w:tr>
      <w:tr w:rsidR="00CE3BAD" w:rsidRPr="00782BF9" w14:paraId="24184BB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2D37B38" w14:textId="77777777" w:rsidR="00CE3BAD" w:rsidRPr="00782BF9" w:rsidRDefault="006B5475">
            <w:pPr>
              <w:pStyle w:val="P68B1DB1-Normal29"/>
              <w:spacing w:after="0" w:line="240" w:lineRule="auto"/>
              <w:rPr>
                <w:noProof/>
                <w:lang w:val="bg-BG"/>
              </w:rPr>
            </w:pPr>
            <w:r w:rsidRPr="00782BF9">
              <w:rPr>
                <w:noProof/>
                <w:lang w:val="bg-BG"/>
              </w:rPr>
              <w:t>280</w:t>
            </w:r>
          </w:p>
        </w:tc>
        <w:tc>
          <w:tcPr>
            <w:tcW w:w="3120" w:type="dxa"/>
            <w:tcBorders>
              <w:top w:val="nil"/>
              <w:left w:val="nil"/>
              <w:bottom w:val="single" w:sz="4" w:space="0" w:color="auto"/>
              <w:right w:val="single" w:sz="4" w:space="0" w:color="auto"/>
            </w:tcBorders>
            <w:shd w:val="clear" w:color="000000" w:fill="C6EFCE"/>
            <w:vAlign w:val="center"/>
          </w:tcPr>
          <w:p w14:paraId="262AD7D5"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В.10.I1a: Развитие на цифровите технологии на равнището на системния оператор (безвъзмездни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54A6BA9A"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B5196F1" w14:textId="77777777" w:rsidR="00CE3BAD" w:rsidRPr="00782BF9" w:rsidRDefault="006B5475">
            <w:pPr>
              <w:pStyle w:val="P68B1DB1-Normal29"/>
              <w:spacing w:after="0" w:line="240" w:lineRule="auto"/>
              <w:rPr>
                <w:noProof/>
                <w:lang w:val="bg-BG"/>
              </w:rPr>
            </w:pPr>
            <w:r w:rsidRPr="00782BF9">
              <w:rPr>
                <w:noProof/>
                <w:lang w:val="bg-BG"/>
              </w:rPr>
              <w:t>Цифрови разработки, свързани с мрежовата инфраструктура и експлоатацията на електроенергийната мрежа на равнището на системния оператор</w:t>
            </w:r>
          </w:p>
        </w:tc>
      </w:tr>
      <w:tr w:rsidR="00CE3BAD" w:rsidRPr="00782BF9" w14:paraId="2E14C2A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31E16E8" w14:textId="77777777" w:rsidR="00CE3BAD" w:rsidRPr="00782BF9" w:rsidRDefault="006B5475">
            <w:pPr>
              <w:pStyle w:val="P68B1DB1-Normal29"/>
              <w:spacing w:after="0" w:line="240" w:lineRule="auto"/>
              <w:rPr>
                <w:noProof/>
                <w:lang w:val="bg-BG"/>
              </w:rPr>
            </w:pPr>
            <w:r w:rsidRPr="00782BF9">
              <w:rPr>
                <w:noProof/>
                <w:lang w:val="bg-BG"/>
              </w:rPr>
              <w:t>284</w:t>
            </w:r>
          </w:p>
        </w:tc>
        <w:tc>
          <w:tcPr>
            <w:tcW w:w="3120" w:type="dxa"/>
            <w:tcBorders>
              <w:top w:val="nil"/>
              <w:left w:val="nil"/>
              <w:bottom w:val="single" w:sz="4" w:space="0" w:color="auto"/>
              <w:right w:val="single" w:sz="4" w:space="0" w:color="auto"/>
            </w:tcBorders>
            <w:shd w:val="clear" w:color="000000" w:fill="C6EFCE"/>
            <w:vAlign w:val="center"/>
          </w:tcPr>
          <w:p w14:paraId="4461912E"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C10.I1b: Подобряване на точността на прогнозата за времето (безвъзмездни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6E0B75D0"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48B3A02D" w14:textId="77777777" w:rsidR="00CE3BAD" w:rsidRPr="00782BF9" w:rsidRDefault="006B5475">
            <w:pPr>
              <w:pStyle w:val="P68B1DB1-Normal29"/>
              <w:spacing w:after="0" w:line="240" w:lineRule="auto"/>
              <w:rPr>
                <w:noProof/>
                <w:lang w:val="bg-BG"/>
              </w:rPr>
            </w:pPr>
            <w:r w:rsidRPr="00782BF9">
              <w:rPr>
                <w:noProof/>
                <w:lang w:val="bg-BG"/>
              </w:rPr>
              <w:t xml:space="preserve">Метеорологични станции в експлоатация  </w:t>
            </w:r>
          </w:p>
        </w:tc>
      </w:tr>
      <w:tr w:rsidR="00CE3BAD" w:rsidRPr="00782BF9" w14:paraId="24A39A1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D7D4900" w14:textId="77777777" w:rsidR="00CE3BAD" w:rsidRPr="00782BF9" w:rsidRDefault="006B5475">
            <w:pPr>
              <w:pStyle w:val="P68B1DB1-Normal29"/>
              <w:spacing w:after="0" w:line="240" w:lineRule="auto"/>
              <w:rPr>
                <w:noProof/>
                <w:lang w:val="bg-BG"/>
              </w:rPr>
            </w:pPr>
            <w:r w:rsidRPr="00782BF9">
              <w:rPr>
                <w:noProof/>
                <w:lang w:val="bg-BG"/>
              </w:rPr>
              <w:t>287</w:t>
            </w:r>
          </w:p>
        </w:tc>
        <w:tc>
          <w:tcPr>
            <w:tcW w:w="3120" w:type="dxa"/>
            <w:tcBorders>
              <w:top w:val="nil"/>
              <w:left w:val="nil"/>
              <w:bottom w:val="single" w:sz="4" w:space="0" w:color="auto"/>
              <w:right w:val="single" w:sz="4" w:space="0" w:color="auto"/>
            </w:tcBorders>
            <w:shd w:val="clear" w:color="000000" w:fill="C6EFCE"/>
            <w:vAlign w:val="center"/>
          </w:tcPr>
          <w:p w14:paraId="7A668340"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C10.I1c:  Разширена мярка: Развитие на класическа и интелигентна мрежа за оператора на преносна система и оператора на разпределителна система</w:t>
            </w:r>
          </w:p>
        </w:tc>
        <w:tc>
          <w:tcPr>
            <w:tcW w:w="1164" w:type="dxa"/>
            <w:tcBorders>
              <w:top w:val="nil"/>
              <w:left w:val="nil"/>
              <w:bottom w:val="single" w:sz="4" w:space="0" w:color="auto"/>
              <w:right w:val="single" w:sz="4" w:space="0" w:color="auto"/>
            </w:tcBorders>
            <w:shd w:val="clear" w:color="000000" w:fill="C6EFCE"/>
            <w:vAlign w:val="center"/>
          </w:tcPr>
          <w:p w14:paraId="49C6310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352A57D" w14:textId="77777777" w:rsidR="00CE3BAD" w:rsidRPr="00782BF9" w:rsidRDefault="006B5475">
            <w:pPr>
              <w:pStyle w:val="P68B1DB1-Normal29"/>
              <w:spacing w:after="0" w:line="240" w:lineRule="auto"/>
              <w:rPr>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r>
      <w:tr w:rsidR="00CE3BAD" w:rsidRPr="00782BF9" w14:paraId="50B1807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35BD4A7" w14:textId="77777777" w:rsidR="00CE3BAD" w:rsidRPr="00782BF9" w:rsidRDefault="006B5475">
            <w:pPr>
              <w:pStyle w:val="P68B1DB1-Normal29"/>
              <w:spacing w:after="0" w:line="240" w:lineRule="auto"/>
              <w:rPr>
                <w:noProof/>
                <w:lang w:val="bg-BG"/>
              </w:rPr>
            </w:pPr>
            <w:r w:rsidRPr="00782BF9">
              <w:rPr>
                <w:noProof/>
                <w:lang w:val="bg-BG"/>
              </w:rPr>
              <w:t>291</w:t>
            </w:r>
          </w:p>
        </w:tc>
        <w:tc>
          <w:tcPr>
            <w:tcW w:w="3120" w:type="dxa"/>
            <w:tcBorders>
              <w:top w:val="nil"/>
              <w:left w:val="nil"/>
              <w:bottom w:val="single" w:sz="4" w:space="0" w:color="auto"/>
              <w:right w:val="single" w:sz="4" w:space="0" w:color="auto"/>
            </w:tcBorders>
            <w:shd w:val="clear" w:color="000000" w:fill="C6EFCE"/>
            <w:vAlign w:val="center"/>
          </w:tcPr>
          <w:p w14:paraId="64F9D226"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C10.I1d разширена мярка: Разпространение на интелигентни измервателни уреди (безвъзмездни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5EFFE09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95799BC" w14:textId="77777777" w:rsidR="00CE3BAD" w:rsidRPr="00782BF9" w:rsidRDefault="006B5475">
            <w:pPr>
              <w:pStyle w:val="P68B1DB1-Normal29"/>
              <w:spacing w:after="0" w:line="240" w:lineRule="auto"/>
              <w:rPr>
                <w:noProof/>
                <w:lang w:val="bg-BG"/>
              </w:rPr>
            </w:pPr>
            <w:r w:rsidRPr="00782BF9">
              <w:rPr>
                <w:noProof/>
                <w:lang w:val="bg-BG"/>
              </w:rPr>
              <w:t xml:space="preserve">Новоинсталирани интелигентни измервателни уреди </w:t>
            </w:r>
          </w:p>
        </w:tc>
      </w:tr>
      <w:tr w:rsidR="00CE3BAD" w:rsidRPr="00782BF9" w14:paraId="1692131A" w14:textId="77777777">
        <w:tblPrEx>
          <w:tblCellMar>
            <w:top w:w="0" w:type="dxa"/>
          </w:tblCellMar>
        </w:tblPrEx>
        <w:trPr>
          <w:trHeight w:val="460"/>
        </w:trPr>
        <w:tc>
          <w:tcPr>
            <w:tcW w:w="5522" w:type="dxa"/>
            <w:gridSpan w:val="3"/>
            <w:tcBorders>
              <w:top w:val="nil"/>
              <w:left w:val="single" w:sz="4" w:space="0" w:color="auto"/>
              <w:bottom w:val="single" w:sz="4" w:space="0" w:color="auto"/>
              <w:right w:val="single" w:sz="4" w:space="0" w:color="auto"/>
            </w:tcBorders>
            <w:shd w:val="clear" w:color="000000" w:fill="C6EFCE"/>
            <w:vAlign w:val="center"/>
          </w:tcPr>
          <w:p w14:paraId="449A0D6D"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nil"/>
              <w:left w:val="nil"/>
              <w:bottom w:val="single" w:sz="4" w:space="0" w:color="auto"/>
              <w:right w:val="single" w:sz="4" w:space="0" w:color="auto"/>
            </w:tcBorders>
            <w:shd w:val="clear" w:color="000000" w:fill="C6EFCE"/>
            <w:vAlign w:val="center"/>
          </w:tcPr>
          <w:p w14:paraId="6501F147" w14:textId="77777777" w:rsidR="00CE3BAD" w:rsidRPr="00782BF9" w:rsidRDefault="006B5475">
            <w:pPr>
              <w:pStyle w:val="P68B1DB1-Normal29"/>
              <w:spacing w:after="0" w:line="240" w:lineRule="auto"/>
              <w:jc w:val="center"/>
              <w:rPr>
                <w:noProof/>
                <w:lang w:val="bg-BG"/>
              </w:rPr>
            </w:pPr>
            <w:r w:rsidRPr="00782BF9">
              <w:rPr>
                <w:noProof/>
                <w:lang w:val="bg-BG"/>
              </w:rPr>
              <w:t>797 220 000 EUR</w:t>
            </w:r>
          </w:p>
        </w:tc>
      </w:tr>
    </w:tbl>
    <w:p w14:paraId="7CF38BE8" w14:textId="77777777" w:rsidR="00CE3BAD" w:rsidRPr="00782BF9" w:rsidRDefault="00CE3BAD">
      <w:pPr>
        <w:spacing w:before="120" w:after="120" w:line="240" w:lineRule="auto"/>
        <w:jc w:val="both"/>
        <w:rPr>
          <w:rFonts w:ascii="Times New Roman" w:eastAsia="Calibri" w:hAnsi="Times New Roman" w:cs="Times New Roman"/>
          <w:noProof/>
          <w:sz w:val="24"/>
          <w:lang w:val="bg-BG"/>
        </w:rPr>
      </w:pPr>
    </w:p>
    <w:p w14:paraId="264B3DB7" w14:textId="77777777" w:rsidR="00CE3BAD" w:rsidRPr="00782BF9" w:rsidRDefault="006B5475">
      <w:pPr>
        <w:pStyle w:val="P68B1DB1-ListParagraph27"/>
        <w:numPr>
          <w:ilvl w:val="1"/>
          <w:numId w:val="16"/>
        </w:numPr>
        <w:spacing w:before="120" w:after="120" w:line="240" w:lineRule="auto"/>
        <w:jc w:val="both"/>
        <w:rPr>
          <w:noProof/>
          <w:lang w:val="bg-BG"/>
        </w:rPr>
      </w:pPr>
      <w:r w:rsidRPr="00782BF9">
        <w:rPr>
          <w:noProof/>
          <w:lang w:val="bg-BG"/>
        </w:rPr>
        <w:t>Осма вноска (безвъзмездна подкрепа):</w:t>
      </w:r>
    </w:p>
    <w:p w14:paraId="2F8B67D4" w14:textId="77777777" w:rsidR="00CE3BAD" w:rsidRPr="00782BF9" w:rsidRDefault="006B5475">
      <w:pPr>
        <w:pStyle w:val="P68B1DB1-Normal30"/>
        <w:spacing w:before="120" w:after="120" w:line="240" w:lineRule="auto"/>
        <w:ind w:left="360"/>
        <w:jc w:val="both"/>
        <w:rPr>
          <w:noProof/>
          <w:lang w:val="bg-BG"/>
        </w:rPr>
      </w:pPr>
      <w:r w:rsidRPr="00782BF9">
        <w:rPr>
          <w:noProof/>
          <w:lang w:val="bg-BG"/>
        </w:rPr>
        <w:t xml:space="preserve"> </w:t>
      </w: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7AFC1946" w14:textId="77777777">
        <w:trPr>
          <w:trHeight w:val="450"/>
          <w:tblHeader/>
        </w:trPr>
        <w:tc>
          <w:tcPr>
            <w:tcW w:w="1238"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121AFB66"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302B2131"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01A523EE"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37600DBF"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1AD95CCB"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34628346"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4252DD2F"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7FFC3C39"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0A9F42FB"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63E36ED2"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1FC9A7C6"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16360A1C"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322E89F9"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3E6FD8F8"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5386588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71F4821" w14:textId="77777777" w:rsidR="00CE3BAD" w:rsidRPr="00782BF9" w:rsidRDefault="006B5475">
            <w:pPr>
              <w:pStyle w:val="P68B1DB1-Normal29"/>
              <w:spacing w:after="0" w:line="240" w:lineRule="auto"/>
              <w:rPr>
                <w:noProof/>
                <w:lang w:val="bg-BG"/>
              </w:rPr>
            </w:pPr>
            <w:r w:rsidRPr="00782BF9">
              <w:rPr>
                <w:noProof/>
                <w:lang w:val="bg-BG"/>
              </w:rPr>
              <w:t>6</w:t>
            </w:r>
          </w:p>
        </w:tc>
        <w:tc>
          <w:tcPr>
            <w:tcW w:w="3120" w:type="dxa"/>
            <w:tcBorders>
              <w:top w:val="nil"/>
              <w:left w:val="nil"/>
              <w:bottom w:val="single" w:sz="4" w:space="0" w:color="auto"/>
              <w:right w:val="single" w:sz="4" w:space="0" w:color="auto"/>
            </w:tcBorders>
            <w:shd w:val="clear" w:color="000000" w:fill="C6EFCE"/>
            <w:vAlign w:val="center"/>
          </w:tcPr>
          <w:p w14:paraId="761EEBA8" w14:textId="77777777" w:rsidR="00CE3BAD" w:rsidRPr="00782BF9" w:rsidRDefault="006B5475">
            <w:pPr>
              <w:pStyle w:val="P68B1DB1-Normal29"/>
              <w:spacing w:after="0" w:line="240" w:lineRule="auto"/>
              <w:rPr>
                <w:noProof/>
                <w:lang w:val="bg-BG"/>
              </w:rPr>
            </w:pPr>
            <w:r w:rsidRPr="00782BF9">
              <w:rPr>
                <w:noProof/>
                <w:lang w:val="bg-BG"/>
              </w:rPr>
              <w:t>В1.R1 Развитие на конкурентоспособно публично образование с използване на технологията на 21-ви век</w:t>
            </w:r>
          </w:p>
        </w:tc>
        <w:tc>
          <w:tcPr>
            <w:tcW w:w="1164" w:type="dxa"/>
            <w:tcBorders>
              <w:top w:val="nil"/>
              <w:left w:val="nil"/>
              <w:bottom w:val="single" w:sz="4" w:space="0" w:color="auto"/>
              <w:right w:val="single" w:sz="4" w:space="0" w:color="auto"/>
            </w:tcBorders>
            <w:shd w:val="clear" w:color="000000" w:fill="C6EFCE"/>
            <w:vAlign w:val="center"/>
          </w:tcPr>
          <w:p w14:paraId="1B438BC9"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9566C53" w14:textId="77777777" w:rsidR="00CE3BAD" w:rsidRPr="00782BF9" w:rsidRDefault="006B5475">
            <w:pPr>
              <w:pStyle w:val="P68B1DB1-Normal29"/>
              <w:spacing w:after="0" w:line="240" w:lineRule="auto"/>
              <w:rPr>
                <w:noProof/>
                <w:lang w:val="bg-BG"/>
              </w:rPr>
            </w:pPr>
            <w:r w:rsidRPr="00782BF9">
              <w:rPr>
                <w:noProof/>
                <w:lang w:val="bg-BG"/>
              </w:rPr>
              <w:t>Дял на учителите, използващи информационни и комуникационни технологии, в поне 40 % от своите класове</w:t>
            </w:r>
          </w:p>
        </w:tc>
      </w:tr>
      <w:tr w:rsidR="00CE3BAD" w:rsidRPr="00782BF9" w14:paraId="6177E4F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3FE6172" w14:textId="77777777" w:rsidR="00CE3BAD" w:rsidRPr="00782BF9" w:rsidRDefault="006B5475">
            <w:pPr>
              <w:pStyle w:val="P68B1DB1-Normal29"/>
              <w:spacing w:after="0" w:line="240" w:lineRule="auto"/>
              <w:rPr>
                <w:noProof/>
                <w:lang w:val="bg-BG"/>
              </w:rPr>
            </w:pPr>
            <w:r w:rsidRPr="00782BF9">
              <w:rPr>
                <w:noProof/>
                <w:lang w:val="bg-BG"/>
              </w:rPr>
              <w:t>11</w:t>
            </w:r>
          </w:p>
        </w:tc>
        <w:tc>
          <w:tcPr>
            <w:tcW w:w="3120" w:type="dxa"/>
            <w:tcBorders>
              <w:top w:val="nil"/>
              <w:left w:val="nil"/>
              <w:bottom w:val="single" w:sz="4" w:space="0" w:color="auto"/>
              <w:right w:val="single" w:sz="4" w:space="0" w:color="auto"/>
            </w:tcBorders>
            <w:shd w:val="clear" w:color="000000" w:fill="C6EFCE"/>
            <w:vAlign w:val="center"/>
          </w:tcPr>
          <w:p w14:paraId="30ED33AC" w14:textId="77777777" w:rsidR="00CE3BAD" w:rsidRPr="00782BF9" w:rsidRDefault="006B5475">
            <w:pPr>
              <w:pStyle w:val="P68B1DB1-Normal29"/>
              <w:spacing w:after="0" w:line="240" w:lineRule="auto"/>
              <w:rPr>
                <w:noProof/>
                <w:lang w:val="bg-BG"/>
              </w:rPr>
            </w:pPr>
            <w:r w:rsidRPr="00782BF9">
              <w:rPr>
                <w:noProof/>
                <w:lang w:val="bg-BG"/>
              </w:rPr>
              <w:t>C1.I2 Подкрепа за образованието на студенти със специални образователни потребности</w:t>
            </w:r>
          </w:p>
        </w:tc>
        <w:tc>
          <w:tcPr>
            <w:tcW w:w="1164" w:type="dxa"/>
            <w:tcBorders>
              <w:top w:val="nil"/>
              <w:left w:val="nil"/>
              <w:bottom w:val="single" w:sz="4" w:space="0" w:color="auto"/>
              <w:right w:val="single" w:sz="4" w:space="0" w:color="auto"/>
            </w:tcBorders>
            <w:shd w:val="clear" w:color="000000" w:fill="C6EFCE"/>
            <w:vAlign w:val="center"/>
          </w:tcPr>
          <w:p w14:paraId="16E41E7C"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8723C16" w14:textId="77777777" w:rsidR="00CE3BAD" w:rsidRPr="00782BF9" w:rsidRDefault="006B5475">
            <w:pPr>
              <w:pStyle w:val="P68B1DB1-Normal29"/>
              <w:spacing w:after="0" w:line="240" w:lineRule="auto"/>
              <w:rPr>
                <w:noProof/>
                <w:lang w:val="bg-BG"/>
              </w:rPr>
            </w:pPr>
            <w:r w:rsidRPr="00782BF9">
              <w:rPr>
                <w:noProof/>
                <w:lang w:val="bg-BG"/>
              </w:rPr>
              <w:t>Дял на специалните образователни институции, получили подкрепа за образованието на ученици със специални образователни потребности</w:t>
            </w:r>
          </w:p>
        </w:tc>
      </w:tr>
      <w:tr w:rsidR="00CE3BAD" w:rsidRPr="00782BF9" w14:paraId="7E104F4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F96E04B" w14:textId="77777777" w:rsidR="00CE3BAD" w:rsidRPr="00782BF9" w:rsidRDefault="006B5475">
            <w:pPr>
              <w:pStyle w:val="P68B1DB1-Normal29"/>
              <w:spacing w:after="0" w:line="240" w:lineRule="auto"/>
              <w:rPr>
                <w:noProof/>
                <w:lang w:val="bg-BG"/>
              </w:rPr>
            </w:pPr>
            <w:r w:rsidRPr="00782BF9">
              <w:rPr>
                <w:noProof/>
                <w:lang w:val="bg-BG"/>
              </w:rPr>
              <w:t>12</w:t>
            </w:r>
          </w:p>
        </w:tc>
        <w:tc>
          <w:tcPr>
            <w:tcW w:w="3120" w:type="dxa"/>
            <w:tcBorders>
              <w:top w:val="nil"/>
              <w:left w:val="nil"/>
              <w:bottom w:val="single" w:sz="4" w:space="0" w:color="auto"/>
              <w:right w:val="single" w:sz="4" w:space="0" w:color="auto"/>
            </w:tcBorders>
            <w:shd w:val="clear" w:color="000000" w:fill="C6EFCE"/>
            <w:vAlign w:val="center"/>
          </w:tcPr>
          <w:p w14:paraId="6A2788EA" w14:textId="77777777" w:rsidR="00CE3BAD" w:rsidRPr="00782BF9" w:rsidRDefault="006B5475">
            <w:pPr>
              <w:pStyle w:val="P68B1DB1-Normal29"/>
              <w:spacing w:after="0" w:line="240" w:lineRule="auto"/>
              <w:rPr>
                <w:noProof/>
                <w:lang w:val="bg-BG"/>
              </w:rPr>
            </w:pPr>
            <w:r w:rsidRPr="00782BF9">
              <w:rPr>
                <w:noProof/>
                <w:lang w:val="bg-BG"/>
              </w:rPr>
              <w:t>C1.I2 Подкрепа за образованието на ученици със специални образователни потребности</w:t>
            </w:r>
          </w:p>
        </w:tc>
        <w:tc>
          <w:tcPr>
            <w:tcW w:w="1164" w:type="dxa"/>
            <w:tcBorders>
              <w:top w:val="nil"/>
              <w:left w:val="nil"/>
              <w:bottom w:val="single" w:sz="4" w:space="0" w:color="auto"/>
              <w:right w:val="single" w:sz="4" w:space="0" w:color="auto"/>
            </w:tcBorders>
            <w:shd w:val="clear" w:color="000000" w:fill="C6EFCE"/>
            <w:vAlign w:val="center"/>
          </w:tcPr>
          <w:p w14:paraId="09BC79E3"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E9CBD21" w14:textId="77777777" w:rsidR="00CE3BAD" w:rsidRPr="00782BF9" w:rsidRDefault="006B5475">
            <w:pPr>
              <w:pStyle w:val="P68B1DB1-Normal29"/>
              <w:spacing w:after="0" w:line="240" w:lineRule="auto"/>
              <w:rPr>
                <w:noProof/>
                <w:lang w:val="bg-BG"/>
              </w:rPr>
            </w:pPr>
            <w:r w:rsidRPr="00782BF9">
              <w:rPr>
                <w:noProof/>
                <w:lang w:val="bg-BG"/>
              </w:rPr>
              <w:t>Брой ученици със специални образователни потребности, които са се възползвали от подобрени услуги</w:t>
            </w:r>
          </w:p>
        </w:tc>
      </w:tr>
      <w:tr w:rsidR="00CE3BAD" w:rsidRPr="00782BF9" w14:paraId="37A72D6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2BE9B7B" w14:textId="77777777" w:rsidR="00CE3BAD" w:rsidRPr="00782BF9" w:rsidRDefault="006B5475">
            <w:pPr>
              <w:pStyle w:val="P68B1DB1-Normal29"/>
              <w:spacing w:after="0" w:line="240" w:lineRule="auto"/>
              <w:rPr>
                <w:noProof/>
                <w:lang w:val="bg-BG"/>
              </w:rPr>
            </w:pPr>
            <w:r w:rsidRPr="00782BF9">
              <w:rPr>
                <w:noProof/>
                <w:lang w:val="bg-BG"/>
              </w:rPr>
              <w:t>13</w:t>
            </w:r>
          </w:p>
        </w:tc>
        <w:tc>
          <w:tcPr>
            <w:tcW w:w="3120" w:type="dxa"/>
            <w:tcBorders>
              <w:top w:val="nil"/>
              <w:left w:val="nil"/>
              <w:bottom w:val="single" w:sz="4" w:space="0" w:color="auto"/>
              <w:right w:val="single" w:sz="4" w:space="0" w:color="auto"/>
            </w:tcBorders>
            <w:shd w:val="clear" w:color="000000" w:fill="C6EFCE"/>
            <w:vAlign w:val="center"/>
          </w:tcPr>
          <w:p w14:paraId="755F902D" w14:textId="77777777" w:rsidR="00CE3BAD" w:rsidRPr="00782BF9" w:rsidRDefault="006B5475">
            <w:pPr>
              <w:pStyle w:val="P68B1DB1-Normal29"/>
              <w:spacing w:after="0" w:line="240" w:lineRule="auto"/>
              <w:rPr>
                <w:noProof/>
                <w:lang w:val="bg-BG"/>
              </w:rPr>
            </w:pPr>
            <w:r w:rsidRPr="00782BF9">
              <w:rPr>
                <w:noProof/>
                <w:lang w:val="bg-BG"/>
              </w:rPr>
              <w:t>C1.I2 Подкрепа за образованието на ученици със специални образователни потребности</w:t>
            </w:r>
          </w:p>
        </w:tc>
        <w:tc>
          <w:tcPr>
            <w:tcW w:w="1164" w:type="dxa"/>
            <w:tcBorders>
              <w:top w:val="nil"/>
              <w:left w:val="nil"/>
              <w:bottom w:val="single" w:sz="4" w:space="0" w:color="auto"/>
              <w:right w:val="single" w:sz="4" w:space="0" w:color="auto"/>
            </w:tcBorders>
            <w:shd w:val="clear" w:color="000000" w:fill="C6EFCE"/>
            <w:vAlign w:val="center"/>
          </w:tcPr>
          <w:p w14:paraId="6E2B0E06"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4C5E9CE" w14:textId="77777777" w:rsidR="00CE3BAD" w:rsidRPr="00782BF9" w:rsidRDefault="006B5475">
            <w:pPr>
              <w:pStyle w:val="P68B1DB1-Normal29"/>
              <w:spacing w:after="0" w:line="240" w:lineRule="auto"/>
              <w:rPr>
                <w:noProof/>
                <w:lang w:val="bg-BG"/>
              </w:rPr>
            </w:pPr>
            <w:r w:rsidRPr="00782BF9">
              <w:rPr>
                <w:noProof/>
                <w:lang w:val="bg-BG"/>
              </w:rPr>
              <w:t xml:space="preserve">Брой на учителите със специално образование, преминали професионално обучение на работното място </w:t>
            </w:r>
          </w:p>
        </w:tc>
      </w:tr>
      <w:tr w:rsidR="00CE3BAD" w:rsidRPr="00782BF9" w14:paraId="436E6A6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3865ACF" w14:textId="77777777" w:rsidR="00CE3BAD" w:rsidRPr="00782BF9" w:rsidRDefault="006B5475">
            <w:pPr>
              <w:pStyle w:val="P68B1DB1-Normal29"/>
              <w:spacing w:after="0" w:line="240" w:lineRule="auto"/>
              <w:rPr>
                <w:noProof/>
                <w:lang w:val="bg-BG"/>
              </w:rPr>
            </w:pPr>
            <w:r w:rsidRPr="00782BF9">
              <w:rPr>
                <w:noProof/>
                <w:lang w:val="bg-BG"/>
              </w:rPr>
              <w:t>21</w:t>
            </w:r>
          </w:p>
        </w:tc>
        <w:tc>
          <w:tcPr>
            <w:tcW w:w="3120" w:type="dxa"/>
            <w:tcBorders>
              <w:top w:val="nil"/>
              <w:left w:val="nil"/>
              <w:bottom w:val="single" w:sz="4" w:space="0" w:color="auto"/>
              <w:right w:val="single" w:sz="4" w:space="0" w:color="auto"/>
            </w:tcBorders>
            <w:shd w:val="clear" w:color="000000" w:fill="C6EFCE"/>
            <w:vAlign w:val="center"/>
          </w:tcPr>
          <w:p w14:paraId="7456711E" w14:textId="77777777" w:rsidR="00CE3BAD" w:rsidRPr="00782BF9" w:rsidRDefault="006B5475">
            <w:pPr>
              <w:pStyle w:val="P68B1DB1-Normal29"/>
              <w:spacing w:after="0" w:line="240" w:lineRule="auto"/>
              <w:rPr>
                <w:noProof/>
                <w:lang w:val="bg-BG"/>
              </w:rPr>
            </w:pPr>
            <w:r w:rsidRPr="00782BF9">
              <w:rPr>
                <w:noProof/>
                <w:lang w:val="bg-BG"/>
              </w:rPr>
              <w:t>C1.R3 Подобряване на привлекателността на учителската професия</w:t>
            </w:r>
          </w:p>
        </w:tc>
        <w:tc>
          <w:tcPr>
            <w:tcW w:w="1164" w:type="dxa"/>
            <w:tcBorders>
              <w:top w:val="nil"/>
              <w:left w:val="nil"/>
              <w:bottom w:val="single" w:sz="4" w:space="0" w:color="auto"/>
              <w:right w:val="single" w:sz="4" w:space="0" w:color="auto"/>
            </w:tcBorders>
            <w:shd w:val="clear" w:color="000000" w:fill="C6EFCE"/>
            <w:vAlign w:val="center"/>
          </w:tcPr>
          <w:p w14:paraId="333E756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E2A9A4D" w14:textId="77777777" w:rsidR="00CE3BAD" w:rsidRPr="00782BF9" w:rsidRDefault="006B5475">
            <w:pPr>
              <w:pStyle w:val="P68B1DB1-Normal29"/>
              <w:spacing w:after="0" w:line="240" w:lineRule="auto"/>
              <w:rPr>
                <w:noProof/>
                <w:lang w:val="bg-BG"/>
              </w:rPr>
            </w:pPr>
            <w:r w:rsidRPr="00782BF9">
              <w:rPr>
                <w:noProof/>
                <w:lang w:val="bg-BG"/>
              </w:rPr>
              <w:t>Прилагане на увеличенията на заплатите за учители, работещи в населени места в неравностойно положение, учители, работещи в училища с дял на учениците в неравностойно положение от най-малко 10 %, и учители в начално ниво</w:t>
            </w:r>
          </w:p>
        </w:tc>
      </w:tr>
      <w:tr w:rsidR="00CE3BAD" w:rsidRPr="00782BF9" w14:paraId="248E885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DF55AD1" w14:textId="77777777" w:rsidR="00CE3BAD" w:rsidRPr="00782BF9" w:rsidRDefault="006B5475">
            <w:pPr>
              <w:pStyle w:val="P68B1DB1-Normal29"/>
              <w:spacing w:after="0" w:line="240" w:lineRule="auto"/>
              <w:rPr>
                <w:noProof/>
                <w:lang w:val="bg-BG"/>
              </w:rPr>
            </w:pPr>
            <w:r w:rsidRPr="00782BF9">
              <w:rPr>
                <w:noProof/>
                <w:lang w:val="bg-BG"/>
              </w:rPr>
              <w:t>22</w:t>
            </w:r>
          </w:p>
        </w:tc>
        <w:tc>
          <w:tcPr>
            <w:tcW w:w="3120" w:type="dxa"/>
            <w:tcBorders>
              <w:top w:val="nil"/>
              <w:left w:val="nil"/>
              <w:bottom w:val="single" w:sz="4" w:space="0" w:color="auto"/>
              <w:right w:val="single" w:sz="4" w:space="0" w:color="auto"/>
            </w:tcBorders>
            <w:shd w:val="clear" w:color="000000" w:fill="C6EFCE"/>
            <w:vAlign w:val="center"/>
          </w:tcPr>
          <w:p w14:paraId="48A9FCDC" w14:textId="77777777" w:rsidR="00CE3BAD" w:rsidRPr="00782BF9" w:rsidRDefault="006B5475">
            <w:pPr>
              <w:pStyle w:val="P68B1DB1-Normal29"/>
              <w:spacing w:after="0" w:line="240" w:lineRule="auto"/>
              <w:rPr>
                <w:noProof/>
                <w:lang w:val="bg-BG"/>
              </w:rPr>
            </w:pPr>
            <w:r w:rsidRPr="00782BF9">
              <w:rPr>
                <w:noProof/>
                <w:lang w:val="bg-BG"/>
              </w:rPr>
              <w:t>C1.I3 Обучение на учители и подобряване на управленските умения на ръководителите на институции</w:t>
            </w:r>
          </w:p>
        </w:tc>
        <w:tc>
          <w:tcPr>
            <w:tcW w:w="1164" w:type="dxa"/>
            <w:tcBorders>
              <w:top w:val="nil"/>
              <w:left w:val="nil"/>
              <w:bottom w:val="single" w:sz="4" w:space="0" w:color="auto"/>
              <w:right w:val="single" w:sz="4" w:space="0" w:color="auto"/>
            </w:tcBorders>
            <w:shd w:val="clear" w:color="000000" w:fill="C6EFCE"/>
            <w:vAlign w:val="center"/>
          </w:tcPr>
          <w:p w14:paraId="3C56645B"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954C821" w14:textId="77777777" w:rsidR="00CE3BAD" w:rsidRPr="00782BF9" w:rsidRDefault="006B5475">
            <w:pPr>
              <w:pStyle w:val="P68B1DB1-Normal29"/>
              <w:spacing w:after="0" w:line="240" w:lineRule="auto"/>
              <w:rPr>
                <w:noProof/>
                <w:lang w:val="bg-BG"/>
              </w:rPr>
            </w:pPr>
            <w:r w:rsidRPr="00782BF9">
              <w:rPr>
                <w:noProof/>
                <w:lang w:val="bg-BG"/>
              </w:rPr>
              <w:t>Брой ръководители и заместник-ръководители на обществени образователни институции, участвали в продължаващото професионално развитие</w:t>
            </w:r>
          </w:p>
        </w:tc>
      </w:tr>
      <w:tr w:rsidR="00CE3BAD" w:rsidRPr="00782BF9" w14:paraId="5DD87CA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B11FA41" w14:textId="77777777" w:rsidR="00CE3BAD" w:rsidRPr="00782BF9" w:rsidRDefault="006B5475">
            <w:pPr>
              <w:pStyle w:val="P68B1DB1-Normal29"/>
              <w:spacing w:after="0" w:line="240" w:lineRule="auto"/>
              <w:rPr>
                <w:noProof/>
                <w:lang w:val="bg-BG"/>
              </w:rPr>
            </w:pPr>
            <w:r w:rsidRPr="00782BF9">
              <w:rPr>
                <w:noProof/>
                <w:lang w:val="bg-BG"/>
              </w:rPr>
              <w:t>23</w:t>
            </w:r>
          </w:p>
        </w:tc>
        <w:tc>
          <w:tcPr>
            <w:tcW w:w="3120" w:type="dxa"/>
            <w:tcBorders>
              <w:top w:val="nil"/>
              <w:left w:val="nil"/>
              <w:bottom w:val="single" w:sz="4" w:space="0" w:color="auto"/>
              <w:right w:val="single" w:sz="4" w:space="0" w:color="auto"/>
            </w:tcBorders>
            <w:shd w:val="clear" w:color="000000" w:fill="C6EFCE"/>
            <w:vAlign w:val="center"/>
          </w:tcPr>
          <w:p w14:paraId="4BBA585E" w14:textId="77777777" w:rsidR="00CE3BAD" w:rsidRPr="00782BF9" w:rsidRDefault="006B5475">
            <w:pPr>
              <w:pStyle w:val="P68B1DB1-Normal29"/>
              <w:spacing w:after="0" w:line="240" w:lineRule="auto"/>
              <w:rPr>
                <w:noProof/>
                <w:lang w:val="bg-BG"/>
              </w:rPr>
            </w:pPr>
            <w:r w:rsidRPr="00782BF9">
              <w:rPr>
                <w:noProof/>
                <w:lang w:val="bg-BG"/>
              </w:rPr>
              <w:t>C1.I3 Обучение на учители и подобряване на управленските умения на ръководителите на институции</w:t>
            </w:r>
          </w:p>
        </w:tc>
        <w:tc>
          <w:tcPr>
            <w:tcW w:w="1164" w:type="dxa"/>
            <w:tcBorders>
              <w:top w:val="nil"/>
              <w:left w:val="nil"/>
              <w:bottom w:val="single" w:sz="4" w:space="0" w:color="auto"/>
              <w:right w:val="single" w:sz="4" w:space="0" w:color="auto"/>
            </w:tcBorders>
            <w:shd w:val="clear" w:color="000000" w:fill="C6EFCE"/>
            <w:vAlign w:val="center"/>
          </w:tcPr>
          <w:p w14:paraId="46DCF64C"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5E1ADE2" w14:textId="77777777" w:rsidR="00CE3BAD" w:rsidRPr="00782BF9" w:rsidRDefault="006B5475">
            <w:pPr>
              <w:pStyle w:val="P68B1DB1-Normal29"/>
              <w:spacing w:after="0" w:line="240" w:lineRule="auto"/>
              <w:rPr>
                <w:noProof/>
                <w:lang w:val="bg-BG"/>
              </w:rPr>
            </w:pPr>
            <w:r w:rsidRPr="00782BF9">
              <w:rPr>
                <w:noProof/>
                <w:lang w:val="bg-BG"/>
              </w:rPr>
              <w:t>Брой учители от публични образователни институции, участвали в продължаващо професионално развитие</w:t>
            </w:r>
          </w:p>
        </w:tc>
      </w:tr>
      <w:tr w:rsidR="00CE3BAD" w:rsidRPr="00782BF9" w14:paraId="59D84C7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5324245" w14:textId="77777777" w:rsidR="00CE3BAD" w:rsidRPr="00782BF9" w:rsidRDefault="006B5475">
            <w:pPr>
              <w:pStyle w:val="P68B1DB1-Normal29"/>
              <w:spacing w:after="0" w:line="240" w:lineRule="auto"/>
              <w:rPr>
                <w:noProof/>
                <w:lang w:val="bg-BG"/>
              </w:rPr>
            </w:pPr>
            <w:r w:rsidRPr="00782BF9">
              <w:rPr>
                <w:noProof/>
                <w:lang w:val="bg-BG"/>
              </w:rPr>
              <w:t>32</w:t>
            </w:r>
          </w:p>
        </w:tc>
        <w:tc>
          <w:tcPr>
            <w:tcW w:w="3120" w:type="dxa"/>
            <w:tcBorders>
              <w:top w:val="nil"/>
              <w:left w:val="nil"/>
              <w:bottom w:val="single" w:sz="4" w:space="0" w:color="auto"/>
              <w:right w:val="single" w:sz="4" w:space="0" w:color="auto"/>
            </w:tcBorders>
            <w:shd w:val="clear" w:color="000000" w:fill="C6EFCE"/>
            <w:vAlign w:val="center"/>
          </w:tcPr>
          <w:p w14:paraId="04252EBB" w14:textId="77777777" w:rsidR="00CE3BAD" w:rsidRPr="00782BF9" w:rsidRDefault="006B5475">
            <w:pPr>
              <w:pStyle w:val="P68B1DB1-Normal29"/>
              <w:spacing w:after="0" w:line="240" w:lineRule="auto"/>
              <w:rPr>
                <w:noProof/>
                <w:lang w:val="bg-BG"/>
              </w:rPr>
            </w:pPr>
            <w:r w:rsidRPr="00782BF9">
              <w:rPr>
                <w:noProof/>
                <w:lang w:val="bg-BG"/>
              </w:rPr>
              <w:t xml:space="preserve">C2.I1 Институционални иновации и засилени дейности във висшето образование </w:t>
            </w:r>
          </w:p>
        </w:tc>
        <w:tc>
          <w:tcPr>
            <w:tcW w:w="1164" w:type="dxa"/>
            <w:tcBorders>
              <w:top w:val="nil"/>
              <w:left w:val="nil"/>
              <w:bottom w:val="single" w:sz="4" w:space="0" w:color="auto"/>
              <w:right w:val="single" w:sz="4" w:space="0" w:color="auto"/>
            </w:tcBorders>
            <w:shd w:val="clear" w:color="000000" w:fill="C6EFCE"/>
            <w:vAlign w:val="center"/>
          </w:tcPr>
          <w:p w14:paraId="217E715C"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ACF9D75" w14:textId="77777777" w:rsidR="00CE3BAD" w:rsidRPr="00782BF9" w:rsidRDefault="006B5475">
            <w:pPr>
              <w:pStyle w:val="P68B1DB1-Normal29"/>
              <w:spacing w:after="0" w:line="240" w:lineRule="auto"/>
              <w:rPr>
                <w:noProof/>
                <w:lang w:val="bg-BG"/>
              </w:rPr>
            </w:pPr>
            <w:r w:rsidRPr="00782BF9">
              <w:rPr>
                <w:noProof/>
                <w:lang w:val="bg-BG"/>
              </w:rPr>
              <w:t>Брой студенти/лица, получили удостоверение за микроквалификации във висши учебни заведения</w:t>
            </w:r>
          </w:p>
        </w:tc>
      </w:tr>
      <w:tr w:rsidR="00CE3BAD" w:rsidRPr="00782BF9" w14:paraId="42C8481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9FA95EC" w14:textId="77777777" w:rsidR="00CE3BAD" w:rsidRPr="00782BF9" w:rsidRDefault="006B5475">
            <w:pPr>
              <w:pStyle w:val="P68B1DB1-Normal29"/>
              <w:spacing w:after="0" w:line="240" w:lineRule="auto"/>
              <w:rPr>
                <w:noProof/>
                <w:lang w:val="bg-BG"/>
              </w:rPr>
            </w:pPr>
            <w:r w:rsidRPr="00782BF9">
              <w:rPr>
                <w:noProof/>
                <w:lang w:val="bg-BG"/>
              </w:rPr>
              <w:t>33</w:t>
            </w:r>
          </w:p>
        </w:tc>
        <w:tc>
          <w:tcPr>
            <w:tcW w:w="3120" w:type="dxa"/>
            <w:tcBorders>
              <w:top w:val="nil"/>
              <w:left w:val="nil"/>
              <w:bottom w:val="single" w:sz="4" w:space="0" w:color="auto"/>
              <w:right w:val="single" w:sz="4" w:space="0" w:color="auto"/>
            </w:tcBorders>
            <w:shd w:val="clear" w:color="000000" w:fill="C6EFCE"/>
            <w:vAlign w:val="center"/>
          </w:tcPr>
          <w:p w14:paraId="7D566203" w14:textId="77777777" w:rsidR="00CE3BAD" w:rsidRPr="00782BF9" w:rsidRDefault="006B5475">
            <w:pPr>
              <w:pStyle w:val="P68B1DB1-Normal29"/>
              <w:spacing w:after="0" w:line="240" w:lineRule="auto"/>
              <w:rPr>
                <w:noProof/>
                <w:lang w:val="bg-BG"/>
              </w:rPr>
            </w:pPr>
            <w:r w:rsidRPr="00782BF9">
              <w:rPr>
                <w:noProof/>
                <w:lang w:val="bg-BG"/>
              </w:rPr>
              <w:t xml:space="preserve">C2.I1 Институционални иновации и засилени дейности във висшето образование </w:t>
            </w:r>
          </w:p>
        </w:tc>
        <w:tc>
          <w:tcPr>
            <w:tcW w:w="1164" w:type="dxa"/>
            <w:tcBorders>
              <w:top w:val="nil"/>
              <w:left w:val="nil"/>
              <w:bottom w:val="single" w:sz="4" w:space="0" w:color="auto"/>
              <w:right w:val="single" w:sz="4" w:space="0" w:color="auto"/>
            </w:tcBorders>
            <w:shd w:val="clear" w:color="000000" w:fill="C6EFCE"/>
            <w:vAlign w:val="center"/>
          </w:tcPr>
          <w:p w14:paraId="75FB00C7"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959BD84" w14:textId="77777777" w:rsidR="00CE3BAD" w:rsidRPr="00782BF9" w:rsidRDefault="006B5475">
            <w:pPr>
              <w:pStyle w:val="P68B1DB1-Normal29"/>
              <w:spacing w:after="0" w:line="240" w:lineRule="auto"/>
              <w:rPr>
                <w:noProof/>
                <w:lang w:val="bg-BG"/>
              </w:rPr>
            </w:pPr>
            <w:r w:rsidRPr="00782BF9">
              <w:rPr>
                <w:noProof/>
                <w:lang w:val="bg-BG"/>
              </w:rPr>
              <w:t>Брой на разработеното цифрово учебно съдържание за висшето образование</w:t>
            </w:r>
          </w:p>
        </w:tc>
      </w:tr>
      <w:tr w:rsidR="00CE3BAD" w:rsidRPr="00782BF9" w14:paraId="7A4EDE4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882A414" w14:textId="77777777" w:rsidR="00CE3BAD" w:rsidRPr="00782BF9" w:rsidRDefault="006B5475">
            <w:pPr>
              <w:pStyle w:val="P68B1DB1-Normal29"/>
              <w:spacing w:after="0" w:line="240" w:lineRule="auto"/>
              <w:rPr>
                <w:noProof/>
                <w:lang w:val="bg-BG"/>
              </w:rPr>
            </w:pPr>
            <w:r w:rsidRPr="00782BF9">
              <w:rPr>
                <w:noProof/>
                <w:lang w:val="bg-BG"/>
              </w:rPr>
              <w:t>34</w:t>
            </w:r>
          </w:p>
        </w:tc>
        <w:tc>
          <w:tcPr>
            <w:tcW w:w="3120" w:type="dxa"/>
            <w:tcBorders>
              <w:top w:val="nil"/>
              <w:left w:val="nil"/>
              <w:bottom w:val="single" w:sz="4" w:space="0" w:color="auto"/>
              <w:right w:val="single" w:sz="4" w:space="0" w:color="auto"/>
            </w:tcBorders>
            <w:shd w:val="clear" w:color="000000" w:fill="C6EFCE"/>
            <w:vAlign w:val="center"/>
          </w:tcPr>
          <w:p w14:paraId="66DD4132" w14:textId="77777777" w:rsidR="00CE3BAD" w:rsidRPr="00782BF9" w:rsidRDefault="006B5475">
            <w:pPr>
              <w:pStyle w:val="P68B1DB1-Normal29"/>
              <w:spacing w:after="0" w:line="240" w:lineRule="auto"/>
              <w:rPr>
                <w:noProof/>
                <w:lang w:val="bg-BG"/>
              </w:rPr>
            </w:pPr>
            <w:r w:rsidRPr="00782BF9">
              <w:rPr>
                <w:noProof/>
                <w:lang w:val="bg-BG"/>
              </w:rPr>
              <w:t xml:space="preserve">C2.I1 Институционални иновации и засилени дейности във висшето образование </w:t>
            </w:r>
          </w:p>
        </w:tc>
        <w:tc>
          <w:tcPr>
            <w:tcW w:w="1164" w:type="dxa"/>
            <w:tcBorders>
              <w:top w:val="nil"/>
              <w:left w:val="nil"/>
              <w:bottom w:val="single" w:sz="4" w:space="0" w:color="auto"/>
              <w:right w:val="single" w:sz="4" w:space="0" w:color="auto"/>
            </w:tcBorders>
            <w:shd w:val="clear" w:color="000000" w:fill="C6EFCE"/>
            <w:vAlign w:val="center"/>
          </w:tcPr>
          <w:p w14:paraId="511B0244"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432C226" w14:textId="77777777" w:rsidR="00CE3BAD" w:rsidRPr="00782BF9" w:rsidRDefault="006B5475">
            <w:pPr>
              <w:pStyle w:val="P68B1DB1-Normal29"/>
              <w:spacing w:after="0" w:line="240" w:lineRule="auto"/>
              <w:rPr>
                <w:noProof/>
                <w:lang w:val="bg-BG"/>
              </w:rPr>
            </w:pPr>
            <w:r w:rsidRPr="00782BF9">
              <w:rPr>
                <w:noProof/>
                <w:lang w:val="bg-BG"/>
              </w:rPr>
              <w:t>Брой на студентите и персонала във висши учебни заведения, участвали в програми за развитие на цифровите умения</w:t>
            </w:r>
          </w:p>
        </w:tc>
      </w:tr>
      <w:tr w:rsidR="00CE3BAD" w:rsidRPr="00782BF9" w14:paraId="6564751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EB34082" w14:textId="77777777" w:rsidR="00CE3BAD" w:rsidRPr="00782BF9" w:rsidRDefault="006B5475">
            <w:pPr>
              <w:pStyle w:val="P68B1DB1-Normal29"/>
              <w:spacing w:after="0" w:line="240" w:lineRule="auto"/>
              <w:rPr>
                <w:noProof/>
                <w:lang w:val="bg-BG"/>
              </w:rPr>
            </w:pPr>
            <w:r w:rsidRPr="00782BF9">
              <w:rPr>
                <w:noProof/>
                <w:lang w:val="bg-BG"/>
              </w:rPr>
              <w:t>36</w:t>
            </w:r>
          </w:p>
        </w:tc>
        <w:tc>
          <w:tcPr>
            <w:tcW w:w="3120" w:type="dxa"/>
            <w:tcBorders>
              <w:top w:val="nil"/>
              <w:left w:val="nil"/>
              <w:bottom w:val="single" w:sz="4" w:space="0" w:color="auto"/>
              <w:right w:val="single" w:sz="4" w:space="0" w:color="auto"/>
            </w:tcBorders>
            <w:shd w:val="clear" w:color="000000" w:fill="C6EFCE"/>
            <w:vAlign w:val="center"/>
          </w:tcPr>
          <w:p w14:paraId="7DBEA3E6" w14:textId="77777777" w:rsidR="00CE3BAD" w:rsidRPr="00782BF9" w:rsidRDefault="006B5475">
            <w:pPr>
              <w:pStyle w:val="P68B1DB1-Normal29"/>
              <w:spacing w:after="0" w:line="240" w:lineRule="auto"/>
              <w:rPr>
                <w:noProof/>
                <w:lang w:val="bg-BG"/>
              </w:rPr>
            </w:pPr>
            <w:r w:rsidRPr="00782BF9">
              <w:rPr>
                <w:noProof/>
                <w:lang w:val="bg-BG"/>
              </w:rPr>
              <w:t>C2.I2 Модернизиране на инфраструктурата и цифровизация във висшите учебни заведения</w:t>
            </w:r>
          </w:p>
        </w:tc>
        <w:tc>
          <w:tcPr>
            <w:tcW w:w="1164" w:type="dxa"/>
            <w:tcBorders>
              <w:top w:val="nil"/>
              <w:left w:val="nil"/>
              <w:bottom w:val="single" w:sz="4" w:space="0" w:color="auto"/>
              <w:right w:val="single" w:sz="4" w:space="0" w:color="auto"/>
            </w:tcBorders>
            <w:shd w:val="clear" w:color="000000" w:fill="C6EFCE"/>
            <w:vAlign w:val="center"/>
          </w:tcPr>
          <w:p w14:paraId="15A2A53E"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BAA0A93" w14:textId="77777777" w:rsidR="00CE3BAD" w:rsidRPr="00782BF9" w:rsidRDefault="006B5475">
            <w:pPr>
              <w:pStyle w:val="P68B1DB1-Normal29"/>
              <w:spacing w:after="0" w:line="240" w:lineRule="auto"/>
              <w:rPr>
                <w:noProof/>
                <w:lang w:val="bg-BG"/>
              </w:rPr>
            </w:pPr>
            <w:r w:rsidRPr="00782BF9">
              <w:rPr>
                <w:noProof/>
                <w:lang w:val="bg-BG"/>
              </w:rPr>
              <w:t>Реконструкция за енергийна ефективност на сградна инфраструктура и строителство на нови сгради във висши учебни заведения</w:t>
            </w:r>
          </w:p>
        </w:tc>
      </w:tr>
      <w:tr w:rsidR="00CE3BAD" w:rsidRPr="00782BF9" w14:paraId="0A6F983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9EC6BA3" w14:textId="77777777" w:rsidR="00CE3BAD" w:rsidRPr="00782BF9" w:rsidRDefault="006B5475">
            <w:pPr>
              <w:pStyle w:val="P68B1DB1-Normal29"/>
              <w:spacing w:after="0" w:line="240" w:lineRule="auto"/>
              <w:rPr>
                <w:noProof/>
                <w:lang w:val="bg-BG"/>
              </w:rPr>
            </w:pPr>
            <w:r w:rsidRPr="00782BF9">
              <w:rPr>
                <w:noProof/>
                <w:lang w:val="bg-BG"/>
              </w:rPr>
              <w:t>37</w:t>
            </w:r>
          </w:p>
        </w:tc>
        <w:tc>
          <w:tcPr>
            <w:tcW w:w="3120" w:type="dxa"/>
            <w:tcBorders>
              <w:top w:val="nil"/>
              <w:left w:val="nil"/>
              <w:bottom w:val="single" w:sz="4" w:space="0" w:color="auto"/>
              <w:right w:val="single" w:sz="4" w:space="0" w:color="auto"/>
            </w:tcBorders>
            <w:shd w:val="clear" w:color="000000" w:fill="C6EFCE"/>
            <w:vAlign w:val="center"/>
          </w:tcPr>
          <w:p w14:paraId="5DEA3137" w14:textId="77777777" w:rsidR="00CE3BAD" w:rsidRPr="00782BF9" w:rsidRDefault="006B5475">
            <w:pPr>
              <w:pStyle w:val="P68B1DB1-Normal29"/>
              <w:spacing w:after="0" w:line="240" w:lineRule="auto"/>
              <w:rPr>
                <w:noProof/>
                <w:lang w:val="bg-BG"/>
              </w:rPr>
            </w:pPr>
            <w:r w:rsidRPr="00782BF9">
              <w:rPr>
                <w:noProof/>
                <w:lang w:val="bg-BG"/>
              </w:rPr>
              <w:t>C2.I2 Модернизиране на инфраструктурата и цифровизация във висшите учебни заведения</w:t>
            </w:r>
          </w:p>
        </w:tc>
        <w:tc>
          <w:tcPr>
            <w:tcW w:w="1164" w:type="dxa"/>
            <w:tcBorders>
              <w:top w:val="nil"/>
              <w:left w:val="nil"/>
              <w:bottom w:val="single" w:sz="4" w:space="0" w:color="auto"/>
              <w:right w:val="single" w:sz="4" w:space="0" w:color="auto"/>
            </w:tcBorders>
            <w:shd w:val="clear" w:color="000000" w:fill="C6EFCE"/>
            <w:vAlign w:val="center"/>
          </w:tcPr>
          <w:p w14:paraId="7C6F057C"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A326593" w14:textId="77777777" w:rsidR="00CE3BAD" w:rsidRPr="00782BF9" w:rsidRDefault="006B5475">
            <w:pPr>
              <w:pStyle w:val="P68B1DB1-Normal29"/>
              <w:spacing w:after="0" w:line="240" w:lineRule="auto"/>
              <w:rPr>
                <w:noProof/>
                <w:lang w:val="bg-BG"/>
              </w:rPr>
            </w:pPr>
            <w:r w:rsidRPr="00782BF9">
              <w:rPr>
                <w:noProof/>
                <w:lang w:val="bg-BG"/>
              </w:rPr>
              <w:t xml:space="preserve">Инсталиране на цифрово оборудване в сградите за висше образование </w:t>
            </w:r>
          </w:p>
        </w:tc>
      </w:tr>
      <w:tr w:rsidR="00CE3BAD" w:rsidRPr="00782BF9" w14:paraId="286B32D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6301BD9" w14:textId="77777777" w:rsidR="00CE3BAD" w:rsidRPr="00782BF9" w:rsidRDefault="006B5475">
            <w:pPr>
              <w:pStyle w:val="P68B1DB1-Normal29"/>
              <w:spacing w:after="0" w:line="240" w:lineRule="auto"/>
              <w:rPr>
                <w:noProof/>
                <w:lang w:val="bg-BG"/>
              </w:rPr>
            </w:pPr>
            <w:r w:rsidRPr="00782BF9">
              <w:rPr>
                <w:noProof/>
                <w:lang w:val="bg-BG"/>
              </w:rPr>
              <w:t>38</w:t>
            </w:r>
          </w:p>
        </w:tc>
        <w:tc>
          <w:tcPr>
            <w:tcW w:w="3120" w:type="dxa"/>
            <w:tcBorders>
              <w:top w:val="nil"/>
              <w:left w:val="nil"/>
              <w:bottom w:val="single" w:sz="4" w:space="0" w:color="auto"/>
              <w:right w:val="single" w:sz="4" w:space="0" w:color="auto"/>
            </w:tcBorders>
            <w:shd w:val="clear" w:color="000000" w:fill="C6EFCE"/>
            <w:vAlign w:val="center"/>
          </w:tcPr>
          <w:p w14:paraId="2EA93CCF" w14:textId="77777777" w:rsidR="00CE3BAD" w:rsidRPr="00782BF9" w:rsidRDefault="006B5475">
            <w:pPr>
              <w:pStyle w:val="P68B1DB1-Normal29"/>
              <w:spacing w:after="0" w:line="240" w:lineRule="auto"/>
              <w:rPr>
                <w:noProof/>
                <w:lang w:val="bg-BG"/>
              </w:rPr>
            </w:pPr>
            <w:r w:rsidRPr="00782BF9">
              <w:rPr>
                <w:noProof/>
                <w:lang w:val="bg-BG"/>
              </w:rPr>
              <w:t>C2.I2 Модернизиране на инфраструктурата и цифровизация във висшите учебни заведения</w:t>
            </w:r>
          </w:p>
        </w:tc>
        <w:tc>
          <w:tcPr>
            <w:tcW w:w="1164" w:type="dxa"/>
            <w:tcBorders>
              <w:top w:val="nil"/>
              <w:left w:val="nil"/>
              <w:bottom w:val="single" w:sz="4" w:space="0" w:color="auto"/>
              <w:right w:val="single" w:sz="4" w:space="0" w:color="auto"/>
            </w:tcBorders>
            <w:shd w:val="clear" w:color="000000" w:fill="C6EFCE"/>
            <w:vAlign w:val="center"/>
          </w:tcPr>
          <w:p w14:paraId="2D8E971C"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781" w:type="dxa"/>
            <w:tcBorders>
              <w:top w:val="nil"/>
              <w:left w:val="nil"/>
              <w:bottom w:val="single" w:sz="4" w:space="0" w:color="auto"/>
              <w:right w:val="single" w:sz="4" w:space="0" w:color="auto"/>
            </w:tcBorders>
            <w:shd w:val="clear" w:color="000000" w:fill="C6EFCE"/>
            <w:vAlign w:val="center"/>
          </w:tcPr>
          <w:p w14:paraId="5247D2B4" w14:textId="77777777" w:rsidR="00CE3BAD" w:rsidRPr="00782BF9" w:rsidRDefault="006B5475">
            <w:pPr>
              <w:pStyle w:val="P68B1DB1-Normal29"/>
              <w:spacing w:after="0" w:line="240" w:lineRule="auto"/>
              <w:rPr>
                <w:noProof/>
                <w:lang w:val="bg-BG"/>
              </w:rPr>
            </w:pPr>
            <w:r w:rsidRPr="00782BF9">
              <w:rPr>
                <w:noProof/>
                <w:lang w:val="bg-BG"/>
              </w:rPr>
              <w:t xml:space="preserve">Доклад относно дейностите за развитие на капацитет във висшите учебни заведения </w:t>
            </w:r>
          </w:p>
        </w:tc>
      </w:tr>
      <w:tr w:rsidR="00CE3BAD" w:rsidRPr="00782BF9" w14:paraId="3E229DA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3890CDC" w14:textId="77777777" w:rsidR="00CE3BAD" w:rsidRPr="00782BF9" w:rsidRDefault="006B5475">
            <w:pPr>
              <w:pStyle w:val="P68B1DB1-Normal29"/>
              <w:spacing w:after="0" w:line="240" w:lineRule="auto"/>
              <w:rPr>
                <w:noProof/>
                <w:lang w:val="bg-BG"/>
              </w:rPr>
            </w:pPr>
            <w:r w:rsidRPr="00782BF9">
              <w:rPr>
                <w:noProof/>
                <w:lang w:val="bg-BG"/>
              </w:rPr>
              <w:t>41</w:t>
            </w:r>
          </w:p>
        </w:tc>
        <w:tc>
          <w:tcPr>
            <w:tcW w:w="3120" w:type="dxa"/>
            <w:tcBorders>
              <w:top w:val="nil"/>
              <w:left w:val="nil"/>
              <w:bottom w:val="single" w:sz="4" w:space="0" w:color="auto"/>
              <w:right w:val="single" w:sz="4" w:space="0" w:color="auto"/>
            </w:tcBorders>
            <w:shd w:val="clear" w:color="000000" w:fill="C6EFCE"/>
            <w:vAlign w:val="center"/>
          </w:tcPr>
          <w:p w14:paraId="2BBF2FB6" w14:textId="77777777" w:rsidR="00CE3BAD" w:rsidRPr="00782BF9" w:rsidRDefault="006B5475">
            <w:pPr>
              <w:pStyle w:val="P68B1DB1-Normal29"/>
              <w:spacing w:after="0" w:line="240" w:lineRule="auto"/>
              <w:rPr>
                <w:noProof/>
                <w:lang w:val="bg-BG"/>
              </w:rPr>
            </w:pPr>
            <w:r w:rsidRPr="00782BF9">
              <w:rPr>
                <w:noProof/>
                <w:lang w:val="bg-BG"/>
              </w:rPr>
              <w:t>C2.I3 Разработване на цифрови учебни програми за професионално образование и обучение</w:t>
            </w:r>
          </w:p>
        </w:tc>
        <w:tc>
          <w:tcPr>
            <w:tcW w:w="1164" w:type="dxa"/>
            <w:tcBorders>
              <w:top w:val="nil"/>
              <w:left w:val="nil"/>
              <w:bottom w:val="single" w:sz="4" w:space="0" w:color="auto"/>
              <w:right w:val="single" w:sz="4" w:space="0" w:color="auto"/>
            </w:tcBorders>
            <w:shd w:val="clear" w:color="000000" w:fill="C6EFCE"/>
            <w:vAlign w:val="center"/>
          </w:tcPr>
          <w:p w14:paraId="60962026"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A5C3322" w14:textId="77777777" w:rsidR="00CE3BAD" w:rsidRPr="00782BF9" w:rsidRDefault="006B5475">
            <w:pPr>
              <w:pStyle w:val="P68B1DB1-Normal29"/>
              <w:spacing w:after="0" w:line="240" w:lineRule="auto"/>
              <w:rPr>
                <w:noProof/>
                <w:lang w:val="bg-BG"/>
              </w:rPr>
            </w:pPr>
            <w:r w:rsidRPr="00782BF9">
              <w:rPr>
                <w:noProof/>
                <w:lang w:val="bg-BG"/>
              </w:rPr>
              <w:t>Брой чираци в областта на професионалното образование и обучение, които са посещавали курсове въз основа на подобрени цифрови учебни материали</w:t>
            </w:r>
          </w:p>
        </w:tc>
      </w:tr>
      <w:tr w:rsidR="00CE3BAD" w:rsidRPr="00782BF9" w14:paraId="4C5F198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107FFA4" w14:textId="77777777" w:rsidR="00CE3BAD" w:rsidRPr="00782BF9" w:rsidRDefault="006B5475">
            <w:pPr>
              <w:pStyle w:val="P68B1DB1-Normal29"/>
              <w:spacing w:after="0" w:line="240" w:lineRule="auto"/>
              <w:rPr>
                <w:noProof/>
                <w:lang w:val="bg-BG"/>
              </w:rPr>
            </w:pPr>
            <w:r w:rsidRPr="00782BF9">
              <w:rPr>
                <w:noProof/>
                <w:lang w:val="bg-BG"/>
              </w:rPr>
              <w:t>43</w:t>
            </w:r>
          </w:p>
        </w:tc>
        <w:tc>
          <w:tcPr>
            <w:tcW w:w="3120" w:type="dxa"/>
            <w:tcBorders>
              <w:top w:val="nil"/>
              <w:left w:val="nil"/>
              <w:bottom w:val="single" w:sz="4" w:space="0" w:color="auto"/>
              <w:right w:val="single" w:sz="4" w:space="0" w:color="auto"/>
            </w:tcBorders>
            <w:shd w:val="clear" w:color="000000" w:fill="C6EFCE"/>
            <w:vAlign w:val="center"/>
          </w:tcPr>
          <w:p w14:paraId="3AE711D7" w14:textId="77777777" w:rsidR="00CE3BAD" w:rsidRPr="00782BF9" w:rsidRDefault="006B5475">
            <w:pPr>
              <w:pStyle w:val="P68B1DB1-Normal29"/>
              <w:spacing w:after="0" w:line="240" w:lineRule="auto"/>
              <w:rPr>
                <w:noProof/>
                <w:lang w:val="bg-BG"/>
              </w:rPr>
            </w:pPr>
            <w:r w:rsidRPr="00782BF9">
              <w:rPr>
                <w:noProof/>
                <w:lang w:val="bg-BG"/>
              </w:rPr>
              <w:t xml:space="preserve">C2.I4 Инфраструктура за професионално образование и обучение за 21-ви век </w:t>
            </w:r>
          </w:p>
        </w:tc>
        <w:tc>
          <w:tcPr>
            <w:tcW w:w="1164" w:type="dxa"/>
            <w:tcBorders>
              <w:top w:val="nil"/>
              <w:left w:val="nil"/>
              <w:bottom w:val="single" w:sz="4" w:space="0" w:color="auto"/>
              <w:right w:val="single" w:sz="4" w:space="0" w:color="auto"/>
            </w:tcBorders>
            <w:shd w:val="clear" w:color="000000" w:fill="C6EFCE"/>
            <w:vAlign w:val="center"/>
          </w:tcPr>
          <w:p w14:paraId="4DA44816"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26E4BCF" w14:textId="77777777" w:rsidR="00CE3BAD" w:rsidRPr="00782BF9" w:rsidRDefault="006B5475">
            <w:pPr>
              <w:pStyle w:val="P68B1DB1-Normal29"/>
              <w:spacing w:after="0" w:line="240" w:lineRule="auto"/>
              <w:rPr>
                <w:noProof/>
                <w:lang w:val="bg-BG"/>
              </w:rPr>
            </w:pPr>
            <w:r w:rsidRPr="00782BF9">
              <w:rPr>
                <w:noProof/>
                <w:lang w:val="bg-BG"/>
              </w:rPr>
              <w:t xml:space="preserve">Енергийно ефективно обновяване на центровете за професионално образование и обучение </w:t>
            </w:r>
          </w:p>
        </w:tc>
      </w:tr>
      <w:tr w:rsidR="00CE3BAD" w:rsidRPr="00782BF9" w14:paraId="5694D7C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763BF10" w14:textId="77777777" w:rsidR="00CE3BAD" w:rsidRPr="00782BF9" w:rsidRDefault="006B5475">
            <w:pPr>
              <w:pStyle w:val="P68B1DB1-Normal29"/>
              <w:spacing w:after="0" w:line="240" w:lineRule="auto"/>
              <w:rPr>
                <w:noProof/>
                <w:lang w:val="bg-BG"/>
              </w:rPr>
            </w:pPr>
            <w:r w:rsidRPr="00782BF9">
              <w:rPr>
                <w:noProof/>
                <w:lang w:val="bg-BG"/>
              </w:rPr>
              <w:t>44</w:t>
            </w:r>
          </w:p>
        </w:tc>
        <w:tc>
          <w:tcPr>
            <w:tcW w:w="3120" w:type="dxa"/>
            <w:tcBorders>
              <w:top w:val="nil"/>
              <w:left w:val="nil"/>
              <w:bottom w:val="single" w:sz="4" w:space="0" w:color="auto"/>
              <w:right w:val="single" w:sz="4" w:space="0" w:color="auto"/>
            </w:tcBorders>
            <w:shd w:val="clear" w:color="000000" w:fill="C6EFCE"/>
            <w:vAlign w:val="center"/>
          </w:tcPr>
          <w:p w14:paraId="48A5B349" w14:textId="77777777" w:rsidR="00CE3BAD" w:rsidRPr="00782BF9" w:rsidRDefault="006B5475">
            <w:pPr>
              <w:pStyle w:val="P68B1DB1-Normal29"/>
              <w:spacing w:after="0" w:line="240" w:lineRule="auto"/>
              <w:rPr>
                <w:noProof/>
                <w:lang w:val="bg-BG"/>
              </w:rPr>
            </w:pPr>
            <w:r w:rsidRPr="00782BF9">
              <w:rPr>
                <w:noProof/>
                <w:lang w:val="bg-BG"/>
              </w:rPr>
              <w:t xml:space="preserve">C2.I4 Инфраструктура за професионално образование и обучение за 21-ви век </w:t>
            </w:r>
          </w:p>
        </w:tc>
        <w:tc>
          <w:tcPr>
            <w:tcW w:w="1164" w:type="dxa"/>
            <w:tcBorders>
              <w:top w:val="nil"/>
              <w:left w:val="nil"/>
              <w:bottom w:val="single" w:sz="4" w:space="0" w:color="auto"/>
              <w:right w:val="single" w:sz="4" w:space="0" w:color="auto"/>
            </w:tcBorders>
            <w:shd w:val="clear" w:color="000000" w:fill="C6EFCE"/>
            <w:vAlign w:val="center"/>
          </w:tcPr>
          <w:p w14:paraId="17DBD5B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7A24097" w14:textId="77777777" w:rsidR="00CE3BAD" w:rsidRPr="00782BF9" w:rsidRDefault="006B5475">
            <w:pPr>
              <w:pStyle w:val="P68B1DB1-Normal29"/>
              <w:spacing w:after="0" w:line="240" w:lineRule="auto"/>
              <w:rPr>
                <w:noProof/>
                <w:lang w:val="bg-BG"/>
              </w:rPr>
            </w:pPr>
            <w:r w:rsidRPr="00782BF9">
              <w:rPr>
                <w:noProof/>
                <w:lang w:val="bg-BG"/>
              </w:rPr>
              <w:t xml:space="preserve">Закупуване на ИКТ оборудване за центрове за професионално образование и обучение </w:t>
            </w:r>
          </w:p>
        </w:tc>
      </w:tr>
      <w:tr w:rsidR="00CE3BAD" w:rsidRPr="00782BF9" w14:paraId="1020EB9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7265E29" w14:textId="77777777" w:rsidR="00CE3BAD" w:rsidRPr="00782BF9" w:rsidRDefault="006B5475">
            <w:pPr>
              <w:pStyle w:val="P68B1DB1-Normal29"/>
              <w:spacing w:after="0" w:line="240" w:lineRule="auto"/>
              <w:rPr>
                <w:noProof/>
                <w:lang w:val="bg-BG"/>
              </w:rPr>
            </w:pPr>
            <w:r w:rsidRPr="00782BF9">
              <w:rPr>
                <w:noProof/>
                <w:lang w:val="bg-BG"/>
              </w:rPr>
              <w:t>45</w:t>
            </w:r>
          </w:p>
        </w:tc>
        <w:tc>
          <w:tcPr>
            <w:tcW w:w="3120" w:type="dxa"/>
            <w:tcBorders>
              <w:top w:val="nil"/>
              <w:left w:val="nil"/>
              <w:bottom w:val="single" w:sz="4" w:space="0" w:color="auto"/>
              <w:right w:val="single" w:sz="4" w:space="0" w:color="auto"/>
            </w:tcBorders>
            <w:shd w:val="clear" w:color="000000" w:fill="C6EFCE"/>
            <w:vAlign w:val="center"/>
          </w:tcPr>
          <w:p w14:paraId="05F70A36" w14:textId="77777777" w:rsidR="00CE3BAD" w:rsidRPr="00782BF9" w:rsidRDefault="006B5475">
            <w:pPr>
              <w:pStyle w:val="P68B1DB1-Normal29"/>
              <w:spacing w:after="0" w:line="240" w:lineRule="auto"/>
              <w:rPr>
                <w:noProof/>
                <w:lang w:val="bg-BG"/>
              </w:rPr>
            </w:pPr>
            <w:r w:rsidRPr="00782BF9">
              <w:rPr>
                <w:noProof/>
                <w:lang w:val="bg-BG"/>
              </w:rPr>
              <w:t xml:space="preserve">C2.I4 Инфраструктура за професионално образование и обучение за 21-ви век </w:t>
            </w:r>
          </w:p>
        </w:tc>
        <w:tc>
          <w:tcPr>
            <w:tcW w:w="1164" w:type="dxa"/>
            <w:tcBorders>
              <w:top w:val="nil"/>
              <w:left w:val="nil"/>
              <w:bottom w:val="single" w:sz="4" w:space="0" w:color="auto"/>
              <w:right w:val="single" w:sz="4" w:space="0" w:color="auto"/>
            </w:tcBorders>
            <w:shd w:val="clear" w:color="000000" w:fill="C6EFCE"/>
            <w:vAlign w:val="center"/>
          </w:tcPr>
          <w:p w14:paraId="714F7FBF"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1E4C331" w14:textId="77777777" w:rsidR="00CE3BAD" w:rsidRPr="00782BF9" w:rsidRDefault="006B5475">
            <w:pPr>
              <w:pStyle w:val="P68B1DB1-Normal29"/>
              <w:spacing w:after="0" w:line="240" w:lineRule="auto"/>
              <w:rPr>
                <w:noProof/>
                <w:lang w:val="bg-BG"/>
              </w:rPr>
            </w:pPr>
            <w:r w:rsidRPr="00782BF9">
              <w:rPr>
                <w:noProof/>
                <w:lang w:val="bg-BG"/>
              </w:rPr>
              <w:t>Брой центрове за професионално образование и обучение с подобрена инфраструктура</w:t>
            </w:r>
          </w:p>
        </w:tc>
      </w:tr>
      <w:tr w:rsidR="00CE3BAD" w:rsidRPr="00782BF9" w14:paraId="56C3FD2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9F9FF6D" w14:textId="77777777" w:rsidR="00CE3BAD" w:rsidRPr="00782BF9" w:rsidRDefault="006B5475">
            <w:pPr>
              <w:pStyle w:val="P68B1DB1-Normal29"/>
              <w:spacing w:after="0" w:line="240" w:lineRule="auto"/>
              <w:rPr>
                <w:noProof/>
                <w:lang w:val="bg-BG"/>
              </w:rPr>
            </w:pPr>
            <w:r w:rsidRPr="00782BF9">
              <w:rPr>
                <w:noProof/>
                <w:lang w:val="bg-BG"/>
              </w:rPr>
              <w:t>47</w:t>
            </w:r>
          </w:p>
        </w:tc>
        <w:tc>
          <w:tcPr>
            <w:tcW w:w="3120" w:type="dxa"/>
            <w:tcBorders>
              <w:top w:val="nil"/>
              <w:left w:val="nil"/>
              <w:bottom w:val="single" w:sz="4" w:space="0" w:color="auto"/>
              <w:right w:val="single" w:sz="4" w:space="0" w:color="auto"/>
            </w:tcBorders>
            <w:shd w:val="clear" w:color="000000" w:fill="C6EFCE"/>
            <w:vAlign w:val="center"/>
          </w:tcPr>
          <w:p w14:paraId="66C8EC0F" w14:textId="77777777" w:rsidR="00CE3BAD" w:rsidRPr="00782BF9" w:rsidRDefault="006B5475">
            <w:pPr>
              <w:pStyle w:val="P68B1DB1-Normal29"/>
              <w:spacing w:after="0" w:line="240" w:lineRule="auto"/>
              <w:rPr>
                <w:noProof/>
                <w:lang w:val="bg-BG"/>
              </w:rPr>
            </w:pPr>
            <w:r w:rsidRPr="00782BF9">
              <w:rPr>
                <w:noProof/>
                <w:lang w:val="bg-BG"/>
              </w:rPr>
              <w:t xml:space="preserve">C2.I5 Развитие на Централния изпитен център </w:t>
            </w:r>
          </w:p>
        </w:tc>
        <w:tc>
          <w:tcPr>
            <w:tcW w:w="1164" w:type="dxa"/>
            <w:tcBorders>
              <w:top w:val="nil"/>
              <w:left w:val="nil"/>
              <w:bottom w:val="single" w:sz="4" w:space="0" w:color="auto"/>
              <w:right w:val="single" w:sz="4" w:space="0" w:color="auto"/>
            </w:tcBorders>
            <w:shd w:val="clear" w:color="000000" w:fill="C6EFCE"/>
            <w:vAlign w:val="center"/>
          </w:tcPr>
          <w:p w14:paraId="4514F82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07FED6B" w14:textId="77777777" w:rsidR="00CE3BAD" w:rsidRPr="00782BF9" w:rsidRDefault="006B5475">
            <w:pPr>
              <w:pStyle w:val="P68B1DB1-Normal29"/>
              <w:spacing w:after="0" w:line="240" w:lineRule="auto"/>
              <w:rPr>
                <w:noProof/>
                <w:lang w:val="bg-BG"/>
              </w:rPr>
            </w:pPr>
            <w:r w:rsidRPr="00782BF9">
              <w:rPr>
                <w:noProof/>
                <w:lang w:val="bg-BG"/>
              </w:rPr>
              <w:t xml:space="preserve">Приключване на Централния изпитен център </w:t>
            </w:r>
          </w:p>
        </w:tc>
      </w:tr>
      <w:tr w:rsidR="00CE3BAD" w:rsidRPr="00782BF9" w14:paraId="48F09BB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7D2E455" w14:textId="77777777" w:rsidR="00CE3BAD" w:rsidRPr="00782BF9" w:rsidRDefault="006B5475">
            <w:pPr>
              <w:pStyle w:val="P68B1DB1-Normal29"/>
              <w:spacing w:after="0" w:line="240" w:lineRule="auto"/>
              <w:rPr>
                <w:noProof/>
                <w:lang w:val="bg-BG"/>
              </w:rPr>
            </w:pPr>
            <w:r w:rsidRPr="00782BF9">
              <w:rPr>
                <w:noProof/>
                <w:lang w:val="bg-BG"/>
              </w:rPr>
              <w:t>49</w:t>
            </w:r>
          </w:p>
        </w:tc>
        <w:tc>
          <w:tcPr>
            <w:tcW w:w="3120" w:type="dxa"/>
            <w:tcBorders>
              <w:top w:val="nil"/>
              <w:left w:val="nil"/>
              <w:bottom w:val="single" w:sz="4" w:space="0" w:color="auto"/>
              <w:right w:val="single" w:sz="4" w:space="0" w:color="auto"/>
            </w:tcBorders>
            <w:shd w:val="clear" w:color="000000" w:fill="C6EFCE"/>
            <w:vAlign w:val="center"/>
          </w:tcPr>
          <w:p w14:paraId="308E68B2" w14:textId="77777777" w:rsidR="00CE3BAD" w:rsidRPr="00782BF9" w:rsidRDefault="006B5475">
            <w:pPr>
              <w:pStyle w:val="P68B1DB1-Normal29"/>
              <w:spacing w:after="0" w:line="240" w:lineRule="auto"/>
              <w:rPr>
                <w:noProof/>
                <w:lang w:val="bg-BG"/>
              </w:rPr>
            </w:pPr>
            <w:r w:rsidRPr="00782BF9">
              <w:rPr>
                <w:noProof/>
                <w:lang w:val="bg-BG"/>
              </w:rPr>
              <w:t>C2.I6 Създаване на национални лаборатории за научноизследователска и развойна дейност</w:t>
            </w:r>
          </w:p>
        </w:tc>
        <w:tc>
          <w:tcPr>
            <w:tcW w:w="1164" w:type="dxa"/>
            <w:tcBorders>
              <w:top w:val="nil"/>
              <w:left w:val="nil"/>
              <w:bottom w:val="single" w:sz="4" w:space="0" w:color="auto"/>
              <w:right w:val="single" w:sz="4" w:space="0" w:color="auto"/>
            </w:tcBorders>
            <w:shd w:val="clear" w:color="000000" w:fill="C6EFCE"/>
            <w:vAlign w:val="center"/>
          </w:tcPr>
          <w:p w14:paraId="62534A0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04B044C" w14:textId="77777777" w:rsidR="00CE3BAD" w:rsidRPr="00782BF9" w:rsidRDefault="006B5475">
            <w:pPr>
              <w:pStyle w:val="P68B1DB1-Normal29"/>
              <w:spacing w:after="0" w:line="240" w:lineRule="auto"/>
              <w:rPr>
                <w:noProof/>
                <w:lang w:val="bg-BG"/>
              </w:rPr>
            </w:pPr>
            <w:r w:rsidRPr="00782BF9">
              <w:rPr>
                <w:noProof/>
                <w:lang w:val="bg-BG"/>
              </w:rPr>
              <w:t>Доклад за работата на националните лаборатории</w:t>
            </w:r>
          </w:p>
        </w:tc>
      </w:tr>
      <w:tr w:rsidR="00CE3BAD" w:rsidRPr="00782BF9" w14:paraId="71D2E59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192BFF4" w14:textId="77777777" w:rsidR="00CE3BAD" w:rsidRPr="00782BF9" w:rsidRDefault="006B5475">
            <w:pPr>
              <w:pStyle w:val="P68B1DB1-Normal29"/>
              <w:spacing w:after="0" w:line="240" w:lineRule="auto"/>
              <w:rPr>
                <w:noProof/>
                <w:lang w:val="bg-BG"/>
              </w:rPr>
            </w:pPr>
            <w:r w:rsidRPr="00782BF9">
              <w:rPr>
                <w:noProof/>
                <w:lang w:val="bg-BG"/>
              </w:rPr>
              <w:t>54</w:t>
            </w:r>
          </w:p>
        </w:tc>
        <w:tc>
          <w:tcPr>
            <w:tcW w:w="3120" w:type="dxa"/>
            <w:tcBorders>
              <w:top w:val="nil"/>
              <w:left w:val="nil"/>
              <w:bottom w:val="single" w:sz="4" w:space="0" w:color="auto"/>
              <w:right w:val="single" w:sz="4" w:space="0" w:color="auto"/>
            </w:tcBorders>
            <w:shd w:val="clear" w:color="000000" w:fill="C6EFCE"/>
            <w:vAlign w:val="center"/>
          </w:tcPr>
          <w:p w14:paraId="05DAD2E1" w14:textId="77777777" w:rsidR="00CE3BAD" w:rsidRPr="00782BF9" w:rsidRDefault="006B5475">
            <w:pPr>
              <w:pStyle w:val="P68B1DB1-Normal29"/>
              <w:spacing w:after="0" w:line="240" w:lineRule="auto"/>
              <w:rPr>
                <w:noProof/>
                <w:lang w:val="bg-BG"/>
              </w:rPr>
            </w:pPr>
            <w:r w:rsidRPr="00782BF9">
              <w:rPr>
                <w:noProof/>
                <w:lang w:val="bg-BG"/>
              </w:rPr>
              <w:t>C3.I1 Строителство и обновяване на социални жилища, подобряване на жилищните условия</w:t>
            </w:r>
          </w:p>
        </w:tc>
        <w:tc>
          <w:tcPr>
            <w:tcW w:w="1164" w:type="dxa"/>
            <w:tcBorders>
              <w:top w:val="nil"/>
              <w:left w:val="nil"/>
              <w:bottom w:val="single" w:sz="4" w:space="0" w:color="auto"/>
              <w:right w:val="single" w:sz="4" w:space="0" w:color="auto"/>
            </w:tcBorders>
            <w:shd w:val="clear" w:color="000000" w:fill="C6EFCE"/>
            <w:vAlign w:val="center"/>
          </w:tcPr>
          <w:p w14:paraId="36D8B00B"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1E67994" w14:textId="77777777" w:rsidR="00CE3BAD" w:rsidRPr="00782BF9" w:rsidRDefault="006B5475">
            <w:pPr>
              <w:pStyle w:val="P68B1DB1-Normal29"/>
              <w:spacing w:after="0" w:line="240" w:lineRule="auto"/>
              <w:rPr>
                <w:noProof/>
                <w:lang w:val="bg-BG"/>
              </w:rPr>
            </w:pPr>
            <w:r w:rsidRPr="00782BF9">
              <w:rPr>
                <w:noProof/>
                <w:lang w:val="bg-BG"/>
              </w:rPr>
              <w:t>Обновяване на допълнителни жилища</w:t>
            </w:r>
          </w:p>
        </w:tc>
      </w:tr>
      <w:tr w:rsidR="00CE3BAD" w:rsidRPr="00782BF9" w14:paraId="6C35B86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2BF1FAF" w14:textId="77777777" w:rsidR="00CE3BAD" w:rsidRPr="00782BF9" w:rsidRDefault="006B5475">
            <w:pPr>
              <w:pStyle w:val="P68B1DB1-Normal29"/>
              <w:spacing w:after="0" w:line="240" w:lineRule="auto"/>
              <w:rPr>
                <w:noProof/>
                <w:lang w:val="bg-BG"/>
              </w:rPr>
            </w:pPr>
            <w:r w:rsidRPr="00782BF9">
              <w:rPr>
                <w:noProof/>
                <w:lang w:val="bg-BG"/>
              </w:rPr>
              <w:t>56</w:t>
            </w:r>
          </w:p>
        </w:tc>
        <w:tc>
          <w:tcPr>
            <w:tcW w:w="3120" w:type="dxa"/>
            <w:tcBorders>
              <w:top w:val="nil"/>
              <w:left w:val="nil"/>
              <w:bottom w:val="single" w:sz="4" w:space="0" w:color="auto"/>
              <w:right w:val="single" w:sz="4" w:space="0" w:color="auto"/>
            </w:tcBorders>
            <w:shd w:val="clear" w:color="000000" w:fill="C6EFCE"/>
            <w:vAlign w:val="center"/>
          </w:tcPr>
          <w:p w14:paraId="392F5537" w14:textId="77777777" w:rsidR="00CE3BAD" w:rsidRPr="00782BF9" w:rsidRDefault="006B5475">
            <w:pPr>
              <w:pStyle w:val="P68B1DB1-Normal29"/>
              <w:spacing w:after="0" w:line="240" w:lineRule="auto"/>
              <w:rPr>
                <w:noProof/>
                <w:lang w:val="bg-BG"/>
              </w:rPr>
            </w:pPr>
            <w:r w:rsidRPr="00782BF9">
              <w:rPr>
                <w:noProof/>
                <w:lang w:val="bg-BG"/>
              </w:rPr>
              <w:t>C3.I1 Строителство и обновяване на социални жилища, подобряване на жилищните условия</w:t>
            </w:r>
          </w:p>
        </w:tc>
        <w:tc>
          <w:tcPr>
            <w:tcW w:w="1164" w:type="dxa"/>
            <w:tcBorders>
              <w:top w:val="nil"/>
              <w:left w:val="nil"/>
              <w:bottom w:val="single" w:sz="4" w:space="0" w:color="auto"/>
              <w:right w:val="single" w:sz="4" w:space="0" w:color="auto"/>
            </w:tcBorders>
            <w:shd w:val="clear" w:color="000000" w:fill="C6EFCE"/>
            <w:vAlign w:val="center"/>
          </w:tcPr>
          <w:p w14:paraId="67E4F43F"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557B09D9" w14:textId="77777777" w:rsidR="00CE3BAD" w:rsidRPr="00782BF9" w:rsidRDefault="006B5475">
            <w:pPr>
              <w:pStyle w:val="P68B1DB1-Normal29"/>
              <w:spacing w:after="0" w:line="240" w:lineRule="auto"/>
              <w:rPr>
                <w:noProof/>
                <w:lang w:val="bg-BG"/>
              </w:rPr>
            </w:pPr>
            <w:r w:rsidRPr="00782BF9">
              <w:rPr>
                <w:noProof/>
                <w:lang w:val="bg-BG"/>
              </w:rPr>
              <w:t xml:space="preserve">Изграждане на допълнителни нови социални жилища </w:t>
            </w:r>
          </w:p>
        </w:tc>
      </w:tr>
      <w:tr w:rsidR="00CE3BAD" w:rsidRPr="00782BF9" w14:paraId="3411808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3F10B55" w14:textId="77777777" w:rsidR="00CE3BAD" w:rsidRPr="00782BF9" w:rsidRDefault="006B5475">
            <w:pPr>
              <w:pStyle w:val="P68B1DB1-Normal29"/>
              <w:spacing w:after="0" w:line="240" w:lineRule="auto"/>
              <w:rPr>
                <w:noProof/>
                <w:lang w:val="bg-BG"/>
              </w:rPr>
            </w:pPr>
            <w:r w:rsidRPr="00782BF9">
              <w:rPr>
                <w:noProof/>
                <w:lang w:val="bg-BG"/>
              </w:rPr>
              <w:t>60</w:t>
            </w:r>
          </w:p>
        </w:tc>
        <w:tc>
          <w:tcPr>
            <w:tcW w:w="3120" w:type="dxa"/>
            <w:tcBorders>
              <w:top w:val="nil"/>
              <w:left w:val="nil"/>
              <w:bottom w:val="single" w:sz="4" w:space="0" w:color="auto"/>
              <w:right w:val="single" w:sz="4" w:space="0" w:color="auto"/>
            </w:tcBorders>
            <w:shd w:val="clear" w:color="000000" w:fill="C6EFCE"/>
            <w:vAlign w:val="center"/>
          </w:tcPr>
          <w:p w14:paraId="314C9EB6" w14:textId="77777777" w:rsidR="00CE3BAD" w:rsidRPr="00782BF9" w:rsidRDefault="006B5475">
            <w:pPr>
              <w:pStyle w:val="P68B1DB1-Normal29"/>
              <w:spacing w:after="0" w:line="240" w:lineRule="auto"/>
              <w:rPr>
                <w:noProof/>
                <w:lang w:val="bg-BG"/>
              </w:rPr>
            </w:pPr>
            <w:r w:rsidRPr="00782BF9">
              <w:rPr>
                <w:noProof/>
                <w:lang w:val="bg-BG"/>
              </w:rPr>
              <w:t>C3.I3 Насърчаване на заетостта и развитието на умения въз основа на местните особености</w:t>
            </w:r>
          </w:p>
        </w:tc>
        <w:tc>
          <w:tcPr>
            <w:tcW w:w="1164" w:type="dxa"/>
            <w:tcBorders>
              <w:top w:val="nil"/>
              <w:left w:val="nil"/>
              <w:bottom w:val="single" w:sz="4" w:space="0" w:color="auto"/>
              <w:right w:val="single" w:sz="4" w:space="0" w:color="auto"/>
            </w:tcBorders>
            <w:shd w:val="clear" w:color="000000" w:fill="C6EFCE"/>
            <w:vAlign w:val="center"/>
          </w:tcPr>
          <w:p w14:paraId="637175FF"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2C8953A" w14:textId="77777777" w:rsidR="00CE3BAD" w:rsidRPr="00782BF9" w:rsidRDefault="006B5475">
            <w:pPr>
              <w:pStyle w:val="P68B1DB1-Normal29"/>
              <w:spacing w:after="0" w:line="240" w:lineRule="auto"/>
              <w:rPr>
                <w:noProof/>
                <w:lang w:val="bg-BG"/>
              </w:rPr>
            </w:pPr>
            <w:r w:rsidRPr="00782BF9">
              <w:rPr>
                <w:noProof/>
                <w:lang w:val="bg-BG"/>
              </w:rPr>
              <w:t>Допълнително участие в програми за социализация на пазара на труда</w:t>
            </w:r>
          </w:p>
        </w:tc>
      </w:tr>
      <w:tr w:rsidR="00CE3BAD" w:rsidRPr="00782BF9" w14:paraId="4E0BE4E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E7C8633" w14:textId="77777777" w:rsidR="00CE3BAD" w:rsidRPr="00782BF9" w:rsidRDefault="006B5475">
            <w:pPr>
              <w:pStyle w:val="P68B1DB1-Normal29"/>
              <w:spacing w:after="0" w:line="240" w:lineRule="auto"/>
              <w:rPr>
                <w:noProof/>
                <w:lang w:val="bg-BG"/>
              </w:rPr>
            </w:pPr>
            <w:r w:rsidRPr="00782BF9">
              <w:rPr>
                <w:noProof/>
                <w:lang w:val="bg-BG"/>
              </w:rPr>
              <w:t>62</w:t>
            </w:r>
          </w:p>
        </w:tc>
        <w:tc>
          <w:tcPr>
            <w:tcW w:w="3120" w:type="dxa"/>
            <w:tcBorders>
              <w:top w:val="nil"/>
              <w:left w:val="nil"/>
              <w:bottom w:val="single" w:sz="4" w:space="0" w:color="auto"/>
              <w:right w:val="single" w:sz="4" w:space="0" w:color="auto"/>
            </w:tcBorders>
            <w:shd w:val="clear" w:color="000000" w:fill="C6EFCE"/>
            <w:vAlign w:val="center"/>
          </w:tcPr>
          <w:p w14:paraId="2A350D1F" w14:textId="77777777" w:rsidR="00CE3BAD" w:rsidRPr="00782BF9" w:rsidRDefault="006B5475">
            <w:pPr>
              <w:pStyle w:val="P68B1DB1-Normal29"/>
              <w:spacing w:after="0" w:line="240" w:lineRule="auto"/>
              <w:rPr>
                <w:noProof/>
                <w:lang w:val="bg-BG"/>
              </w:rPr>
            </w:pPr>
            <w:r w:rsidRPr="00782BF9">
              <w:rPr>
                <w:noProof/>
                <w:lang w:val="bg-BG"/>
              </w:rPr>
              <w:t>C3.I4 педагогика, ориентирана към Общността</w:t>
            </w:r>
          </w:p>
        </w:tc>
        <w:tc>
          <w:tcPr>
            <w:tcW w:w="1164" w:type="dxa"/>
            <w:tcBorders>
              <w:top w:val="nil"/>
              <w:left w:val="nil"/>
              <w:bottom w:val="single" w:sz="4" w:space="0" w:color="auto"/>
              <w:right w:val="single" w:sz="4" w:space="0" w:color="auto"/>
            </w:tcBorders>
            <w:shd w:val="clear" w:color="000000" w:fill="C6EFCE"/>
            <w:vAlign w:val="center"/>
          </w:tcPr>
          <w:p w14:paraId="504539C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AC54C47" w14:textId="77777777" w:rsidR="00CE3BAD" w:rsidRPr="00782BF9" w:rsidRDefault="006B5475">
            <w:pPr>
              <w:pStyle w:val="P68B1DB1-Normal29"/>
              <w:spacing w:after="0" w:line="240" w:lineRule="auto"/>
              <w:rPr>
                <w:noProof/>
                <w:lang w:val="bg-BG"/>
              </w:rPr>
            </w:pPr>
            <w:r w:rsidRPr="00782BF9">
              <w:rPr>
                <w:noProof/>
                <w:lang w:val="bg-BG"/>
              </w:rPr>
              <w:t>Педагогическо развитие на допълнителни обществени институции за образование и професионално обучение в избраните населени места</w:t>
            </w:r>
          </w:p>
        </w:tc>
      </w:tr>
      <w:tr w:rsidR="00CE3BAD" w:rsidRPr="00782BF9" w14:paraId="7646A9E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9588892" w14:textId="77777777" w:rsidR="00CE3BAD" w:rsidRPr="00782BF9" w:rsidRDefault="006B5475">
            <w:pPr>
              <w:pStyle w:val="P68B1DB1-Normal29"/>
              <w:spacing w:after="0" w:line="240" w:lineRule="auto"/>
              <w:rPr>
                <w:noProof/>
                <w:lang w:val="bg-BG"/>
              </w:rPr>
            </w:pPr>
            <w:r w:rsidRPr="00782BF9">
              <w:rPr>
                <w:noProof/>
                <w:lang w:val="bg-BG"/>
              </w:rPr>
              <w:t>66</w:t>
            </w:r>
          </w:p>
        </w:tc>
        <w:tc>
          <w:tcPr>
            <w:tcW w:w="3120" w:type="dxa"/>
            <w:tcBorders>
              <w:top w:val="nil"/>
              <w:left w:val="nil"/>
              <w:bottom w:val="single" w:sz="4" w:space="0" w:color="auto"/>
              <w:right w:val="single" w:sz="4" w:space="0" w:color="auto"/>
            </w:tcBorders>
            <w:shd w:val="clear" w:color="000000" w:fill="C6EFCE"/>
            <w:vAlign w:val="center"/>
          </w:tcPr>
          <w:p w14:paraId="147C140C" w14:textId="77777777" w:rsidR="00CE3BAD" w:rsidRPr="00782BF9" w:rsidRDefault="006B5475">
            <w:pPr>
              <w:pStyle w:val="P68B1DB1-Normal29"/>
              <w:spacing w:after="0" w:line="240" w:lineRule="auto"/>
              <w:rPr>
                <w:noProof/>
                <w:lang w:val="bg-BG"/>
              </w:rPr>
            </w:pPr>
            <w:r w:rsidRPr="00782BF9">
              <w:rPr>
                <w:noProof/>
                <w:lang w:val="bg-BG"/>
              </w:rPr>
              <w:t>C4.R1 Повишаване на осведомеността</w:t>
            </w:r>
          </w:p>
        </w:tc>
        <w:tc>
          <w:tcPr>
            <w:tcW w:w="1164" w:type="dxa"/>
            <w:tcBorders>
              <w:top w:val="nil"/>
              <w:left w:val="nil"/>
              <w:bottom w:val="single" w:sz="4" w:space="0" w:color="auto"/>
              <w:right w:val="single" w:sz="4" w:space="0" w:color="auto"/>
            </w:tcBorders>
            <w:shd w:val="clear" w:color="000000" w:fill="C6EFCE"/>
            <w:vAlign w:val="center"/>
          </w:tcPr>
          <w:p w14:paraId="7719BD03"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175262F" w14:textId="77777777" w:rsidR="00CE3BAD" w:rsidRPr="00782BF9" w:rsidRDefault="006B5475">
            <w:pPr>
              <w:pStyle w:val="P68B1DB1-Normal29"/>
              <w:spacing w:after="0" w:line="240" w:lineRule="auto"/>
              <w:rPr>
                <w:noProof/>
                <w:lang w:val="bg-BG"/>
              </w:rPr>
            </w:pPr>
            <w:r w:rsidRPr="00782BF9">
              <w:rPr>
                <w:noProof/>
                <w:lang w:val="bg-BG"/>
              </w:rPr>
              <w:t>Хектари обработваема земя, претърпяла промени в селскостопанските практики за пестене на вода</w:t>
            </w:r>
          </w:p>
        </w:tc>
      </w:tr>
      <w:tr w:rsidR="00CE3BAD" w:rsidRPr="00782BF9" w14:paraId="63E8B34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FF19C34" w14:textId="77777777" w:rsidR="00CE3BAD" w:rsidRPr="00782BF9" w:rsidRDefault="006B5475">
            <w:pPr>
              <w:pStyle w:val="P68B1DB1-Normal29"/>
              <w:spacing w:after="0" w:line="240" w:lineRule="auto"/>
              <w:rPr>
                <w:noProof/>
                <w:lang w:val="bg-BG"/>
              </w:rPr>
            </w:pPr>
            <w:r w:rsidRPr="00782BF9">
              <w:rPr>
                <w:noProof/>
                <w:lang w:val="bg-BG"/>
              </w:rPr>
              <w:t>76</w:t>
            </w:r>
          </w:p>
        </w:tc>
        <w:tc>
          <w:tcPr>
            <w:tcW w:w="3120" w:type="dxa"/>
            <w:tcBorders>
              <w:top w:val="nil"/>
              <w:left w:val="nil"/>
              <w:bottom w:val="single" w:sz="4" w:space="0" w:color="auto"/>
              <w:right w:val="single" w:sz="4" w:space="0" w:color="auto"/>
            </w:tcBorders>
            <w:shd w:val="clear" w:color="000000" w:fill="C6EFCE"/>
            <w:vAlign w:val="center"/>
          </w:tcPr>
          <w:p w14:paraId="430225DF" w14:textId="77777777" w:rsidR="00CE3BAD" w:rsidRPr="00782BF9" w:rsidRDefault="006B5475">
            <w:pPr>
              <w:pStyle w:val="P68B1DB1-Normal29"/>
              <w:spacing w:after="0" w:line="240" w:lineRule="auto"/>
              <w:rPr>
                <w:noProof/>
                <w:lang w:val="bg-BG"/>
              </w:rPr>
            </w:pPr>
            <w:r w:rsidRPr="00782BF9">
              <w:rPr>
                <w:noProof/>
                <w:lang w:val="bg-BG"/>
              </w:rPr>
              <w:t>C4.I3 Защита на природата</w:t>
            </w:r>
          </w:p>
        </w:tc>
        <w:tc>
          <w:tcPr>
            <w:tcW w:w="1164" w:type="dxa"/>
            <w:tcBorders>
              <w:top w:val="nil"/>
              <w:left w:val="nil"/>
              <w:bottom w:val="single" w:sz="4" w:space="0" w:color="auto"/>
              <w:right w:val="single" w:sz="4" w:space="0" w:color="auto"/>
            </w:tcBorders>
            <w:shd w:val="clear" w:color="000000" w:fill="C6EFCE"/>
            <w:vAlign w:val="center"/>
          </w:tcPr>
          <w:p w14:paraId="4473B19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570653E" w14:textId="77777777" w:rsidR="00CE3BAD" w:rsidRPr="00782BF9" w:rsidRDefault="006B5475">
            <w:pPr>
              <w:pStyle w:val="P68B1DB1-Normal29"/>
              <w:spacing w:after="0" w:line="240" w:lineRule="auto"/>
              <w:rPr>
                <w:noProof/>
                <w:lang w:val="bg-BG"/>
              </w:rPr>
            </w:pPr>
            <w:r w:rsidRPr="00782BF9">
              <w:rPr>
                <w:noProof/>
                <w:lang w:val="bg-BG"/>
              </w:rPr>
              <w:t>Приключване на проекта „Подобряване на сигурността на екологичното водоснабдяване в защитената зона по „Натура 2000“ Hanság</w:t>
            </w:r>
          </w:p>
        </w:tc>
      </w:tr>
      <w:tr w:rsidR="00CE3BAD" w:rsidRPr="00782BF9" w14:paraId="299BB17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1323D4C" w14:textId="77777777" w:rsidR="00CE3BAD" w:rsidRPr="00782BF9" w:rsidRDefault="006B5475">
            <w:pPr>
              <w:pStyle w:val="P68B1DB1-Normal29"/>
              <w:spacing w:after="0" w:line="240" w:lineRule="auto"/>
              <w:rPr>
                <w:noProof/>
                <w:lang w:val="bg-BG"/>
              </w:rPr>
            </w:pPr>
            <w:r w:rsidRPr="00782BF9">
              <w:rPr>
                <w:noProof/>
                <w:lang w:val="bg-BG"/>
              </w:rPr>
              <w:t>77</w:t>
            </w:r>
          </w:p>
        </w:tc>
        <w:tc>
          <w:tcPr>
            <w:tcW w:w="3120" w:type="dxa"/>
            <w:tcBorders>
              <w:top w:val="nil"/>
              <w:left w:val="nil"/>
              <w:bottom w:val="single" w:sz="4" w:space="0" w:color="auto"/>
              <w:right w:val="single" w:sz="4" w:space="0" w:color="auto"/>
            </w:tcBorders>
            <w:shd w:val="clear" w:color="000000" w:fill="C6EFCE"/>
            <w:vAlign w:val="center"/>
          </w:tcPr>
          <w:p w14:paraId="2F6687A5" w14:textId="77777777" w:rsidR="00CE3BAD" w:rsidRPr="00782BF9" w:rsidRDefault="006B5475">
            <w:pPr>
              <w:pStyle w:val="P68B1DB1-Normal29"/>
              <w:spacing w:after="0" w:line="240" w:lineRule="auto"/>
              <w:rPr>
                <w:noProof/>
                <w:lang w:val="bg-BG"/>
              </w:rPr>
            </w:pPr>
            <w:r w:rsidRPr="00782BF9">
              <w:rPr>
                <w:noProof/>
                <w:lang w:val="bg-BG"/>
              </w:rPr>
              <w:t>C4.I3 Защита на природата</w:t>
            </w:r>
          </w:p>
        </w:tc>
        <w:tc>
          <w:tcPr>
            <w:tcW w:w="1164" w:type="dxa"/>
            <w:tcBorders>
              <w:top w:val="nil"/>
              <w:left w:val="nil"/>
              <w:bottom w:val="single" w:sz="4" w:space="0" w:color="auto"/>
              <w:right w:val="single" w:sz="4" w:space="0" w:color="auto"/>
            </w:tcBorders>
            <w:shd w:val="clear" w:color="000000" w:fill="C6EFCE"/>
            <w:vAlign w:val="center"/>
          </w:tcPr>
          <w:p w14:paraId="0B6E825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989E179" w14:textId="77777777" w:rsidR="00CE3BAD" w:rsidRPr="00782BF9" w:rsidRDefault="006B5475">
            <w:pPr>
              <w:pStyle w:val="P68B1DB1-Normal29"/>
              <w:spacing w:after="0" w:line="240" w:lineRule="auto"/>
              <w:rPr>
                <w:noProof/>
                <w:lang w:val="bg-BG"/>
              </w:rPr>
            </w:pPr>
            <w:r w:rsidRPr="00782BF9">
              <w:rPr>
                <w:noProof/>
                <w:lang w:val="bg-BG"/>
              </w:rPr>
              <w:t xml:space="preserve">Увеличаване на комбинираното покритие на хектари зелена инфраструктура или защитени зони по „Натура 2000“, към които е насочено възстановяване на естествената хидрология </w:t>
            </w:r>
          </w:p>
        </w:tc>
      </w:tr>
      <w:tr w:rsidR="00CE3BAD" w:rsidRPr="00782BF9" w14:paraId="6DBE3D1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4F38874" w14:textId="77777777" w:rsidR="00CE3BAD" w:rsidRPr="00782BF9" w:rsidRDefault="006B5475">
            <w:pPr>
              <w:pStyle w:val="P68B1DB1-Normal29"/>
              <w:spacing w:after="0" w:line="240" w:lineRule="auto"/>
              <w:rPr>
                <w:noProof/>
                <w:lang w:val="bg-BG"/>
              </w:rPr>
            </w:pPr>
            <w:r w:rsidRPr="00782BF9">
              <w:rPr>
                <w:noProof/>
                <w:lang w:val="bg-BG"/>
              </w:rPr>
              <w:t>82</w:t>
            </w:r>
          </w:p>
        </w:tc>
        <w:tc>
          <w:tcPr>
            <w:tcW w:w="3120" w:type="dxa"/>
            <w:tcBorders>
              <w:top w:val="nil"/>
              <w:left w:val="nil"/>
              <w:bottom w:val="single" w:sz="4" w:space="0" w:color="auto"/>
              <w:right w:val="single" w:sz="4" w:space="0" w:color="auto"/>
            </w:tcBorders>
            <w:shd w:val="clear" w:color="000000" w:fill="C6EFCE"/>
            <w:vAlign w:val="center"/>
          </w:tcPr>
          <w:p w14:paraId="1DC6B7C3" w14:textId="77777777" w:rsidR="00CE3BAD" w:rsidRPr="00782BF9" w:rsidRDefault="006B5475">
            <w:pPr>
              <w:pStyle w:val="P68B1DB1-Normal29"/>
              <w:spacing w:after="0" w:line="240" w:lineRule="auto"/>
              <w:rPr>
                <w:noProof/>
                <w:lang w:val="bg-BG"/>
              </w:rPr>
            </w:pPr>
            <w:r w:rsidRPr="00782BF9">
              <w:rPr>
                <w:noProof/>
                <w:lang w:val="bg-BG"/>
              </w:rPr>
              <w:t>C5.I1 Изграждане на капацитет на крайградската железопътна мрежа</w:t>
            </w:r>
          </w:p>
        </w:tc>
        <w:tc>
          <w:tcPr>
            <w:tcW w:w="1164" w:type="dxa"/>
            <w:tcBorders>
              <w:top w:val="nil"/>
              <w:left w:val="nil"/>
              <w:bottom w:val="single" w:sz="4" w:space="0" w:color="auto"/>
              <w:right w:val="single" w:sz="4" w:space="0" w:color="auto"/>
            </w:tcBorders>
            <w:shd w:val="clear" w:color="000000" w:fill="C6EFCE"/>
            <w:vAlign w:val="center"/>
          </w:tcPr>
          <w:p w14:paraId="6B8483B6"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5BDCF15" w14:textId="77777777" w:rsidR="00CE3BAD" w:rsidRPr="00782BF9" w:rsidRDefault="006B5475">
            <w:pPr>
              <w:pStyle w:val="P68B1DB1-Normal29"/>
              <w:spacing w:after="0" w:line="240" w:lineRule="auto"/>
              <w:rPr>
                <w:noProof/>
                <w:lang w:val="bg-BG"/>
              </w:rPr>
            </w:pPr>
            <w:r w:rsidRPr="00782BF9">
              <w:rPr>
                <w:noProof/>
                <w:lang w:val="bg-BG"/>
              </w:rPr>
              <w:t>Обновяване на железопътни линии извън TEN-T (H5, H6 и H7)</w:t>
            </w:r>
          </w:p>
        </w:tc>
      </w:tr>
      <w:tr w:rsidR="00CE3BAD" w:rsidRPr="00782BF9" w14:paraId="11C9EAD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63B24E7" w14:textId="77777777" w:rsidR="00CE3BAD" w:rsidRPr="00782BF9" w:rsidRDefault="006B5475">
            <w:pPr>
              <w:pStyle w:val="P68B1DB1-Normal29"/>
              <w:spacing w:after="0" w:line="240" w:lineRule="auto"/>
              <w:rPr>
                <w:noProof/>
                <w:lang w:val="bg-BG"/>
              </w:rPr>
            </w:pPr>
            <w:r w:rsidRPr="00782BF9">
              <w:rPr>
                <w:noProof/>
                <w:lang w:val="bg-BG"/>
              </w:rPr>
              <w:t>83</w:t>
            </w:r>
          </w:p>
        </w:tc>
        <w:tc>
          <w:tcPr>
            <w:tcW w:w="3120" w:type="dxa"/>
            <w:tcBorders>
              <w:top w:val="nil"/>
              <w:left w:val="nil"/>
              <w:bottom w:val="single" w:sz="4" w:space="0" w:color="auto"/>
              <w:right w:val="single" w:sz="4" w:space="0" w:color="auto"/>
            </w:tcBorders>
            <w:shd w:val="clear" w:color="000000" w:fill="C6EFCE"/>
            <w:vAlign w:val="center"/>
          </w:tcPr>
          <w:p w14:paraId="16038192" w14:textId="77777777" w:rsidR="00CE3BAD" w:rsidRPr="00782BF9" w:rsidRDefault="006B5475">
            <w:pPr>
              <w:pStyle w:val="P68B1DB1-Normal29"/>
              <w:spacing w:after="0" w:line="240" w:lineRule="auto"/>
              <w:rPr>
                <w:noProof/>
                <w:lang w:val="bg-BG"/>
              </w:rPr>
            </w:pPr>
            <w:r w:rsidRPr="00782BF9">
              <w:rPr>
                <w:noProof/>
                <w:lang w:val="bg-BG"/>
              </w:rPr>
              <w:t>C5.I1 Изграждане на капацитет на крайградската железопътна мрежа</w:t>
            </w:r>
          </w:p>
        </w:tc>
        <w:tc>
          <w:tcPr>
            <w:tcW w:w="1164" w:type="dxa"/>
            <w:tcBorders>
              <w:top w:val="nil"/>
              <w:left w:val="nil"/>
              <w:bottom w:val="single" w:sz="4" w:space="0" w:color="auto"/>
              <w:right w:val="single" w:sz="4" w:space="0" w:color="auto"/>
            </w:tcBorders>
            <w:shd w:val="clear" w:color="000000" w:fill="C6EFCE"/>
            <w:vAlign w:val="center"/>
          </w:tcPr>
          <w:p w14:paraId="1F8E74BD"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7214111" w14:textId="77777777" w:rsidR="00CE3BAD" w:rsidRPr="00782BF9" w:rsidRDefault="006B5475">
            <w:pPr>
              <w:pStyle w:val="P68B1DB1-Normal29"/>
              <w:spacing w:after="0" w:line="240" w:lineRule="auto"/>
              <w:rPr>
                <w:noProof/>
                <w:lang w:val="bg-BG"/>
              </w:rPr>
            </w:pPr>
            <w:r w:rsidRPr="00782BF9">
              <w:rPr>
                <w:noProof/>
                <w:lang w:val="bg-BG"/>
              </w:rPr>
              <w:t>Обновяване на железопътни гари и спирки</w:t>
            </w:r>
          </w:p>
        </w:tc>
      </w:tr>
      <w:tr w:rsidR="00CE3BAD" w:rsidRPr="00782BF9" w14:paraId="674944E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A420BE7" w14:textId="77777777" w:rsidR="00CE3BAD" w:rsidRPr="00782BF9" w:rsidRDefault="006B5475">
            <w:pPr>
              <w:pStyle w:val="P68B1DB1-Normal29"/>
              <w:spacing w:after="0" w:line="240" w:lineRule="auto"/>
              <w:rPr>
                <w:noProof/>
                <w:lang w:val="bg-BG"/>
              </w:rPr>
            </w:pPr>
            <w:r w:rsidRPr="00782BF9">
              <w:rPr>
                <w:noProof/>
                <w:lang w:val="bg-BG"/>
              </w:rPr>
              <w:t>84</w:t>
            </w:r>
          </w:p>
        </w:tc>
        <w:tc>
          <w:tcPr>
            <w:tcW w:w="3120" w:type="dxa"/>
            <w:tcBorders>
              <w:top w:val="nil"/>
              <w:left w:val="nil"/>
              <w:bottom w:val="single" w:sz="4" w:space="0" w:color="auto"/>
              <w:right w:val="single" w:sz="4" w:space="0" w:color="auto"/>
            </w:tcBorders>
            <w:shd w:val="clear" w:color="000000" w:fill="C6EFCE"/>
            <w:vAlign w:val="center"/>
          </w:tcPr>
          <w:p w14:paraId="22CF4455" w14:textId="77777777" w:rsidR="00CE3BAD" w:rsidRPr="00782BF9" w:rsidRDefault="006B5475">
            <w:pPr>
              <w:pStyle w:val="P68B1DB1-Normal29"/>
              <w:spacing w:after="0" w:line="240" w:lineRule="auto"/>
              <w:rPr>
                <w:noProof/>
                <w:lang w:val="bg-BG"/>
              </w:rPr>
            </w:pPr>
            <w:r w:rsidRPr="00782BF9">
              <w:rPr>
                <w:noProof/>
                <w:lang w:val="bg-BG"/>
              </w:rPr>
              <w:t>C5.I1 Изграждане на капацитет на крайградската железопътна мрежа</w:t>
            </w:r>
          </w:p>
        </w:tc>
        <w:tc>
          <w:tcPr>
            <w:tcW w:w="1164" w:type="dxa"/>
            <w:tcBorders>
              <w:top w:val="nil"/>
              <w:left w:val="nil"/>
              <w:bottom w:val="single" w:sz="4" w:space="0" w:color="auto"/>
              <w:right w:val="single" w:sz="4" w:space="0" w:color="auto"/>
            </w:tcBorders>
            <w:shd w:val="clear" w:color="000000" w:fill="C6EFCE"/>
            <w:vAlign w:val="center"/>
          </w:tcPr>
          <w:p w14:paraId="047D393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307A4C7" w14:textId="77777777" w:rsidR="00CE3BAD" w:rsidRPr="00782BF9" w:rsidRDefault="006B5475">
            <w:pPr>
              <w:pStyle w:val="P68B1DB1-Normal29"/>
              <w:spacing w:after="0" w:line="240" w:lineRule="auto"/>
              <w:rPr>
                <w:noProof/>
                <w:lang w:val="bg-BG"/>
              </w:rPr>
            </w:pPr>
            <w:r w:rsidRPr="00782BF9">
              <w:rPr>
                <w:noProof/>
                <w:lang w:val="bg-BG"/>
              </w:rPr>
              <w:t>Нови електрически трансформатори или пълна модернизация на съществуващи електрически трансформатори</w:t>
            </w:r>
          </w:p>
        </w:tc>
      </w:tr>
      <w:tr w:rsidR="00CE3BAD" w:rsidRPr="00782BF9" w14:paraId="1BAB42A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0E621C0" w14:textId="77777777" w:rsidR="00CE3BAD" w:rsidRPr="00782BF9" w:rsidRDefault="006B5475">
            <w:pPr>
              <w:pStyle w:val="P68B1DB1-Normal29"/>
              <w:spacing w:after="0" w:line="240" w:lineRule="auto"/>
              <w:rPr>
                <w:noProof/>
                <w:lang w:val="bg-BG"/>
              </w:rPr>
            </w:pPr>
            <w:r w:rsidRPr="00782BF9">
              <w:rPr>
                <w:noProof/>
                <w:lang w:val="bg-BG"/>
              </w:rPr>
              <w:t>85</w:t>
            </w:r>
          </w:p>
        </w:tc>
        <w:tc>
          <w:tcPr>
            <w:tcW w:w="3120" w:type="dxa"/>
            <w:tcBorders>
              <w:top w:val="nil"/>
              <w:left w:val="nil"/>
              <w:bottom w:val="single" w:sz="4" w:space="0" w:color="auto"/>
              <w:right w:val="single" w:sz="4" w:space="0" w:color="auto"/>
            </w:tcBorders>
            <w:shd w:val="clear" w:color="000000" w:fill="C6EFCE"/>
            <w:vAlign w:val="center"/>
          </w:tcPr>
          <w:p w14:paraId="17A97A93" w14:textId="77777777" w:rsidR="00CE3BAD" w:rsidRPr="00782BF9" w:rsidRDefault="006B5475">
            <w:pPr>
              <w:pStyle w:val="P68B1DB1-Normal29"/>
              <w:spacing w:after="0" w:line="240" w:lineRule="auto"/>
              <w:rPr>
                <w:noProof/>
                <w:lang w:val="bg-BG"/>
              </w:rPr>
            </w:pPr>
            <w:r w:rsidRPr="00782BF9">
              <w:rPr>
                <w:noProof/>
                <w:lang w:val="bg-BG"/>
              </w:rPr>
              <w:t>C5.I1 Изграждане на капацитет на крайградската железопътна мрежа</w:t>
            </w:r>
          </w:p>
        </w:tc>
        <w:tc>
          <w:tcPr>
            <w:tcW w:w="1164" w:type="dxa"/>
            <w:tcBorders>
              <w:top w:val="nil"/>
              <w:left w:val="nil"/>
              <w:bottom w:val="single" w:sz="4" w:space="0" w:color="auto"/>
              <w:right w:val="single" w:sz="4" w:space="0" w:color="auto"/>
            </w:tcBorders>
            <w:shd w:val="clear" w:color="000000" w:fill="C6EFCE"/>
            <w:vAlign w:val="center"/>
          </w:tcPr>
          <w:p w14:paraId="5BD0193E"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9653B92" w14:textId="77777777" w:rsidR="00CE3BAD" w:rsidRPr="00782BF9" w:rsidRDefault="006B5475">
            <w:pPr>
              <w:pStyle w:val="P68B1DB1-Normal29"/>
              <w:spacing w:after="0" w:line="240" w:lineRule="auto"/>
              <w:rPr>
                <w:noProof/>
                <w:lang w:val="bg-BG"/>
              </w:rPr>
            </w:pPr>
            <w:r w:rsidRPr="00782BF9">
              <w:rPr>
                <w:noProof/>
                <w:lang w:val="bg-BG"/>
              </w:rPr>
              <w:t>Нови съоръжения за съхранение на велосипеди B + R в спирките на HÉV</w:t>
            </w:r>
          </w:p>
        </w:tc>
      </w:tr>
      <w:tr w:rsidR="00CE3BAD" w:rsidRPr="00782BF9" w14:paraId="61B9787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429E39B" w14:textId="77777777" w:rsidR="00CE3BAD" w:rsidRPr="00782BF9" w:rsidRDefault="006B5475">
            <w:pPr>
              <w:pStyle w:val="P68B1DB1-Normal29"/>
              <w:spacing w:after="0" w:line="240" w:lineRule="auto"/>
              <w:rPr>
                <w:noProof/>
                <w:lang w:val="bg-BG"/>
              </w:rPr>
            </w:pPr>
            <w:r w:rsidRPr="00782BF9">
              <w:rPr>
                <w:noProof/>
                <w:lang w:val="bg-BG"/>
              </w:rPr>
              <w:t>86</w:t>
            </w:r>
          </w:p>
        </w:tc>
        <w:tc>
          <w:tcPr>
            <w:tcW w:w="3120" w:type="dxa"/>
            <w:tcBorders>
              <w:top w:val="nil"/>
              <w:left w:val="nil"/>
              <w:bottom w:val="single" w:sz="4" w:space="0" w:color="auto"/>
              <w:right w:val="single" w:sz="4" w:space="0" w:color="auto"/>
            </w:tcBorders>
            <w:shd w:val="clear" w:color="000000" w:fill="C6EFCE"/>
            <w:vAlign w:val="center"/>
          </w:tcPr>
          <w:p w14:paraId="260D7558" w14:textId="77777777" w:rsidR="00CE3BAD" w:rsidRPr="00782BF9" w:rsidRDefault="006B5475">
            <w:pPr>
              <w:pStyle w:val="P68B1DB1-Normal29"/>
              <w:spacing w:after="0" w:line="240" w:lineRule="auto"/>
              <w:rPr>
                <w:noProof/>
                <w:lang w:val="bg-BG"/>
              </w:rPr>
            </w:pPr>
            <w:r w:rsidRPr="00782BF9">
              <w:rPr>
                <w:noProof/>
                <w:lang w:val="bg-BG"/>
              </w:rPr>
              <w:t>C5.I1 Изграждане на капацитет на крайградската железопътна мрежа</w:t>
            </w:r>
          </w:p>
        </w:tc>
        <w:tc>
          <w:tcPr>
            <w:tcW w:w="1164" w:type="dxa"/>
            <w:tcBorders>
              <w:top w:val="nil"/>
              <w:left w:val="nil"/>
              <w:bottom w:val="single" w:sz="4" w:space="0" w:color="auto"/>
              <w:right w:val="single" w:sz="4" w:space="0" w:color="auto"/>
            </w:tcBorders>
            <w:shd w:val="clear" w:color="000000" w:fill="C6EFCE"/>
            <w:vAlign w:val="center"/>
          </w:tcPr>
          <w:p w14:paraId="6D5B881C"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B817D86" w14:textId="77777777" w:rsidR="00CE3BAD" w:rsidRPr="00782BF9" w:rsidRDefault="006B5475">
            <w:pPr>
              <w:pStyle w:val="P68B1DB1-Normal29"/>
              <w:spacing w:after="0" w:line="240" w:lineRule="auto"/>
              <w:rPr>
                <w:noProof/>
                <w:lang w:val="bg-BG"/>
              </w:rPr>
            </w:pPr>
            <w:r w:rsidRPr="00782BF9">
              <w:rPr>
                <w:noProof/>
                <w:lang w:val="bg-BG"/>
              </w:rPr>
              <w:t>Нов интермодален автобусен център — HÉV</w:t>
            </w:r>
          </w:p>
        </w:tc>
      </w:tr>
      <w:tr w:rsidR="00CE3BAD" w:rsidRPr="00782BF9" w14:paraId="2A017D5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3502229" w14:textId="77777777" w:rsidR="00CE3BAD" w:rsidRPr="00782BF9" w:rsidRDefault="006B5475">
            <w:pPr>
              <w:pStyle w:val="P68B1DB1-Normal29"/>
              <w:spacing w:after="0" w:line="240" w:lineRule="auto"/>
              <w:rPr>
                <w:noProof/>
                <w:lang w:val="bg-BG"/>
              </w:rPr>
            </w:pPr>
            <w:r w:rsidRPr="00782BF9">
              <w:rPr>
                <w:noProof/>
                <w:lang w:val="bg-BG"/>
              </w:rPr>
              <w:t>88</w:t>
            </w:r>
          </w:p>
        </w:tc>
        <w:tc>
          <w:tcPr>
            <w:tcW w:w="3120" w:type="dxa"/>
            <w:tcBorders>
              <w:top w:val="nil"/>
              <w:left w:val="nil"/>
              <w:bottom w:val="single" w:sz="4" w:space="0" w:color="auto"/>
              <w:right w:val="single" w:sz="4" w:space="0" w:color="auto"/>
            </w:tcBorders>
            <w:shd w:val="clear" w:color="000000" w:fill="C6EFCE"/>
            <w:vAlign w:val="center"/>
          </w:tcPr>
          <w:p w14:paraId="543B5510" w14:textId="77777777" w:rsidR="00CE3BAD" w:rsidRPr="00782BF9" w:rsidRDefault="006B5475">
            <w:pPr>
              <w:pStyle w:val="P68B1DB1-Normal29"/>
              <w:spacing w:after="0" w:line="240" w:lineRule="auto"/>
              <w:rPr>
                <w:noProof/>
                <w:lang w:val="bg-BG"/>
              </w:rPr>
            </w:pPr>
            <w:r w:rsidRPr="00782BF9">
              <w:rPr>
                <w:noProof/>
                <w:lang w:val="bg-BG"/>
              </w:rPr>
              <w:t xml:space="preserve">C5.I2 Преместване на претоварването на железопътната мрежа по коридора TEN-T </w:t>
            </w:r>
          </w:p>
        </w:tc>
        <w:tc>
          <w:tcPr>
            <w:tcW w:w="1164" w:type="dxa"/>
            <w:tcBorders>
              <w:top w:val="nil"/>
              <w:left w:val="nil"/>
              <w:bottom w:val="single" w:sz="4" w:space="0" w:color="auto"/>
              <w:right w:val="single" w:sz="4" w:space="0" w:color="auto"/>
            </w:tcBorders>
            <w:shd w:val="clear" w:color="000000" w:fill="C6EFCE"/>
            <w:vAlign w:val="center"/>
          </w:tcPr>
          <w:p w14:paraId="033B1C4F"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DB9BFD8" w14:textId="77777777" w:rsidR="00CE3BAD" w:rsidRPr="00782BF9" w:rsidRDefault="006B5475">
            <w:pPr>
              <w:pStyle w:val="P68B1DB1-Normal29"/>
              <w:spacing w:after="0" w:line="240" w:lineRule="auto"/>
              <w:rPr>
                <w:noProof/>
                <w:lang w:val="bg-BG"/>
              </w:rPr>
            </w:pPr>
            <w:r w:rsidRPr="00782BF9">
              <w:rPr>
                <w:noProof/>
                <w:lang w:val="bg-BG"/>
              </w:rPr>
              <w:t>Въвеждане в експлоатация на обновената железопътна линия (Almásfüzitő-Komárom)</w:t>
            </w:r>
          </w:p>
        </w:tc>
      </w:tr>
      <w:tr w:rsidR="00CE3BAD" w:rsidRPr="00782BF9" w14:paraId="60B27CD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632421B" w14:textId="77777777" w:rsidR="00CE3BAD" w:rsidRPr="00782BF9" w:rsidRDefault="006B5475">
            <w:pPr>
              <w:pStyle w:val="P68B1DB1-Normal29"/>
              <w:spacing w:after="0" w:line="240" w:lineRule="auto"/>
              <w:rPr>
                <w:noProof/>
                <w:lang w:val="bg-BG"/>
              </w:rPr>
            </w:pPr>
            <w:r w:rsidRPr="00782BF9">
              <w:rPr>
                <w:noProof/>
                <w:lang w:val="bg-BG"/>
              </w:rPr>
              <w:t>90</w:t>
            </w:r>
          </w:p>
        </w:tc>
        <w:tc>
          <w:tcPr>
            <w:tcW w:w="3120" w:type="dxa"/>
            <w:tcBorders>
              <w:top w:val="nil"/>
              <w:left w:val="nil"/>
              <w:bottom w:val="single" w:sz="4" w:space="0" w:color="auto"/>
              <w:right w:val="single" w:sz="4" w:space="0" w:color="auto"/>
            </w:tcBorders>
            <w:shd w:val="clear" w:color="000000" w:fill="C6EFCE"/>
            <w:vAlign w:val="center"/>
          </w:tcPr>
          <w:p w14:paraId="211ED4EF" w14:textId="77777777" w:rsidR="00CE3BAD" w:rsidRPr="00782BF9" w:rsidRDefault="006B5475">
            <w:pPr>
              <w:pStyle w:val="P68B1DB1-Normal29"/>
              <w:spacing w:after="0" w:line="240" w:lineRule="auto"/>
              <w:rPr>
                <w:noProof/>
                <w:lang w:val="bg-BG"/>
              </w:rPr>
            </w:pPr>
            <w:r w:rsidRPr="00782BF9">
              <w:rPr>
                <w:noProof/>
                <w:lang w:val="bg-BG"/>
              </w:rPr>
              <w:t>C5.I2 Преместване на претоварването на железопътната мрежа по коридора TEN-T</w:t>
            </w:r>
          </w:p>
        </w:tc>
        <w:tc>
          <w:tcPr>
            <w:tcW w:w="1164" w:type="dxa"/>
            <w:tcBorders>
              <w:top w:val="nil"/>
              <w:left w:val="nil"/>
              <w:bottom w:val="single" w:sz="4" w:space="0" w:color="auto"/>
              <w:right w:val="single" w:sz="4" w:space="0" w:color="auto"/>
            </w:tcBorders>
            <w:shd w:val="clear" w:color="000000" w:fill="C6EFCE"/>
            <w:vAlign w:val="center"/>
          </w:tcPr>
          <w:p w14:paraId="36DBA779"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3B48DD9" w14:textId="77777777" w:rsidR="00CE3BAD" w:rsidRPr="00782BF9" w:rsidRDefault="006B5475">
            <w:pPr>
              <w:pStyle w:val="P68B1DB1-Normal29"/>
              <w:spacing w:after="0" w:line="240" w:lineRule="auto"/>
              <w:rPr>
                <w:noProof/>
                <w:lang w:val="bg-BG"/>
              </w:rPr>
            </w:pPr>
            <w:r w:rsidRPr="00782BF9">
              <w:rPr>
                <w:noProof/>
                <w:lang w:val="bg-BG"/>
              </w:rPr>
              <w:t>Въвеждане в експлоатация на обновената железопътна линия (участък от железопътната линия Békéscsaba-Lőkösháza)</w:t>
            </w:r>
          </w:p>
        </w:tc>
      </w:tr>
      <w:tr w:rsidR="00CE3BAD" w:rsidRPr="00782BF9" w14:paraId="0E00DE7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A6C6175" w14:textId="77777777" w:rsidR="00CE3BAD" w:rsidRPr="00782BF9" w:rsidRDefault="006B5475">
            <w:pPr>
              <w:pStyle w:val="P68B1DB1-Normal29"/>
              <w:spacing w:after="0" w:line="240" w:lineRule="auto"/>
              <w:rPr>
                <w:noProof/>
                <w:lang w:val="bg-BG"/>
              </w:rPr>
            </w:pPr>
            <w:r w:rsidRPr="00782BF9">
              <w:rPr>
                <w:noProof/>
                <w:lang w:val="bg-BG"/>
              </w:rPr>
              <w:t>95</w:t>
            </w:r>
          </w:p>
        </w:tc>
        <w:tc>
          <w:tcPr>
            <w:tcW w:w="3120" w:type="dxa"/>
            <w:tcBorders>
              <w:top w:val="nil"/>
              <w:left w:val="nil"/>
              <w:bottom w:val="single" w:sz="4" w:space="0" w:color="auto"/>
              <w:right w:val="single" w:sz="4" w:space="0" w:color="auto"/>
            </w:tcBorders>
            <w:shd w:val="clear" w:color="000000" w:fill="C6EFCE"/>
            <w:vAlign w:val="center"/>
          </w:tcPr>
          <w:p w14:paraId="6AE38A10" w14:textId="77777777" w:rsidR="00CE3BAD" w:rsidRPr="00782BF9" w:rsidRDefault="006B5475">
            <w:pPr>
              <w:pStyle w:val="P68B1DB1-Normal29"/>
              <w:spacing w:after="0" w:line="240" w:lineRule="auto"/>
              <w:rPr>
                <w:noProof/>
                <w:lang w:val="bg-BG"/>
              </w:rPr>
            </w:pPr>
            <w:r w:rsidRPr="00782BF9">
              <w:rPr>
                <w:noProof/>
                <w:lang w:val="bg-BG"/>
              </w:rPr>
              <w:t>C5.I4 Въвеждане на централно управление на движението в железниците по TEN-T</w:t>
            </w:r>
          </w:p>
        </w:tc>
        <w:tc>
          <w:tcPr>
            <w:tcW w:w="1164" w:type="dxa"/>
            <w:tcBorders>
              <w:top w:val="nil"/>
              <w:left w:val="nil"/>
              <w:bottom w:val="single" w:sz="4" w:space="0" w:color="auto"/>
              <w:right w:val="single" w:sz="4" w:space="0" w:color="auto"/>
            </w:tcBorders>
            <w:shd w:val="clear" w:color="000000" w:fill="C6EFCE"/>
            <w:vAlign w:val="center"/>
          </w:tcPr>
          <w:p w14:paraId="3634695F"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3BB282C" w14:textId="77777777" w:rsidR="00CE3BAD" w:rsidRPr="00782BF9" w:rsidRDefault="006B5475">
            <w:pPr>
              <w:pStyle w:val="P68B1DB1-Normal29"/>
              <w:spacing w:after="0" w:line="240" w:lineRule="auto"/>
              <w:rPr>
                <w:noProof/>
                <w:lang w:val="bg-BG"/>
              </w:rPr>
            </w:pPr>
            <w:r w:rsidRPr="00782BF9">
              <w:rPr>
                <w:noProof/>
                <w:lang w:val="bg-BG"/>
              </w:rPr>
              <w:t xml:space="preserve">Инсталиране на централната система за управление на движението, експлоатирана по крайградски и други големи железопътни линии </w:t>
            </w:r>
          </w:p>
        </w:tc>
      </w:tr>
      <w:tr w:rsidR="00CE3BAD" w:rsidRPr="00782BF9" w14:paraId="3256CCA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263B487" w14:textId="77777777" w:rsidR="00CE3BAD" w:rsidRPr="00782BF9" w:rsidRDefault="006B5475">
            <w:pPr>
              <w:pStyle w:val="P68B1DB1-Normal29"/>
              <w:spacing w:after="0" w:line="240" w:lineRule="auto"/>
              <w:rPr>
                <w:noProof/>
                <w:lang w:val="bg-BG"/>
              </w:rPr>
            </w:pPr>
            <w:r w:rsidRPr="00782BF9">
              <w:rPr>
                <w:noProof/>
                <w:lang w:val="bg-BG"/>
              </w:rPr>
              <w:t>367</w:t>
            </w:r>
          </w:p>
        </w:tc>
        <w:tc>
          <w:tcPr>
            <w:tcW w:w="3120" w:type="dxa"/>
            <w:tcBorders>
              <w:top w:val="nil"/>
              <w:left w:val="nil"/>
              <w:bottom w:val="single" w:sz="4" w:space="0" w:color="auto"/>
              <w:right w:val="single" w:sz="4" w:space="0" w:color="auto"/>
            </w:tcBorders>
            <w:shd w:val="clear" w:color="000000" w:fill="C6EFCE"/>
            <w:vAlign w:val="center"/>
          </w:tcPr>
          <w:p w14:paraId="56118073" w14:textId="77777777" w:rsidR="00CE3BAD" w:rsidRPr="00782BF9" w:rsidRDefault="006B5475">
            <w:pPr>
              <w:pStyle w:val="P68B1DB1-Normal29"/>
              <w:spacing w:after="0" w:line="240" w:lineRule="auto"/>
              <w:rPr>
                <w:noProof/>
                <w:lang w:val="bg-BG"/>
              </w:rPr>
            </w:pPr>
            <w:r w:rsidRPr="00782BF9">
              <w:rPr>
                <w:noProof/>
                <w:lang w:val="bg-BG"/>
              </w:rPr>
              <w:t>C5.I5 Развитие на трамвайната и тролейбусната система на Будапеща</w:t>
            </w:r>
          </w:p>
        </w:tc>
        <w:tc>
          <w:tcPr>
            <w:tcW w:w="1164" w:type="dxa"/>
            <w:tcBorders>
              <w:top w:val="nil"/>
              <w:left w:val="nil"/>
              <w:bottom w:val="single" w:sz="4" w:space="0" w:color="auto"/>
              <w:right w:val="single" w:sz="4" w:space="0" w:color="auto"/>
            </w:tcBorders>
            <w:shd w:val="clear" w:color="000000" w:fill="C6EFCE"/>
            <w:vAlign w:val="center"/>
          </w:tcPr>
          <w:p w14:paraId="78799AB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C311746" w14:textId="77777777" w:rsidR="00CE3BAD" w:rsidRPr="00782BF9" w:rsidRDefault="006B5475">
            <w:pPr>
              <w:pStyle w:val="P68B1DB1-Normal29"/>
              <w:spacing w:after="0" w:line="240" w:lineRule="auto"/>
              <w:rPr>
                <w:noProof/>
                <w:lang w:val="bg-BG"/>
              </w:rPr>
            </w:pPr>
            <w:r w:rsidRPr="00782BF9">
              <w:rPr>
                <w:noProof/>
                <w:lang w:val="bg-BG"/>
              </w:rPr>
              <w:t>Въвеждане в експлоатация на новозакупените трамваи и свързаната с тях инфраструктура</w:t>
            </w:r>
          </w:p>
        </w:tc>
      </w:tr>
      <w:tr w:rsidR="00CE3BAD" w:rsidRPr="00782BF9" w14:paraId="65AC815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6F5A54A" w14:textId="77777777" w:rsidR="00CE3BAD" w:rsidRPr="00782BF9" w:rsidRDefault="006B5475">
            <w:pPr>
              <w:pStyle w:val="P68B1DB1-Normal29"/>
              <w:spacing w:after="0" w:line="240" w:lineRule="auto"/>
              <w:rPr>
                <w:noProof/>
                <w:lang w:val="bg-BG"/>
              </w:rPr>
            </w:pPr>
            <w:r w:rsidRPr="00782BF9">
              <w:rPr>
                <w:noProof/>
                <w:lang w:val="bg-BG"/>
              </w:rPr>
              <w:t>368</w:t>
            </w:r>
          </w:p>
        </w:tc>
        <w:tc>
          <w:tcPr>
            <w:tcW w:w="3120" w:type="dxa"/>
            <w:tcBorders>
              <w:top w:val="nil"/>
              <w:left w:val="nil"/>
              <w:bottom w:val="single" w:sz="4" w:space="0" w:color="auto"/>
              <w:right w:val="single" w:sz="4" w:space="0" w:color="auto"/>
            </w:tcBorders>
            <w:shd w:val="clear" w:color="000000" w:fill="C6EFCE"/>
            <w:vAlign w:val="center"/>
          </w:tcPr>
          <w:p w14:paraId="58D2EF6F" w14:textId="77777777" w:rsidR="00CE3BAD" w:rsidRPr="00782BF9" w:rsidRDefault="006B5475">
            <w:pPr>
              <w:pStyle w:val="P68B1DB1-Normal29"/>
              <w:spacing w:after="0" w:line="240" w:lineRule="auto"/>
              <w:rPr>
                <w:noProof/>
                <w:lang w:val="bg-BG"/>
              </w:rPr>
            </w:pPr>
            <w:r w:rsidRPr="00782BF9">
              <w:rPr>
                <w:noProof/>
                <w:lang w:val="bg-BG"/>
              </w:rPr>
              <w:t>C5.I5 Развитие на трамвайната и тролейбусната система на Будапеща</w:t>
            </w:r>
          </w:p>
        </w:tc>
        <w:tc>
          <w:tcPr>
            <w:tcW w:w="1164" w:type="dxa"/>
            <w:tcBorders>
              <w:top w:val="nil"/>
              <w:left w:val="nil"/>
              <w:bottom w:val="single" w:sz="4" w:space="0" w:color="auto"/>
              <w:right w:val="single" w:sz="4" w:space="0" w:color="auto"/>
            </w:tcBorders>
            <w:shd w:val="clear" w:color="000000" w:fill="C6EFCE"/>
            <w:vAlign w:val="center"/>
          </w:tcPr>
          <w:p w14:paraId="2F385037"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E6A0E1F" w14:textId="77777777" w:rsidR="00CE3BAD" w:rsidRPr="00782BF9" w:rsidRDefault="006B5475">
            <w:pPr>
              <w:pStyle w:val="P68B1DB1-Normal29"/>
              <w:spacing w:after="0" w:line="240" w:lineRule="auto"/>
              <w:rPr>
                <w:noProof/>
                <w:lang w:val="bg-BG"/>
              </w:rPr>
            </w:pPr>
            <w:r w:rsidRPr="00782BF9">
              <w:rPr>
                <w:noProof/>
                <w:lang w:val="bg-BG"/>
              </w:rPr>
              <w:t xml:space="preserve">Въвеждане в експлоатация на нов силов преобразувател за тролейбусната система </w:t>
            </w:r>
          </w:p>
        </w:tc>
      </w:tr>
      <w:tr w:rsidR="00CE3BAD" w:rsidRPr="00782BF9" w14:paraId="03D816C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5E9FA43" w14:textId="77777777" w:rsidR="00CE3BAD" w:rsidRPr="00782BF9" w:rsidRDefault="006B5475">
            <w:pPr>
              <w:pStyle w:val="P68B1DB1-Normal29"/>
              <w:spacing w:after="0" w:line="240" w:lineRule="auto"/>
              <w:rPr>
                <w:noProof/>
                <w:lang w:val="bg-BG"/>
              </w:rPr>
            </w:pPr>
            <w:r w:rsidRPr="00782BF9">
              <w:rPr>
                <w:noProof/>
                <w:lang w:val="bg-BG"/>
              </w:rPr>
              <w:t>109</w:t>
            </w:r>
          </w:p>
        </w:tc>
        <w:tc>
          <w:tcPr>
            <w:tcW w:w="3120" w:type="dxa"/>
            <w:tcBorders>
              <w:top w:val="nil"/>
              <w:left w:val="nil"/>
              <w:bottom w:val="single" w:sz="4" w:space="0" w:color="auto"/>
              <w:right w:val="single" w:sz="4" w:space="0" w:color="auto"/>
            </w:tcBorders>
            <w:shd w:val="clear" w:color="000000" w:fill="C6EFCE"/>
            <w:vAlign w:val="center"/>
          </w:tcPr>
          <w:p w14:paraId="1C329D28" w14:textId="77777777" w:rsidR="00CE3BAD" w:rsidRPr="00782BF9" w:rsidRDefault="006B5475">
            <w:pPr>
              <w:pStyle w:val="P68B1DB1-Normal29"/>
              <w:spacing w:after="0" w:line="240" w:lineRule="auto"/>
              <w:rPr>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1164" w:type="dxa"/>
            <w:tcBorders>
              <w:top w:val="nil"/>
              <w:left w:val="nil"/>
              <w:bottom w:val="single" w:sz="4" w:space="0" w:color="auto"/>
              <w:right w:val="single" w:sz="4" w:space="0" w:color="auto"/>
            </w:tcBorders>
            <w:shd w:val="clear" w:color="000000" w:fill="C6EFCE"/>
            <w:vAlign w:val="center"/>
          </w:tcPr>
          <w:p w14:paraId="5CC3BF9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C996582" w14:textId="77777777" w:rsidR="00CE3BAD" w:rsidRPr="00782BF9" w:rsidRDefault="006B5475">
            <w:pPr>
              <w:pStyle w:val="P68B1DB1-Normal29"/>
              <w:spacing w:after="0" w:line="240" w:lineRule="auto"/>
              <w:rPr>
                <w:noProof/>
                <w:lang w:val="bg-BG"/>
              </w:rPr>
            </w:pPr>
            <w:r w:rsidRPr="00782BF9">
              <w:rPr>
                <w:noProof/>
                <w:lang w:val="bg-BG"/>
              </w:rPr>
              <w:t>Създаване на ИТ инфраструктура за използване на данни от интелигентни измервателни уреди</w:t>
            </w:r>
          </w:p>
        </w:tc>
      </w:tr>
      <w:tr w:rsidR="00CE3BAD" w:rsidRPr="00782BF9" w14:paraId="127056E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3EE8F03" w14:textId="77777777" w:rsidR="00CE3BAD" w:rsidRPr="00782BF9" w:rsidRDefault="006B5475">
            <w:pPr>
              <w:pStyle w:val="P68B1DB1-Normal29"/>
              <w:spacing w:after="0" w:line="240" w:lineRule="auto"/>
              <w:rPr>
                <w:noProof/>
                <w:lang w:val="bg-BG"/>
              </w:rPr>
            </w:pPr>
            <w:r w:rsidRPr="00782BF9">
              <w:rPr>
                <w:noProof/>
                <w:lang w:val="bg-BG"/>
              </w:rPr>
              <w:t>111</w:t>
            </w:r>
          </w:p>
        </w:tc>
        <w:tc>
          <w:tcPr>
            <w:tcW w:w="3120" w:type="dxa"/>
            <w:tcBorders>
              <w:top w:val="nil"/>
              <w:left w:val="nil"/>
              <w:bottom w:val="single" w:sz="4" w:space="0" w:color="auto"/>
              <w:right w:val="single" w:sz="4" w:space="0" w:color="auto"/>
            </w:tcBorders>
            <w:shd w:val="clear" w:color="000000" w:fill="C6EFCE"/>
            <w:vAlign w:val="center"/>
          </w:tcPr>
          <w:p w14:paraId="41F11AD7" w14:textId="77777777" w:rsidR="00CE3BAD" w:rsidRPr="00782BF9" w:rsidRDefault="006B5475">
            <w:pPr>
              <w:pStyle w:val="P68B1DB1-Normal29"/>
              <w:spacing w:after="0" w:line="240" w:lineRule="auto"/>
              <w:rPr>
                <w:noProof/>
                <w:lang w:val="bg-BG"/>
              </w:rPr>
            </w:pPr>
            <w:r w:rsidRPr="00782BF9">
              <w:rPr>
                <w:noProof/>
                <w:lang w:val="bg-BG"/>
              </w:rPr>
              <w:t>C6.R4 Подобряване на прозрачността, предвидимостта и достъпността на връзката към мрежата</w:t>
            </w:r>
          </w:p>
        </w:tc>
        <w:tc>
          <w:tcPr>
            <w:tcW w:w="1164" w:type="dxa"/>
            <w:tcBorders>
              <w:top w:val="nil"/>
              <w:left w:val="nil"/>
              <w:bottom w:val="single" w:sz="4" w:space="0" w:color="auto"/>
              <w:right w:val="single" w:sz="4" w:space="0" w:color="auto"/>
            </w:tcBorders>
            <w:shd w:val="clear" w:color="000000" w:fill="C6EFCE"/>
            <w:vAlign w:val="center"/>
          </w:tcPr>
          <w:p w14:paraId="599F7F26"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6DDB4DD" w14:textId="77777777" w:rsidR="00CE3BAD" w:rsidRPr="00782BF9" w:rsidRDefault="006B5475">
            <w:pPr>
              <w:pStyle w:val="P68B1DB1-Normal29"/>
              <w:spacing w:after="0" w:line="240" w:lineRule="auto"/>
              <w:rPr>
                <w:noProof/>
                <w:lang w:val="bg-BG"/>
              </w:rPr>
            </w:pPr>
            <w:r w:rsidRPr="00782BF9">
              <w:rPr>
                <w:noProof/>
                <w:lang w:val="bg-BG"/>
              </w:rPr>
              <w:t>Разрешение за присъединяване към мрежата за централи за енергия от възобновяеми източници</w:t>
            </w:r>
          </w:p>
        </w:tc>
      </w:tr>
      <w:tr w:rsidR="00CE3BAD" w:rsidRPr="00782BF9" w14:paraId="531BBCF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AC1D259" w14:textId="77777777" w:rsidR="00CE3BAD" w:rsidRPr="00782BF9" w:rsidRDefault="006B5475">
            <w:pPr>
              <w:pStyle w:val="P68B1DB1-Normal29"/>
              <w:spacing w:after="0" w:line="240" w:lineRule="auto"/>
              <w:rPr>
                <w:noProof/>
                <w:lang w:val="bg-BG"/>
              </w:rPr>
            </w:pPr>
            <w:r w:rsidRPr="00782BF9">
              <w:rPr>
                <w:noProof/>
                <w:lang w:val="bg-BG"/>
              </w:rPr>
              <w:t>117</w:t>
            </w:r>
          </w:p>
        </w:tc>
        <w:tc>
          <w:tcPr>
            <w:tcW w:w="3120" w:type="dxa"/>
            <w:tcBorders>
              <w:top w:val="nil"/>
              <w:left w:val="nil"/>
              <w:bottom w:val="single" w:sz="4" w:space="0" w:color="auto"/>
              <w:right w:val="single" w:sz="4" w:space="0" w:color="auto"/>
            </w:tcBorders>
            <w:shd w:val="clear" w:color="000000" w:fill="C6EFCE"/>
            <w:vAlign w:val="center"/>
          </w:tcPr>
          <w:p w14:paraId="78AF8DA6" w14:textId="77777777" w:rsidR="00CE3BAD" w:rsidRPr="00782BF9" w:rsidRDefault="006B5475">
            <w:pPr>
              <w:pStyle w:val="P68B1DB1-Normal29"/>
              <w:spacing w:after="0" w:line="240" w:lineRule="auto"/>
              <w:rPr>
                <w:noProof/>
                <w:lang w:val="bg-BG"/>
              </w:rPr>
            </w:pPr>
            <w:r w:rsidRPr="00782BF9">
              <w:rPr>
                <w:noProof/>
                <w:lang w:val="bg-BG"/>
              </w:rPr>
              <w:t>C6.I1 Развитие на класическите и интелигентните мрежи на операторите на преносни системи и операторите на разпределителни системи</w:t>
            </w:r>
          </w:p>
        </w:tc>
        <w:tc>
          <w:tcPr>
            <w:tcW w:w="1164" w:type="dxa"/>
            <w:tcBorders>
              <w:top w:val="nil"/>
              <w:left w:val="nil"/>
              <w:bottom w:val="single" w:sz="4" w:space="0" w:color="auto"/>
              <w:right w:val="single" w:sz="4" w:space="0" w:color="auto"/>
            </w:tcBorders>
            <w:shd w:val="clear" w:color="000000" w:fill="C6EFCE"/>
            <w:vAlign w:val="center"/>
          </w:tcPr>
          <w:p w14:paraId="01DA1A1C"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272860F1" w14:textId="77777777" w:rsidR="00CE3BAD" w:rsidRPr="00782BF9" w:rsidRDefault="006B5475">
            <w:pPr>
              <w:pStyle w:val="P68B1DB1-Normal29"/>
              <w:spacing w:after="0" w:line="240" w:lineRule="auto"/>
              <w:rPr>
                <w:noProof/>
                <w:lang w:val="bg-BG"/>
              </w:rPr>
            </w:pPr>
            <w:r w:rsidRPr="00782BF9">
              <w:rPr>
                <w:noProof/>
                <w:lang w:val="bg-BG"/>
              </w:rPr>
              <w:t>Допълнително 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r>
      <w:tr w:rsidR="00CE3BAD" w:rsidRPr="00782BF9" w14:paraId="2827D0E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A2C4DA7" w14:textId="77777777" w:rsidR="00CE3BAD" w:rsidRPr="00782BF9" w:rsidRDefault="006B5475">
            <w:pPr>
              <w:pStyle w:val="P68B1DB1-Normal29"/>
              <w:spacing w:after="0" w:line="240" w:lineRule="auto"/>
              <w:rPr>
                <w:noProof/>
                <w:lang w:val="bg-BG"/>
              </w:rPr>
            </w:pPr>
            <w:r w:rsidRPr="00782BF9">
              <w:rPr>
                <w:noProof/>
                <w:lang w:val="bg-BG"/>
              </w:rPr>
              <w:t>121</w:t>
            </w:r>
          </w:p>
        </w:tc>
        <w:tc>
          <w:tcPr>
            <w:tcW w:w="3120" w:type="dxa"/>
            <w:tcBorders>
              <w:top w:val="nil"/>
              <w:left w:val="nil"/>
              <w:bottom w:val="single" w:sz="4" w:space="0" w:color="auto"/>
              <w:right w:val="single" w:sz="4" w:space="0" w:color="auto"/>
            </w:tcBorders>
            <w:shd w:val="clear" w:color="000000" w:fill="C6EFCE"/>
            <w:vAlign w:val="center"/>
          </w:tcPr>
          <w:p w14:paraId="40ABF348" w14:textId="77777777" w:rsidR="00CE3BAD" w:rsidRPr="00782BF9" w:rsidRDefault="006B5475">
            <w:pPr>
              <w:pStyle w:val="P68B1DB1-Normal29"/>
              <w:spacing w:after="0" w:line="240" w:lineRule="auto"/>
              <w:rPr>
                <w:noProof/>
                <w:lang w:val="bg-BG"/>
              </w:rPr>
            </w:pPr>
            <w:r w:rsidRPr="00782BF9">
              <w:rPr>
                <w:noProof/>
                <w:lang w:val="bg-BG"/>
              </w:rPr>
              <w:t>C6.I2 Подкрепа за използване на слънчеви панели за жилищни сгради и модернизация на отоплението</w:t>
            </w:r>
          </w:p>
        </w:tc>
        <w:tc>
          <w:tcPr>
            <w:tcW w:w="1164" w:type="dxa"/>
            <w:tcBorders>
              <w:top w:val="nil"/>
              <w:left w:val="nil"/>
              <w:bottom w:val="single" w:sz="4" w:space="0" w:color="auto"/>
              <w:right w:val="single" w:sz="4" w:space="0" w:color="auto"/>
            </w:tcBorders>
            <w:shd w:val="clear" w:color="000000" w:fill="C6EFCE"/>
            <w:vAlign w:val="center"/>
          </w:tcPr>
          <w:p w14:paraId="1FA0F56A"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7CF39854" w14:textId="77777777" w:rsidR="00CE3BAD" w:rsidRPr="00782BF9" w:rsidRDefault="006B5475">
            <w:pPr>
              <w:pStyle w:val="P68B1DB1-Normal29"/>
              <w:spacing w:after="0" w:line="240" w:lineRule="auto"/>
              <w:rPr>
                <w:noProof/>
                <w:lang w:val="bg-BG"/>
              </w:rPr>
            </w:pPr>
            <w:r w:rsidRPr="00782BF9">
              <w:rPr>
                <w:noProof/>
                <w:lang w:val="bg-BG"/>
              </w:rPr>
              <w:t>Брой на допълнителните домакинства, оборудвани със слънчеви панели или със слънчеви панели, акумулираща единица, електрическа отоплителна система и подмяна на прозорци (общо, брой на домакинствата)</w:t>
            </w:r>
          </w:p>
        </w:tc>
      </w:tr>
      <w:tr w:rsidR="00CE3BAD" w:rsidRPr="00782BF9" w14:paraId="32AB09A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A8596C5" w14:textId="77777777" w:rsidR="00CE3BAD" w:rsidRPr="00782BF9" w:rsidRDefault="006B5475">
            <w:pPr>
              <w:pStyle w:val="P68B1DB1-Normal29"/>
              <w:spacing w:after="0" w:line="240" w:lineRule="auto"/>
              <w:rPr>
                <w:noProof/>
                <w:lang w:val="bg-BG"/>
              </w:rPr>
            </w:pPr>
            <w:r w:rsidRPr="00782BF9">
              <w:rPr>
                <w:noProof/>
                <w:lang w:val="bg-BG"/>
              </w:rPr>
              <w:t>371</w:t>
            </w:r>
          </w:p>
        </w:tc>
        <w:tc>
          <w:tcPr>
            <w:tcW w:w="3120" w:type="dxa"/>
            <w:tcBorders>
              <w:top w:val="nil"/>
              <w:left w:val="nil"/>
              <w:bottom w:val="single" w:sz="4" w:space="0" w:color="auto"/>
              <w:right w:val="single" w:sz="4" w:space="0" w:color="auto"/>
            </w:tcBorders>
            <w:shd w:val="clear" w:color="000000" w:fill="C6EFCE"/>
            <w:vAlign w:val="center"/>
          </w:tcPr>
          <w:p w14:paraId="11F5B22D" w14:textId="4F0331C2" w:rsidR="00CE3BAD" w:rsidRPr="00782BF9" w:rsidRDefault="006B5475">
            <w:pPr>
              <w:pStyle w:val="P68B1DB1-Normal29"/>
              <w:spacing w:after="0" w:line="240" w:lineRule="auto"/>
              <w:rPr>
                <w:noProof/>
                <w:lang w:val="bg-BG"/>
              </w:rPr>
            </w:pPr>
            <w:r w:rsidRPr="00782BF9">
              <w:rPr>
                <w:noProof/>
                <w:lang w:val="bg-BG"/>
              </w:rPr>
              <w:t>C6.I6. Инвестиции в енергийна ефективност в обществени сгради</w:t>
            </w:r>
          </w:p>
        </w:tc>
        <w:tc>
          <w:tcPr>
            <w:tcW w:w="1164" w:type="dxa"/>
            <w:tcBorders>
              <w:top w:val="nil"/>
              <w:left w:val="nil"/>
              <w:bottom w:val="single" w:sz="4" w:space="0" w:color="auto"/>
              <w:right w:val="single" w:sz="4" w:space="0" w:color="auto"/>
            </w:tcBorders>
            <w:shd w:val="clear" w:color="000000" w:fill="C6EFCE"/>
            <w:vAlign w:val="center"/>
          </w:tcPr>
          <w:p w14:paraId="19C11B14"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038809F" w14:textId="77777777" w:rsidR="00CE3BAD" w:rsidRPr="00782BF9" w:rsidRDefault="006B5475">
            <w:pPr>
              <w:pStyle w:val="P68B1DB1-Normal29"/>
              <w:spacing w:after="0" w:line="240" w:lineRule="auto"/>
              <w:rPr>
                <w:noProof/>
                <w:lang w:val="bg-BG"/>
              </w:rPr>
            </w:pPr>
            <w:r w:rsidRPr="00782BF9">
              <w:rPr>
                <w:noProof/>
                <w:lang w:val="bg-BG"/>
              </w:rPr>
              <w:t>Разгъната застроена площ на обществени сгради, които са се възползвали от подобряване на енергийната ефективност</w:t>
            </w:r>
          </w:p>
        </w:tc>
      </w:tr>
      <w:tr w:rsidR="00CE3BAD" w:rsidRPr="00782BF9" w14:paraId="5440D17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69D7CB1" w14:textId="77777777" w:rsidR="00CE3BAD" w:rsidRPr="00782BF9" w:rsidRDefault="006B5475">
            <w:pPr>
              <w:pStyle w:val="P68B1DB1-Normal29"/>
              <w:spacing w:after="0" w:line="240" w:lineRule="auto"/>
              <w:rPr>
                <w:noProof/>
                <w:lang w:val="bg-BG"/>
              </w:rPr>
            </w:pPr>
            <w:r w:rsidRPr="00782BF9">
              <w:rPr>
                <w:noProof/>
                <w:lang w:val="bg-BG"/>
              </w:rPr>
              <w:t>129</w:t>
            </w:r>
          </w:p>
        </w:tc>
        <w:tc>
          <w:tcPr>
            <w:tcW w:w="3120" w:type="dxa"/>
            <w:tcBorders>
              <w:top w:val="nil"/>
              <w:left w:val="nil"/>
              <w:bottom w:val="single" w:sz="4" w:space="0" w:color="auto"/>
              <w:right w:val="single" w:sz="4" w:space="0" w:color="auto"/>
            </w:tcBorders>
            <w:shd w:val="clear" w:color="000000" w:fill="C6EFCE"/>
            <w:vAlign w:val="center"/>
          </w:tcPr>
          <w:p w14:paraId="42C58145" w14:textId="77777777" w:rsidR="00CE3BAD" w:rsidRPr="00782BF9" w:rsidRDefault="006B5475">
            <w:pPr>
              <w:pStyle w:val="P68B1DB1-Normal29"/>
              <w:spacing w:after="0" w:line="240" w:lineRule="auto"/>
              <w:rPr>
                <w:noProof/>
                <w:lang w:val="bg-BG"/>
              </w:rPr>
            </w:pPr>
            <w:r w:rsidRPr="00782BF9">
              <w:rPr>
                <w:noProof/>
                <w:lang w:val="bg-BG"/>
              </w:rPr>
              <w:t>C6.I4 Инсталиране на мрежови съоръжения за акумулиране на енергия за участниците на енергийния пазар</w:t>
            </w:r>
          </w:p>
        </w:tc>
        <w:tc>
          <w:tcPr>
            <w:tcW w:w="1164" w:type="dxa"/>
            <w:tcBorders>
              <w:top w:val="nil"/>
              <w:left w:val="nil"/>
              <w:bottom w:val="single" w:sz="4" w:space="0" w:color="auto"/>
              <w:right w:val="single" w:sz="4" w:space="0" w:color="auto"/>
            </w:tcBorders>
            <w:shd w:val="clear" w:color="000000" w:fill="C6EFCE"/>
            <w:vAlign w:val="center"/>
          </w:tcPr>
          <w:p w14:paraId="2DFD0E48"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019AE4E" w14:textId="77777777" w:rsidR="00CE3BAD" w:rsidRPr="00782BF9" w:rsidRDefault="006B5475">
            <w:pPr>
              <w:pStyle w:val="P68B1DB1-Normal29"/>
              <w:spacing w:after="0" w:line="240" w:lineRule="auto"/>
              <w:rPr>
                <w:noProof/>
                <w:lang w:val="bg-BG"/>
              </w:rPr>
            </w:pPr>
            <w:r w:rsidRPr="00782BF9">
              <w:rPr>
                <w:noProof/>
                <w:lang w:val="bg-BG"/>
              </w:rPr>
              <w:t>Капацитет на новоинсталираните съоръжения за акумулиране на енергия</w:t>
            </w:r>
          </w:p>
        </w:tc>
      </w:tr>
      <w:tr w:rsidR="00CE3BAD" w:rsidRPr="00782BF9" w14:paraId="4A4B4A0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5B15225" w14:textId="77777777" w:rsidR="00CE3BAD" w:rsidRPr="00782BF9" w:rsidRDefault="006B5475">
            <w:pPr>
              <w:pStyle w:val="P68B1DB1-Normal29"/>
              <w:spacing w:after="0" w:line="240" w:lineRule="auto"/>
              <w:rPr>
                <w:noProof/>
                <w:lang w:val="bg-BG"/>
              </w:rPr>
            </w:pPr>
            <w:r w:rsidRPr="00782BF9">
              <w:rPr>
                <w:noProof/>
                <w:lang w:val="bg-BG"/>
              </w:rPr>
              <w:t>134</w:t>
            </w:r>
          </w:p>
        </w:tc>
        <w:tc>
          <w:tcPr>
            <w:tcW w:w="3120" w:type="dxa"/>
            <w:tcBorders>
              <w:top w:val="nil"/>
              <w:left w:val="nil"/>
              <w:bottom w:val="single" w:sz="4" w:space="0" w:color="auto"/>
              <w:right w:val="single" w:sz="4" w:space="0" w:color="auto"/>
            </w:tcBorders>
            <w:shd w:val="clear" w:color="000000" w:fill="C6EFCE"/>
            <w:vAlign w:val="center"/>
          </w:tcPr>
          <w:p w14:paraId="0EA935F4" w14:textId="77777777" w:rsidR="00CE3BAD" w:rsidRPr="00782BF9" w:rsidRDefault="006B5475">
            <w:pPr>
              <w:pStyle w:val="P68B1DB1-Normal29"/>
              <w:spacing w:after="0" w:line="240" w:lineRule="auto"/>
              <w:rPr>
                <w:noProof/>
                <w:lang w:val="bg-BG"/>
              </w:rPr>
            </w:pPr>
            <w:r w:rsidRPr="00782BF9">
              <w:rPr>
                <w:noProof/>
                <w:lang w:val="bg-BG"/>
              </w:rPr>
              <w:t>C6.I5 Разпространяване на интелигентни измервателни уреди</w:t>
            </w:r>
          </w:p>
        </w:tc>
        <w:tc>
          <w:tcPr>
            <w:tcW w:w="1164" w:type="dxa"/>
            <w:tcBorders>
              <w:top w:val="nil"/>
              <w:left w:val="nil"/>
              <w:bottom w:val="single" w:sz="4" w:space="0" w:color="auto"/>
              <w:right w:val="single" w:sz="4" w:space="0" w:color="auto"/>
            </w:tcBorders>
            <w:shd w:val="clear" w:color="000000" w:fill="C6EFCE"/>
            <w:vAlign w:val="center"/>
          </w:tcPr>
          <w:p w14:paraId="0C878352"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5C5A4AD" w14:textId="77777777" w:rsidR="00CE3BAD" w:rsidRPr="00782BF9" w:rsidRDefault="006B5475">
            <w:pPr>
              <w:pStyle w:val="P68B1DB1-Normal29"/>
              <w:spacing w:after="0" w:line="240" w:lineRule="auto"/>
              <w:rPr>
                <w:noProof/>
                <w:lang w:val="bg-BG"/>
              </w:rPr>
            </w:pPr>
            <w:r w:rsidRPr="00782BF9">
              <w:rPr>
                <w:noProof/>
                <w:lang w:val="bg-BG"/>
              </w:rPr>
              <w:t>Допълнителни новоинсталирани интелигентни измервателни уреди (кумулативно)</w:t>
            </w:r>
          </w:p>
        </w:tc>
      </w:tr>
      <w:tr w:rsidR="00CE3BAD" w:rsidRPr="00782BF9" w14:paraId="06AA24B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564C052" w14:textId="77777777" w:rsidR="00CE3BAD" w:rsidRPr="00782BF9" w:rsidRDefault="006B5475">
            <w:pPr>
              <w:pStyle w:val="P68B1DB1-Normal29"/>
              <w:spacing w:after="0" w:line="240" w:lineRule="auto"/>
              <w:rPr>
                <w:noProof/>
                <w:lang w:val="bg-BG"/>
              </w:rPr>
            </w:pPr>
            <w:r w:rsidRPr="00782BF9">
              <w:rPr>
                <w:noProof/>
                <w:lang w:val="bg-BG"/>
              </w:rPr>
              <w:t>373</w:t>
            </w:r>
          </w:p>
        </w:tc>
        <w:tc>
          <w:tcPr>
            <w:tcW w:w="3120" w:type="dxa"/>
            <w:tcBorders>
              <w:top w:val="nil"/>
              <w:left w:val="nil"/>
              <w:bottom w:val="single" w:sz="4" w:space="0" w:color="auto"/>
              <w:right w:val="single" w:sz="4" w:space="0" w:color="auto"/>
            </w:tcBorders>
            <w:shd w:val="clear" w:color="000000" w:fill="C6EFCE"/>
            <w:vAlign w:val="center"/>
          </w:tcPr>
          <w:p w14:paraId="4532DD56" w14:textId="77777777" w:rsidR="00CE3BAD" w:rsidRPr="00782BF9" w:rsidRDefault="006B5475">
            <w:pPr>
              <w:pStyle w:val="P68B1DB1-Normal29"/>
              <w:spacing w:after="0" w:line="240" w:lineRule="auto"/>
              <w:rPr>
                <w:noProof/>
                <w:lang w:val="bg-BG"/>
              </w:rPr>
            </w:pPr>
            <w:r w:rsidRPr="00782BF9">
              <w:rPr>
                <w:noProof/>
                <w:lang w:val="bg-BG"/>
              </w:rPr>
              <w:t>C7.R2: Повишаване на осведомеността</w:t>
            </w:r>
          </w:p>
        </w:tc>
        <w:tc>
          <w:tcPr>
            <w:tcW w:w="1164" w:type="dxa"/>
            <w:tcBorders>
              <w:top w:val="nil"/>
              <w:left w:val="nil"/>
              <w:bottom w:val="single" w:sz="4" w:space="0" w:color="auto"/>
              <w:right w:val="single" w:sz="4" w:space="0" w:color="auto"/>
            </w:tcBorders>
            <w:shd w:val="clear" w:color="000000" w:fill="C6EFCE"/>
            <w:vAlign w:val="center"/>
          </w:tcPr>
          <w:p w14:paraId="4B61F40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7DB6479" w14:textId="77777777" w:rsidR="00CE3BAD" w:rsidRPr="00782BF9" w:rsidRDefault="006B5475">
            <w:pPr>
              <w:pStyle w:val="P68B1DB1-Normal29"/>
              <w:spacing w:after="0" w:line="240" w:lineRule="auto"/>
              <w:rPr>
                <w:noProof/>
                <w:lang w:val="bg-BG"/>
              </w:rPr>
            </w:pPr>
            <w:r w:rsidRPr="00782BF9">
              <w:rPr>
                <w:noProof/>
                <w:lang w:val="bg-BG"/>
              </w:rPr>
              <w:t>Комуникационната стратегия е приета</w:t>
            </w:r>
          </w:p>
        </w:tc>
      </w:tr>
      <w:tr w:rsidR="00CE3BAD" w:rsidRPr="00782BF9" w14:paraId="06995DA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84F4125" w14:textId="77777777" w:rsidR="00CE3BAD" w:rsidRPr="00782BF9" w:rsidRDefault="006B5475">
            <w:pPr>
              <w:pStyle w:val="P68B1DB1-Normal29"/>
              <w:spacing w:after="0" w:line="240" w:lineRule="auto"/>
              <w:rPr>
                <w:noProof/>
                <w:lang w:val="bg-BG"/>
              </w:rPr>
            </w:pPr>
            <w:r w:rsidRPr="00782BF9">
              <w:rPr>
                <w:noProof/>
                <w:lang w:val="bg-BG"/>
              </w:rPr>
              <w:t>376</w:t>
            </w:r>
          </w:p>
        </w:tc>
        <w:tc>
          <w:tcPr>
            <w:tcW w:w="3120" w:type="dxa"/>
            <w:tcBorders>
              <w:top w:val="nil"/>
              <w:left w:val="nil"/>
              <w:bottom w:val="single" w:sz="4" w:space="0" w:color="auto"/>
              <w:right w:val="single" w:sz="4" w:space="0" w:color="auto"/>
            </w:tcBorders>
            <w:shd w:val="clear" w:color="000000" w:fill="C6EFCE"/>
            <w:vAlign w:val="center"/>
          </w:tcPr>
          <w:p w14:paraId="2382F8EB" w14:textId="6F7C0EAE" w:rsidR="00CE3BAD" w:rsidRPr="00782BF9" w:rsidRDefault="006B5475">
            <w:pPr>
              <w:pStyle w:val="P68B1DB1-Normal29"/>
              <w:spacing w:after="0" w:line="240" w:lineRule="auto"/>
              <w:rPr>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64" w:type="dxa"/>
            <w:tcBorders>
              <w:top w:val="nil"/>
              <w:left w:val="nil"/>
              <w:bottom w:val="single" w:sz="4" w:space="0" w:color="auto"/>
              <w:right w:val="single" w:sz="4" w:space="0" w:color="auto"/>
            </w:tcBorders>
            <w:shd w:val="clear" w:color="000000" w:fill="C6EFCE"/>
            <w:vAlign w:val="center"/>
          </w:tcPr>
          <w:p w14:paraId="729405FE"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3B6CB13" w14:textId="77777777" w:rsidR="00CE3BAD" w:rsidRPr="00782BF9" w:rsidRDefault="006B5475">
            <w:pPr>
              <w:pStyle w:val="P68B1DB1-Normal29"/>
              <w:spacing w:after="0" w:line="240" w:lineRule="auto"/>
              <w:rPr>
                <w:noProof/>
                <w:lang w:val="bg-BG"/>
              </w:rPr>
            </w:pPr>
            <w:r w:rsidRPr="00782BF9">
              <w:rPr>
                <w:noProof/>
                <w:lang w:val="bg-BG"/>
              </w:rPr>
              <w:t>Инсталиране и пускане в експлоатация на интелигентни контейнери</w:t>
            </w:r>
          </w:p>
        </w:tc>
      </w:tr>
      <w:tr w:rsidR="00CE3BAD" w:rsidRPr="00782BF9" w14:paraId="6B07BEF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4AAFA5B" w14:textId="77777777" w:rsidR="00CE3BAD" w:rsidRPr="00782BF9" w:rsidRDefault="006B5475">
            <w:pPr>
              <w:pStyle w:val="P68B1DB1-Normal29"/>
              <w:spacing w:after="0" w:line="240" w:lineRule="auto"/>
              <w:rPr>
                <w:noProof/>
                <w:lang w:val="bg-BG"/>
              </w:rPr>
            </w:pPr>
            <w:r w:rsidRPr="00782BF9">
              <w:rPr>
                <w:noProof/>
                <w:lang w:val="bg-BG"/>
              </w:rPr>
              <w:t>377</w:t>
            </w:r>
          </w:p>
        </w:tc>
        <w:tc>
          <w:tcPr>
            <w:tcW w:w="3120" w:type="dxa"/>
            <w:tcBorders>
              <w:top w:val="nil"/>
              <w:left w:val="nil"/>
              <w:bottom w:val="single" w:sz="4" w:space="0" w:color="auto"/>
              <w:right w:val="single" w:sz="4" w:space="0" w:color="auto"/>
            </w:tcBorders>
            <w:shd w:val="clear" w:color="000000" w:fill="C6EFCE"/>
            <w:vAlign w:val="center"/>
          </w:tcPr>
          <w:p w14:paraId="6E53465A" w14:textId="054C2B4A" w:rsidR="00CE3BAD" w:rsidRPr="00782BF9" w:rsidRDefault="006B5475">
            <w:pPr>
              <w:pStyle w:val="P68B1DB1-Normal29"/>
              <w:spacing w:after="0" w:line="240" w:lineRule="auto"/>
              <w:rPr>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64" w:type="dxa"/>
            <w:tcBorders>
              <w:top w:val="nil"/>
              <w:left w:val="nil"/>
              <w:bottom w:val="single" w:sz="4" w:space="0" w:color="auto"/>
              <w:right w:val="single" w:sz="4" w:space="0" w:color="auto"/>
            </w:tcBorders>
            <w:shd w:val="clear" w:color="000000" w:fill="C6EFCE"/>
            <w:vAlign w:val="center"/>
          </w:tcPr>
          <w:p w14:paraId="0BBEEDF9"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6BC25ED" w14:textId="77777777" w:rsidR="00CE3BAD" w:rsidRPr="00782BF9" w:rsidRDefault="006B5475">
            <w:pPr>
              <w:pStyle w:val="P68B1DB1-Normal29"/>
              <w:spacing w:after="0" w:line="240" w:lineRule="auto"/>
              <w:rPr>
                <w:noProof/>
                <w:lang w:val="bg-BG"/>
              </w:rPr>
            </w:pPr>
            <w:r w:rsidRPr="00782BF9">
              <w:rPr>
                <w:noProof/>
                <w:lang w:val="bg-BG"/>
              </w:rPr>
              <w:t>Инсталиране и пускане в експлоатация на подземни контейнери за отпадъци</w:t>
            </w:r>
          </w:p>
        </w:tc>
      </w:tr>
      <w:tr w:rsidR="00CE3BAD" w:rsidRPr="00782BF9" w14:paraId="0CE56E5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3365A68" w14:textId="77777777" w:rsidR="00CE3BAD" w:rsidRPr="00782BF9" w:rsidRDefault="006B5475">
            <w:pPr>
              <w:pStyle w:val="P68B1DB1-Normal29"/>
              <w:spacing w:after="0" w:line="240" w:lineRule="auto"/>
              <w:rPr>
                <w:noProof/>
                <w:lang w:val="bg-BG"/>
              </w:rPr>
            </w:pPr>
            <w:r w:rsidRPr="00782BF9">
              <w:rPr>
                <w:noProof/>
                <w:lang w:val="bg-BG"/>
              </w:rPr>
              <w:t>378</w:t>
            </w:r>
          </w:p>
        </w:tc>
        <w:tc>
          <w:tcPr>
            <w:tcW w:w="3120" w:type="dxa"/>
            <w:tcBorders>
              <w:top w:val="nil"/>
              <w:left w:val="nil"/>
              <w:bottom w:val="single" w:sz="4" w:space="0" w:color="auto"/>
              <w:right w:val="single" w:sz="4" w:space="0" w:color="auto"/>
            </w:tcBorders>
            <w:shd w:val="clear" w:color="000000" w:fill="C6EFCE"/>
            <w:vAlign w:val="center"/>
          </w:tcPr>
          <w:p w14:paraId="77371CAC" w14:textId="562575F2" w:rsidR="00CE3BAD" w:rsidRPr="00782BF9" w:rsidRDefault="006B5475">
            <w:pPr>
              <w:pStyle w:val="P68B1DB1-Normal29"/>
              <w:spacing w:after="0" w:line="240" w:lineRule="auto"/>
              <w:rPr>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64" w:type="dxa"/>
            <w:tcBorders>
              <w:top w:val="nil"/>
              <w:left w:val="nil"/>
              <w:bottom w:val="single" w:sz="4" w:space="0" w:color="auto"/>
              <w:right w:val="single" w:sz="4" w:space="0" w:color="auto"/>
            </w:tcBorders>
            <w:shd w:val="clear" w:color="000000" w:fill="C6EFCE"/>
            <w:vAlign w:val="center"/>
          </w:tcPr>
          <w:p w14:paraId="1853EAF9"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66A08EE" w14:textId="77777777" w:rsidR="00CE3BAD" w:rsidRPr="00782BF9" w:rsidRDefault="006B5475">
            <w:pPr>
              <w:pStyle w:val="P68B1DB1-Normal29"/>
              <w:spacing w:after="0" w:line="240" w:lineRule="auto"/>
              <w:rPr>
                <w:noProof/>
                <w:lang w:val="bg-BG"/>
              </w:rPr>
            </w:pPr>
            <w:r w:rsidRPr="00782BF9">
              <w:rPr>
                <w:noProof/>
                <w:lang w:val="bg-BG"/>
              </w:rPr>
              <w:t>Закупуване и пускане в експлоатация на превозни средства с нулеви емисии за нова инфраструктура за събиране на отпадъци</w:t>
            </w:r>
          </w:p>
        </w:tc>
      </w:tr>
      <w:tr w:rsidR="00CE3BAD" w:rsidRPr="00782BF9" w14:paraId="1568D2C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8C63427" w14:textId="77777777" w:rsidR="00CE3BAD" w:rsidRPr="00782BF9" w:rsidRDefault="006B5475">
            <w:pPr>
              <w:pStyle w:val="P68B1DB1-Normal29"/>
              <w:spacing w:after="0" w:line="240" w:lineRule="auto"/>
              <w:rPr>
                <w:noProof/>
                <w:lang w:val="bg-BG"/>
              </w:rPr>
            </w:pPr>
            <w:r w:rsidRPr="00782BF9">
              <w:rPr>
                <w:noProof/>
                <w:lang w:val="bg-BG"/>
              </w:rPr>
              <w:t>379</w:t>
            </w:r>
          </w:p>
        </w:tc>
        <w:tc>
          <w:tcPr>
            <w:tcW w:w="3120" w:type="dxa"/>
            <w:tcBorders>
              <w:top w:val="nil"/>
              <w:left w:val="nil"/>
              <w:bottom w:val="single" w:sz="4" w:space="0" w:color="auto"/>
              <w:right w:val="single" w:sz="4" w:space="0" w:color="auto"/>
            </w:tcBorders>
            <w:shd w:val="clear" w:color="000000" w:fill="C6EFCE"/>
            <w:vAlign w:val="center"/>
          </w:tcPr>
          <w:p w14:paraId="46CB9961" w14:textId="762AAA5D" w:rsidR="00CE3BAD" w:rsidRPr="00782BF9" w:rsidRDefault="006B5475">
            <w:pPr>
              <w:pStyle w:val="P68B1DB1-Normal29"/>
              <w:spacing w:after="0" w:line="240" w:lineRule="auto"/>
              <w:rPr>
                <w:noProof/>
                <w:lang w:val="bg-BG"/>
              </w:rPr>
            </w:pPr>
            <w:r w:rsidRPr="00782BF9">
              <w:rPr>
                <w:noProof/>
                <w:lang w:val="bg-BG"/>
              </w:rPr>
              <w:t>C7.I2 Изграждане на интелигентна инфраструктура за събиране на отпадъци за разделно събиране и свързани превозни средства за събиране на нулеви емисии</w:t>
            </w:r>
          </w:p>
        </w:tc>
        <w:tc>
          <w:tcPr>
            <w:tcW w:w="1164" w:type="dxa"/>
            <w:tcBorders>
              <w:top w:val="nil"/>
              <w:left w:val="nil"/>
              <w:bottom w:val="single" w:sz="4" w:space="0" w:color="auto"/>
              <w:right w:val="single" w:sz="4" w:space="0" w:color="auto"/>
            </w:tcBorders>
            <w:shd w:val="clear" w:color="000000" w:fill="C6EFCE"/>
            <w:vAlign w:val="center"/>
          </w:tcPr>
          <w:p w14:paraId="0BC7F69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14B6B87" w14:textId="77777777" w:rsidR="00CE3BAD" w:rsidRPr="00782BF9" w:rsidRDefault="006B5475">
            <w:pPr>
              <w:pStyle w:val="P68B1DB1-Normal29"/>
              <w:spacing w:after="0" w:line="240" w:lineRule="auto"/>
              <w:rPr>
                <w:noProof/>
                <w:lang w:val="bg-BG"/>
              </w:rPr>
            </w:pPr>
            <w:r w:rsidRPr="00782BF9">
              <w:rPr>
                <w:noProof/>
                <w:lang w:val="bg-BG"/>
              </w:rPr>
              <w:t>Капацитет за събиране на отпадъци на инсталираната инфраструктура</w:t>
            </w:r>
          </w:p>
        </w:tc>
      </w:tr>
      <w:tr w:rsidR="00CE3BAD" w:rsidRPr="00782BF9" w14:paraId="55F29A7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16A6FEF" w14:textId="77777777" w:rsidR="00CE3BAD" w:rsidRPr="00782BF9" w:rsidRDefault="006B5475">
            <w:pPr>
              <w:pStyle w:val="P68B1DB1-Normal29"/>
              <w:spacing w:after="0" w:line="240" w:lineRule="auto"/>
              <w:rPr>
                <w:noProof/>
                <w:lang w:val="bg-BG"/>
              </w:rPr>
            </w:pPr>
            <w:r w:rsidRPr="00782BF9">
              <w:rPr>
                <w:noProof/>
                <w:lang w:val="bg-BG"/>
              </w:rPr>
              <w:t>144</w:t>
            </w:r>
          </w:p>
        </w:tc>
        <w:tc>
          <w:tcPr>
            <w:tcW w:w="3120" w:type="dxa"/>
            <w:tcBorders>
              <w:top w:val="nil"/>
              <w:left w:val="nil"/>
              <w:bottom w:val="single" w:sz="4" w:space="0" w:color="auto"/>
              <w:right w:val="single" w:sz="4" w:space="0" w:color="auto"/>
            </w:tcBorders>
            <w:shd w:val="clear" w:color="000000" w:fill="C6EFCE"/>
            <w:vAlign w:val="center"/>
          </w:tcPr>
          <w:p w14:paraId="1B550FA6" w14:textId="77777777" w:rsidR="00CE3BAD" w:rsidRPr="00782BF9" w:rsidRDefault="006B5475">
            <w:pPr>
              <w:pStyle w:val="P68B1DB1-Normal29"/>
              <w:spacing w:after="0" w:line="240" w:lineRule="auto"/>
              <w:rPr>
                <w:noProof/>
                <w:lang w:val="bg-BG"/>
              </w:rPr>
            </w:pPr>
            <w:r w:rsidRPr="00782BF9">
              <w:rPr>
                <w:noProof/>
                <w:lang w:val="bg-BG"/>
              </w:rPr>
              <w:t xml:space="preserve">C8.I1 Развиване на условията за здравно обслужване през 21-ви век </w:t>
            </w:r>
          </w:p>
        </w:tc>
        <w:tc>
          <w:tcPr>
            <w:tcW w:w="1164" w:type="dxa"/>
            <w:tcBorders>
              <w:top w:val="nil"/>
              <w:left w:val="nil"/>
              <w:bottom w:val="single" w:sz="4" w:space="0" w:color="auto"/>
              <w:right w:val="single" w:sz="4" w:space="0" w:color="auto"/>
            </w:tcBorders>
            <w:shd w:val="clear" w:color="000000" w:fill="C6EFCE"/>
            <w:vAlign w:val="center"/>
          </w:tcPr>
          <w:p w14:paraId="29461578" w14:textId="77777777" w:rsidR="00CE3BAD" w:rsidRPr="00782BF9" w:rsidRDefault="006B5475">
            <w:pPr>
              <w:pStyle w:val="P68B1DB1-Normal29"/>
              <w:spacing w:after="0" w:line="240" w:lineRule="auto"/>
              <w:rPr>
                <w:noProof/>
                <w:lang w:val="bg-BG"/>
              </w:rPr>
            </w:pPr>
            <w:r w:rsidRPr="00782BF9">
              <w:rPr>
                <w:noProof/>
                <w:lang w:val="bg-BG"/>
              </w:rPr>
              <w:t>Целеви </w:t>
            </w:r>
          </w:p>
        </w:tc>
        <w:tc>
          <w:tcPr>
            <w:tcW w:w="3781" w:type="dxa"/>
            <w:tcBorders>
              <w:top w:val="nil"/>
              <w:left w:val="nil"/>
              <w:bottom w:val="single" w:sz="4" w:space="0" w:color="auto"/>
              <w:right w:val="single" w:sz="4" w:space="0" w:color="auto"/>
            </w:tcBorders>
            <w:shd w:val="clear" w:color="000000" w:fill="C6EFCE"/>
            <w:vAlign w:val="center"/>
          </w:tcPr>
          <w:p w14:paraId="00B25EFC" w14:textId="77777777" w:rsidR="00CE3BAD" w:rsidRPr="00782BF9" w:rsidRDefault="006B5475">
            <w:pPr>
              <w:pStyle w:val="P68B1DB1-Normal29"/>
              <w:spacing w:after="0" w:line="240" w:lineRule="auto"/>
              <w:rPr>
                <w:noProof/>
                <w:lang w:val="bg-BG"/>
              </w:rPr>
            </w:pPr>
            <w:r w:rsidRPr="00782BF9">
              <w:rPr>
                <w:noProof/>
                <w:lang w:val="bg-BG"/>
              </w:rPr>
              <w:t>Брой на събитията за вземане на цяла кръв на подвижни пунктове за събиране в малки населени места</w:t>
            </w:r>
          </w:p>
        </w:tc>
      </w:tr>
      <w:tr w:rsidR="00CE3BAD" w:rsidRPr="00782BF9" w14:paraId="3562C7C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71D0540" w14:textId="77777777" w:rsidR="00CE3BAD" w:rsidRPr="00782BF9" w:rsidRDefault="006B5475">
            <w:pPr>
              <w:pStyle w:val="P68B1DB1-Normal29"/>
              <w:spacing w:after="0" w:line="240" w:lineRule="auto"/>
              <w:rPr>
                <w:noProof/>
                <w:lang w:val="bg-BG"/>
              </w:rPr>
            </w:pPr>
            <w:r w:rsidRPr="00782BF9">
              <w:rPr>
                <w:noProof/>
                <w:lang w:val="bg-BG"/>
              </w:rPr>
              <w:t>145</w:t>
            </w:r>
          </w:p>
        </w:tc>
        <w:tc>
          <w:tcPr>
            <w:tcW w:w="3120" w:type="dxa"/>
            <w:tcBorders>
              <w:top w:val="nil"/>
              <w:left w:val="nil"/>
              <w:bottom w:val="single" w:sz="4" w:space="0" w:color="auto"/>
              <w:right w:val="single" w:sz="4" w:space="0" w:color="auto"/>
            </w:tcBorders>
            <w:shd w:val="clear" w:color="000000" w:fill="C6EFCE"/>
            <w:vAlign w:val="center"/>
          </w:tcPr>
          <w:p w14:paraId="0F5F3FC5" w14:textId="77777777" w:rsidR="00CE3BAD" w:rsidRPr="00782BF9" w:rsidRDefault="006B5475">
            <w:pPr>
              <w:pStyle w:val="P68B1DB1-Normal29"/>
              <w:spacing w:after="0" w:line="240" w:lineRule="auto"/>
              <w:rPr>
                <w:noProof/>
                <w:lang w:val="bg-BG"/>
              </w:rPr>
            </w:pPr>
            <w:r w:rsidRPr="00782BF9">
              <w:rPr>
                <w:noProof/>
                <w:lang w:val="bg-BG"/>
              </w:rPr>
              <w:t xml:space="preserve">C8.I1 Развиване на условията за здравно обслужване през 21-ви век </w:t>
            </w:r>
          </w:p>
        </w:tc>
        <w:tc>
          <w:tcPr>
            <w:tcW w:w="1164" w:type="dxa"/>
            <w:tcBorders>
              <w:top w:val="nil"/>
              <w:left w:val="nil"/>
              <w:bottom w:val="single" w:sz="4" w:space="0" w:color="auto"/>
              <w:right w:val="single" w:sz="4" w:space="0" w:color="auto"/>
            </w:tcBorders>
            <w:shd w:val="clear" w:color="000000" w:fill="C6EFCE"/>
            <w:vAlign w:val="center"/>
          </w:tcPr>
          <w:p w14:paraId="541E2209"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230C9953" w14:textId="77777777" w:rsidR="00CE3BAD" w:rsidRPr="00782BF9" w:rsidRDefault="006B5475">
            <w:pPr>
              <w:pStyle w:val="P68B1DB1-Normal29"/>
              <w:spacing w:after="0" w:line="240" w:lineRule="auto"/>
              <w:rPr>
                <w:noProof/>
                <w:lang w:val="bg-BG"/>
              </w:rPr>
            </w:pPr>
            <w:r w:rsidRPr="00782BF9">
              <w:rPr>
                <w:noProof/>
                <w:lang w:val="bg-BG"/>
              </w:rPr>
              <w:t xml:space="preserve">Въвеждане в експлоатация на нови или модернизирани сгради на здравната инфраструктура, оборудвани с ново и модерно здравно оборудване </w:t>
            </w:r>
          </w:p>
        </w:tc>
      </w:tr>
      <w:tr w:rsidR="00CE3BAD" w:rsidRPr="00782BF9" w14:paraId="4875E92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996700A" w14:textId="77777777" w:rsidR="00CE3BAD" w:rsidRPr="00782BF9" w:rsidRDefault="006B5475">
            <w:pPr>
              <w:pStyle w:val="P68B1DB1-Normal29"/>
              <w:spacing w:after="0" w:line="240" w:lineRule="auto"/>
              <w:rPr>
                <w:noProof/>
                <w:lang w:val="bg-BG"/>
              </w:rPr>
            </w:pPr>
            <w:r w:rsidRPr="00782BF9">
              <w:rPr>
                <w:noProof/>
                <w:lang w:val="bg-BG"/>
              </w:rPr>
              <w:t>146</w:t>
            </w:r>
          </w:p>
        </w:tc>
        <w:tc>
          <w:tcPr>
            <w:tcW w:w="3120" w:type="dxa"/>
            <w:tcBorders>
              <w:top w:val="nil"/>
              <w:left w:val="nil"/>
              <w:bottom w:val="single" w:sz="4" w:space="0" w:color="auto"/>
              <w:right w:val="single" w:sz="4" w:space="0" w:color="auto"/>
            </w:tcBorders>
            <w:shd w:val="clear" w:color="000000" w:fill="C6EFCE"/>
            <w:vAlign w:val="center"/>
          </w:tcPr>
          <w:p w14:paraId="0B54EE34" w14:textId="77777777" w:rsidR="00CE3BAD" w:rsidRPr="00782BF9" w:rsidRDefault="006B5475">
            <w:pPr>
              <w:pStyle w:val="P68B1DB1-Normal29"/>
              <w:spacing w:after="0" w:line="240" w:lineRule="auto"/>
              <w:rPr>
                <w:noProof/>
                <w:lang w:val="bg-BG"/>
              </w:rPr>
            </w:pPr>
            <w:r w:rsidRPr="00782BF9">
              <w:rPr>
                <w:noProof/>
                <w:lang w:val="bg-BG"/>
              </w:rPr>
              <w:t xml:space="preserve">C8.I1 Развиване на условията за здравно обслужване през 21-ви век </w:t>
            </w:r>
          </w:p>
        </w:tc>
        <w:tc>
          <w:tcPr>
            <w:tcW w:w="1164" w:type="dxa"/>
            <w:tcBorders>
              <w:top w:val="nil"/>
              <w:left w:val="nil"/>
              <w:bottom w:val="single" w:sz="4" w:space="0" w:color="auto"/>
              <w:right w:val="single" w:sz="4" w:space="0" w:color="auto"/>
            </w:tcBorders>
            <w:shd w:val="clear" w:color="000000" w:fill="C6EFCE"/>
            <w:vAlign w:val="center"/>
          </w:tcPr>
          <w:p w14:paraId="5442E7B4"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5BFC1AE" w14:textId="77777777" w:rsidR="00CE3BAD" w:rsidRPr="00782BF9" w:rsidRDefault="006B5475">
            <w:pPr>
              <w:pStyle w:val="P68B1DB1-Normal29"/>
              <w:spacing w:after="0" w:line="240" w:lineRule="auto"/>
              <w:rPr>
                <w:noProof/>
                <w:lang w:val="bg-BG"/>
              </w:rPr>
            </w:pPr>
            <w:r w:rsidRPr="00782BF9">
              <w:rPr>
                <w:noProof/>
                <w:lang w:val="bg-BG"/>
              </w:rPr>
              <w:t>Разгъната застроена площ на сградите на здравната инфраструктура, които са се възползвали от подобряване на енергийната ефективност</w:t>
            </w:r>
          </w:p>
        </w:tc>
      </w:tr>
      <w:tr w:rsidR="00CE3BAD" w:rsidRPr="00782BF9" w14:paraId="790AE6E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E7E7F2B" w14:textId="77777777" w:rsidR="00CE3BAD" w:rsidRPr="00782BF9" w:rsidRDefault="006B5475">
            <w:pPr>
              <w:pStyle w:val="P68B1DB1-Normal29"/>
              <w:spacing w:after="0" w:line="240" w:lineRule="auto"/>
              <w:rPr>
                <w:noProof/>
                <w:lang w:val="bg-BG"/>
              </w:rPr>
            </w:pPr>
            <w:r w:rsidRPr="00782BF9">
              <w:rPr>
                <w:noProof/>
                <w:lang w:val="bg-BG"/>
              </w:rPr>
              <w:t>148</w:t>
            </w:r>
          </w:p>
        </w:tc>
        <w:tc>
          <w:tcPr>
            <w:tcW w:w="3120" w:type="dxa"/>
            <w:tcBorders>
              <w:top w:val="nil"/>
              <w:left w:val="nil"/>
              <w:bottom w:val="single" w:sz="4" w:space="0" w:color="auto"/>
              <w:right w:val="single" w:sz="4" w:space="0" w:color="auto"/>
            </w:tcBorders>
            <w:shd w:val="clear" w:color="000000" w:fill="C6EFCE"/>
            <w:vAlign w:val="center"/>
          </w:tcPr>
          <w:p w14:paraId="05E17415" w14:textId="77777777" w:rsidR="00CE3BAD" w:rsidRPr="00782BF9" w:rsidRDefault="006B5475">
            <w:pPr>
              <w:pStyle w:val="P68B1DB1-Normal29"/>
              <w:spacing w:after="0" w:line="240" w:lineRule="auto"/>
              <w:rPr>
                <w:noProof/>
                <w:lang w:val="bg-BG"/>
              </w:rPr>
            </w:pPr>
            <w:r w:rsidRPr="00782BF9">
              <w:rPr>
                <w:noProof/>
                <w:lang w:val="bg-BG"/>
              </w:rPr>
              <w:t xml:space="preserve">C8.I2 Подкрепа за цифровата трансформация на здравеопазването </w:t>
            </w:r>
          </w:p>
        </w:tc>
        <w:tc>
          <w:tcPr>
            <w:tcW w:w="1164" w:type="dxa"/>
            <w:tcBorders>
              <w:top w:val="nil"/>
              <w:left w:val="nil"/>
              <w:bottom w:val="single" w:sz="4" w:space="0" w:color="auto"/>
              <w:right w:val="single" w:sz="4" w:space="0" w:color="auto"/>
            </w:tcBorders>
            <w:shd w:val="clear" w:color="000000" w:fill="C6EFCE"/>
            <w:vAlign w:val="center"/>
          </w:tcPr>
          <w:p w14:paraId="352F0CFE"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69122B10" w14:textId="77777777" w:rsidR="00CE3BAD" w:rsidRPr="00782BF9" w:rsidRDefault="006B5475">
            <w:pPr>
              <w:pStyle w:val="P68B1DB1-Normal29"/>
              <w:spacing w:after="0" w:line="240" w:lineRule="auto"/>
              <w:rPr>
                <w:noProof/>
                <w:lang w:val="bg-BG"/>
              </w:rPr>
            </w:pPr>
            <w:r w:rsidRPr="00782BF9">
              <w:rPr>
                <w:noProof/>
                <w:lang w:val="bg-BG"/>
              </w:rPr>
              <w:t xml:space="preserve">Брой на новите бази данни в областта на здравеопазването и регистрите на заболяванията, които са на разположение в цифров вид </w:t>
            </w:r>
          </w:p>
        </w:tc>
      </w:tr>
      <w:tr w:rsidR="00CE3BAD" w:rsidRPr="00782BF9" w14:paraId="4061796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248B01D" w14:textId="77777777" w:rsidR="00CE3BAD" w:rsidRPr="00782BF9" w:rsidRDefault="006B5475">
            <w:pPr>
              <w:pStyle w:val="P68B1DB1-Normal29"/>
              <w:spacing w:after="0" w:line="240" w:lineRule="auto"/>
              <w:rPr>
                <w:noProof/>
                <w:lang w:val="bg-BG"/>
              </w:rPr>
            </w:pPr>
            <w:r w:rsidRPr="00782BF9">
              <w:rPr>
                <w:noProof/>
                <w:lang w:val="bg-BG"/>
              </w:rPr>
              <w:t>179</w:t>
            </w:r>
          </w:p>
        </w:tc>
        <w:tc>
          <w:tcPr>
            <w:tcW w:w="3120" w:type="dxa"/>
            <w:tcBorders>
              <w:top w:val="nil"/>
              <w:left w:val="nil"/>
              <w:bottom w:val="single" w:sz="4" w:space="0" w:color="auto"/>
              <w:right w:val="single" w:sz="4" w:space="0" w:color="auto"/>
            </w:tcBorders>
            <w:shd w:val="clear" w:color="000000" w:fill="C6EFCE"/>
            <w:vAlign w:val="center"/>
          </w:tcPr>
          <w:p w14:paraId="299928F8" w14:textId="77777777" w:rsidR="00CE3BAD" w:rsidRPr="00782BF9" w:rsidRDefault="006B5475">
            <w:pPr>
              <w:pStyle w:val="P68B1DB1-Normal29"/>
              <w:spacing w:after="0" w:line="240" w:lineRule="auto"/>
              <w:rPr>
                <w:noProof/>
                <w:lang w:val="bg-BG"/>
              </w:rPr>
            </w:pPr>
            <w:r w:rsidRPr="00782BF9">
              <w:rPr>
                <w:noProof/>
                <w:lang w:val="bg-BG"/>
              </w:rPr>
              <w:t>C9.R7 Разработване и прилагане на национална стратегия и план за действие за борба с корупцията</w:t>
            </w:r>
          </w:p>
        </w:tc>
        <w:tc>
          <w:tcPr>
            <w:tcW w:w="1164" w:type="dxa"/>
            <w:tcBorders>
              <w:top w:val="nil"/>
              <w:left w:val="nil"/>
              <w:bottom w:val="single" w:sz="4" w:space="0" w:color="auto"/>
              <w:right w:val="single" w:sz="4" w:space="0" w:color="auto"/>
            </w:tcBorders>
            <w:shd w:val="clear" w:color="000000" w:fill="C6EFCE"/>
            <w:vAlign w:val="center"/>
          </w:tcPr>
          <w:p w14:paraId="73C5832A"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B45D0A0" w14:textId="77777777" w:rsidR="00CE3BAD" w:rsidRPr="00782BF9" w:rsidRDefault="006B5475">
            <w:pPr>
              <w:pStyle w:val="P68B1DB1-Normal29"/>
              <w:spacing w:after="0" w:line="240" w:lineRule="auto"/>
              <w:rPr>
                <w:noProof/>
                <w:lang w:val="bg-BG"/>
              </w:rPr>
            </w:pPr>
            <w:r w:rsidRPr="00782BF9">
              <w:rPr>
                <w:noProof/>
                <w:lang w:val="bg-BG"/>
              </w:rPr>
              <w:t>Укрепване на рамката за борба с корупцията в Унгария чрез оценка на ефективното изпълнение на действията по новата национална стратегия за борба с корупцията и свързания с нея план за действие</w:t>
            </w:r>
          </w:p>
        </w:tc>
      </w:tr>
      <w:tr w:rsidR="00CE3BAD" w:rsidRPr="00782BF9" w14:paraId="0EB07B4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67AE77D" w14:textId="77777777" w:rsidR="00CE3BAD" w:rsidRPr="00782BF9" w:rsidRDefault="006B5475">
            <w:pPr>
              <w:pStyle w:val="P68B1DB1-Normal29"/>
              <w:spacing w:after="0" w:line="240" w:lineRule="auto"/>
              <w:rPr>
                <w:noProof/>
                <w:lang w:val="bg-BG"/>
              </w:rPr>
            </w:pPr>
            <w:r w:rsidRPr="00782BF9">
              <w:rPr>
                <w:noProof/>
                <w:lang w:val="bg-BG"/>
              </w:rPr>
              <w:t>191</w:t>
            </w:r>
          </w:p>
        </w:tc>
        <w:tc>
          <w:tcPr>
            <w:tcW w:w="3120" w:type="dxa"/>
            <w:tcBorders>
              <w:top w:val="nil"/>
              <w:left w:val="nil"/>
              <w:bottom w:val="single" w:sz="4" w:space="0" w:color="auto"/>
              <w:right w:val="single" w:sz="4" w:space="0" w:color="auto"/>
            </w:tcBorders>
            <w:shd w:val="clear" w:color="000000" w:fill="C6EFCE"/>
            <w:vAlign w:val="center"/>
          </w:tcPr>
          <w:p w14:paraId="640F9168"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444A2B4E"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C6C3815" w14:textId="77777777" w:rsidR="00CE3BAD" w:rsidRPr="00782BF9" w:rsidRDefault="006B5475">
            <w:pPr>
              <w:pStyle w:val="P68B1DB1-Normal29"/>
              <w:spacing w:after="0" w:line="240" w:lineRule="auto"/>
              <w:rPr>
                <w:noProof/>
                <w:lang w:val="bg-BG"/>
              </w:rPr>
            </w:pPr>
            <w:r w:rsidRPr="00782BF9">
              <w:rPr>
                <w:noProof/>
                <w:lang w:val="bg-BG"/>
              </w:rPr>
              <w:t>Делът на тръжните процедури с една оферта за обществени поръчки, финансирани с подкрепа от Съюза, не надвишава 15 %</w:t>
            </w:r>
          </w:p>
        </w:tc>
      </w:tr>
      <w:tr w:rsidR="00CE3BAD" w:rsidRPr="00782BF9" w14:paraId="17FAD3C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3766A86" w14:textId="77777777" w:rsidR="00CE3BAD" w:rsidRPr="00782BF9" w:rsidRDefault="006B5475">
            <w:pPr>
              <w:pStyle w:val="P68B1DB1-Normal29"/>
              <w:spacing w:after="0" w:line="240" w:lineRule="auto"/>
              <w:rPr>
                <w:noProof/>
                <w:lang w:val="bg-BG"/>
              </w:rPr>
            </w:pPr>
            <w:r w:rsidRPr="00782BF9">
              <w:rPr>
                <w:noProof/>
                <w:lang w:val="bg-BG"/>
              </w:rPr>
              <w:t>192</w:t>
            </w:r>
          </w:p>
        </w:tc>
        <w:tc>
          <w:tcPr>
            <w:tcW w:w="3120" w:type="dxa"/>
            <w:tcBorders>
              <w:top w:val="nil"/>
              <w:left w:val="nil"/>
              <w:bottom w:val="single" w:sz="4" w:space="0" w:color="auto"/>
              <w:right w:val="single" w:sz="4" w:space="0" w:color="auto"/>
            </w:tcBorders>
            <w:shd w:val="clear" w:color="000000" w:fill="C6EFCE"/>
            <w:vAlign w:val="center"/>
          </w:tcPr>
          <w:p w14:paraId="10E169B4"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32A0DBC2" w14:textId="77777777" w:rsidR="00CE3BAD" w:rsidRPr="00782BF9" w:rsidRDefault="006B5475">
            <w:pPr>
              <w:pStyle w:val="P68B1DB1-Normal29"/>
              <w:spacing w:after="0" w:line="240" w:lineRule="auto"/>
              <w:rPr>
                <w:noProof/>
                <w:lang w:val="bg-BG"/>
              </w:rPr>
            </w:pPr>
            <w:r w:rsidRPr="00782BF9">
              <w:rPr>
                <w:noProof/>
                <w:lang w:val="bg-BG"/>
              </w:rPr>
              <w:t xml:space="preserve">Целеви </w:t>
            </w:r>
          </w:p>
        </w:tc>
        <w:tc>
          <w:tcPr>
            <w:tcW w:w="3781" w:type="dxa"/>
            <w:tcBorders>
              <w:top w:val="nil"/>
              <w:left w:val="nil"/>
              <w:bottom w:val="single" w:sz="4" w:space="0" w:color="auto"/>
              <w:right w:val="single" w:sz="4" w:space="0" w:color="auto"/>
            </w:tcBorders>
            <w:shd w:val="clear" w:color="000000" w:fill="C6EFCE"/>
            <w:vAlign w:val="center"/>
          </w:tcPr>
          <w:p w14:paraId="601B723F" w14:textId="77777777" w:rsidR="00CE3BAD" w:rsidRPr="00782BF9" w:rsidRDefault="006B5475">
            <w:pPr>
              <w:pStyle w:val="P68B1DB1-Normal29"/>
              <w:spacing w:after="0" w:line="240" w:lineRule="auto"/>
              <w:rPr>
                <w:noProof/>
                <w:lang w:val="bg-BG"/>
              </w:rPr>
            </w:pPr>
            <w:r w:rsidRPr="00782BF9">
              <w:rPr>
                <w:noProof/>
                <w:lang w:val="bg-BG"/>
              </w:rPr>
              <w:t>Делът на тръжните процедури с една оферта за обществени поръчки, финансирани с национални ресурси, не надвишава 15 %</w:t>
            </w:r>
          </w:p>
        </w:tc>
      </w:tr>
      <w:tr w:rsidR="00CE3BAD" w:rsidRPr="00782BF9" w14:paraId="52FA107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C9A1FB4" w14:textId="77777777" w:rsidR="00CE3BAD" w:rsidRPr="00782BF9" w:rsidRDefault="006B5475">
            <w:pPr>
              <w:pStyle w:val="P68B1DB1-Normal29"/>
              <w:spacing w:after="0" w:line="240" w:lineRule="auto"/>
              <w:rPr>
                <w:noProof/>
                <w:lang w:val="bg-BG"/>
              </w:rPr>
            </w:pPr>
            <w:r w:rsidRPr="00782BF9">
              <w:rPr>
                <w:noProof/>
                <w:lang w:val="bg-BG"/>
              </w:rPr>
              <w:t>193</w:t>
            </w:r>
          </w:p>
        </w:tc>
        <w:tc>
          <w:tcPr>
            <w:tcW w:w="3120" w:type="dxa"/>
            <w:tcBorders>
              <w:top w:val="nil"/>
              <w:left w:val="nil"/>
              <w:bottom w:val="single" w:sz="4" w:space="0" w:color="auto"/>
              <w:right w:val="single" w:sz="4" w:space="0" w:color="auto"/>
            </w:tcBorders>
            <w:shd w:val="clear" w:color="000000" w:fill="C6EFCE"/>
            <w:vAlign w:val="center"/>
          </w:tcPr>
          <w:p w14:paraId="0FBF03A7"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2DFBC72E"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F14FB51" w14:textId="77777777" w:rsidR="00CE3BAD" w:rsidRPr="00782BF9" w:rsidRDefault="006B5475">
            <w:pPr>
              <w:pStyle w:val="P68B1DB1-Normal29"/>
              <w:spacing w:after="0" w:line="240" w:lineRule="auto"/>
              <w:rPr>
                <w:noProof/>
                <w:lang w:val="bg-BG"/>
              </w:rPr>
            </w:pPr>
            <w:r w:rsidRPr="00782BF9">
              <w:rPr>
                <w:noProof/>
                <w:lang w:val="bg-BG"/>
              </w:rPr>
              <w:t>Делът на тръжните процедури с една оферта за обществени поръчки, финансирани с подкрепа от Съюза, не надвишава 15 %</w:t>
            </w:r>
          </w:p>
        </w:tc>
      </w:tr>
      <w:tr w:rsidR="00CE3BAD" w:rsidRPr="00782BF9" w14:paraId="557DE9A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E568E5A" w14:textId="77777777" w:rsidR="00CE3BAD" w:rsidRPr="00782BF9" w:rsidRDefault="006B5475">
            <w:pPr>
              <w:pStyle w:val="P68B1DB1-Normal29"/>
              <w:spacing w:after="0" w:line="240" w:lineRule="auto"/>
              <w:rPr>
                <w:noProof/>
                <w:lang w:val="bg-BG"/>
              </w:rPr>
            </w:pPr>
            <w:r w:rsidRPr="00782BF9">
              <w:rPr>
                <w:noProof/>
                <w:lang w:val="bg-BG"/>
              </w:rPr>
              <w:t>194</w:t>
            </w:r>
          </w:p>
        </w:tc>
        <w:tc>
          <w:tcPr>
            <w:tcW w:w="3120" w:type="dxa"/>
            <w:tcBorders>
              <w:top w:val="nil"/>
              <w:left w:val="nil"/>
              <w:bottom w:val="single" w:sz="4" w:space="0" w:color="auto"/>
              <w:right w:val="single" w:sz="4" w:space="0" w:color="auto"/>
            </w:tcBorders>
            <w:shd w:val="clear" w:color="000000" w:fill="C6EFCE"/>
            <w:vAlign w:val="center"/>
          </w:tcPr>
          <w:p w14:paraId="39A00CD4" w14:textId="77777777" w:rsidR="00CE3BAD" w:rsidRPr="00782BF9" w:rsidRDefault="006B5475">
            <w:pPr>
              <w:pStyle w:val="P68B1DB1-Normal29"/>
              <w:spacing w:after="0" w:line="240" w:lineRule="auto"/>
              <w:rPr>
                <w:noProof/>
                <w:lang w:val="bg-BG"/>
              </w:rPr>
            </w:pPr>
            <w:r w:rsidRPr="00782BF9">
              <w:rPr>
                <w:noProof/>
                <w:lang w:val="bg-BG"/>
              </w:rPr>
              <w:t>C9.R10 Намаляване на дела на процедурите за възлагане на обществени поръчки с един търг</w:t>
            </w:r>
          </w:p>
        </w:tc>
        <w:tc>
          <w:tcPr>
            <w:tcW w:w="1164" w:type="dxa"/>
            <w:tcBorders>
              <w:top w:val="nil"/>
              <w:left w:val="nil"/>
              <w:bottom w:val="single" w:sz="4" w:space="0" w:color="auto"/>
              <w:right w:val="single" w:sz="4" w:space="0" w:color="auto"/>
            </w:tcBorders>
            <w:shd w:val="clear" w:color="000000" w:fill="C6EFCE"/>
            <w:vAlign w:val="center"/>
          </w:tcPr>
          <w:p w14:paraId="4C18FDB4"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5C9B050" w14:textId="77777777" w:rsidR="00CE3BAD" w:rsidRPr="00782BF9" w:rsidRDefault="006B5475">
            <w:pPr>
              <w:pStyle w:val="P68B1DB1-Normal29"/>
              <w:spacing w:after="0" w:line="240" w:lineRule="auto"/>
              <w:rPr>
                <w:noProof/>
                <w:lang w:val="bg-BG"/>
              </w:rPr>
            </w:pPr>
            <w:r w:rsidRPr="00782BF9">
              <w:rPr>
                <w:noProof/>
                <w:lang w:val="bg-BG"/>
              </w:rPr>
              <w:t>Делът на тръжните процедури с една оферта за обществени поръчки, финансирани с национални ресурси, не надвишава 15 %</w:t>
            </w:r>
          </w:p>
        </w:tc>
      </w:tr>
      <w:tr w:rsidR="00CE3BAD" w:rsidRPr="00782BF9" w14:paraId="78DAD8D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A7A21A8" w14:textId="77777777" w:rsidR="00CE3BAD" w:rsidRPr="00782BF9" w:rsidRDefault="006B5475">
            <w:pPr>
              <w:pStyle w:val="P68B1DB1-Normal29"/>
              <w:spacing w:after="0" w:line="240" w:lineRule="auto"/>
              <w:rPr>
                <w:noProof/>
                <w:lang w:val="bg-BG"/>
              </w:rPr>
            </w:pPr>
            <w:r w:rsidRPr="00782BF9">
              <w:rPr>
                <w:noProof/>
                <w:lang w:val="bg-BG"/>
              </w:rPr>
              <w:t>207</w:t>
            </w:r>
          </w:p>
        </w:tc>
        <w:tc>
          <w:tcPr>
            <w:tcW w:w="3120" w:type="dxa"/>
            <w:tcBorders>
              <w:top w:val="nil"/>
              <w:left w:val="nil"/>
              <w:bottom w:val="single" w:sz="4" w:space="0" w:color="auto"/>
              <w:right w:val="single" w:sz="4" w:space="0" w:color="auto"/>
            </w:tcBorders>
            <w:shd w:val="clear" w:color="000000" w:fill="C6EFCE"/>
            <w:vAlign w:val="center"/>
          </w:tcPr>
          <w:p w14:paraId="1A6A1063" w14:textId="77777777" w:rsidR="00CE3BAD" w:rsidRPr="00782BF9" w:rsidRDefault="006B5475">
            <w:pPr>
              <w:pStyle w:val="P68B1DB1-Normal29"/>
              <w:spacing w:after="0" w:line="240" w:lineRule="auto"/>
              <w:rPr>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1164" w:type="dxa"/>
            <w:tcBorders>
              <w:top w:val="nil"/>
              <w:left w:val="nil"/>
              <w:bottom w:val="single" w:sz="4" w:space="0" w:color="auto"/>
              <w:right w:val="single" w:sz="4" w:space="0" w:color="auto"/>
            </w:tcBorders>
            <w:shd w:val="clear" w:color="000000" w:fill="C6EFCE"/>
            <w:vAlign w:val="center"/>
          </w:tcPr>
          <w:p w14:paraId="72035E15" w14:textId="77777777" w:rsidR="00CE3BAD" w:rsidRPr="00782BF9" w:rsidRDefault="006B5475">
            <w:pPr>
              <w:pStyle w:val="P68B1DB1-Normal29"/>
              <w:spacing w:after="0" w:line="240" w:lineRule="auto"/>
              <w:rPr>
                <w:noProof/>
                <w:lang w:val="bg-BG"/>
              </w:rPr>
            </w:pPr>
            <w:r w:rsidRPr="00782BF9">
              <w:rPr>
                <w:noProof/>
                <w:lang w:val="bg-BG"/>
              </w:rPr>
              <w:t>Целеви </w:t>
            </w:r>
          </w:p>
        </w:tc>
        <w:tc>
          <w:tcPr>
            <w:tcW w:w="3781" w:type="dxa"/>
            <w:tcBorders>
              <w:top w:val="nil"/>
              <w:left w:val="nil"/>
              <w:bottom w:val="single" w:sz="4" w:space="0" w:color="auto"/>
              <w:right w:val="single" w:sz="4" w:space="0" w:color="auto"/>
            </w:tcBorders>
            <w:shd w:val="clear" w:color="000000" w:fill="C6EFCE"/>
            <w:vAlign w:val="center"/>
          </w:tcPr>
          <w:p w14:paraId="063D4DB5" w14:textId="77777777" w:rsidR="00CE3BAD" w:rsidRPr="00782BF9" w:rsidRDefault="006B5475">
            <w:pPr>
              <w:pStyle w:val="P68B1DB1-Normal29"/>
              <w:spacing w:after="0" w:line="240" w:lineRule="auto"/>
              <w:rPr>
                <w:noProof/>
                <w:lang w:val="bg-BG"/>
              </w:rPr>
            </w:pPr>
            <w:r w:rsidRPr="00782BF9">
              <w:rPr>
                <w:noProof/>
                <w:lang w:val="bg-BG"/>
              </w:rPr>
              <w:t>Общ брой микро-, малки и средни предприятия, преминали обучение относно практиките в областта на обществените поръчки </w:t>
            </w:r>
          </w:p>
        </w:tc>
      </w:tr>
      <w:tr w:rsidR="00CE3BAD" w:rsidRPr="00782BF9" w14:paraId="30FB4E3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EBCAF60" w14:textId="77777777" w:rsidR="00CE3BAD" w:rsidRPr="00782BF9" w:rsidRDefault="006B5475">
            <w:pPr>
              <w:pStyle w:val="P68B1DB1-Normal29"/>
              <w:spacing w:after="0" w:line="240" w:lineRule="auto"/>
              <w:rPr>
                <w:noProof/>
                <w:lang w:val="bg-BG"/>
              </w:rPr>
            </w:pPr>
            <w:r w:rsidRPr="00782BF9">
              <w:rPr>
                <w:noProof/>
                <w:lang w:val="bg-BG"/>
              </w:rPr>
              <w:t>208</w:t>
            </w:r>
          </w:p>
        </w:tc>
        <w:tc>
          <w:tcPr>
            <w:tcW w:w="3120" w:type="dxa"/>
            <w:tcBorders>
              <w:top w:val="nil"/>
              <w:left w:val="nil"/>
              <w:bottom w:val="single" w:sz="4" w:space="0" w:color="auto"/>
              <w:right w:val="single" w:sz="4" w:space="0" w:color="auto"/>
            </w:tcBorders>
            <w:shd w:val="clear" w:color="000000" w:fill="C6EFCE"/>
            <w:vAlign w:val="center"/>
          </w:tcPr>
          <w:p w14:paraId="27A0F3FB" w14:textId="77777777" w:rsidR="00CE3BAD" w:rsidRPr="00782BF9" w:rsidRDefault="006B5475">
            <w:pPr>
              <w:pStyle w:val="P68B1DB1-Normal29"/>
              <w:spacing w:after="0" w:line="240" w:lineRule="auto"/>
              <w:rPr>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1164" w:type="dxa"/>
            <w:tcBorders>
              <w:top w:val="nil"/>
              <w:left w:val="nil"/>
              <w:bottom w:val="single" w:sz="4" w:space="0" w:color="auto"/>
              <w:right w:val="single" w:sz="4" w:space="0" w:color="auto"/>
            </w:tcBorders>
            <w:shd w:val="clear" w:color="000000" w:fill="C6EFCE"/>
            <w:vAlign w:val="center"/>
          </w:tcPr>
          <w:p w14:paraId="64BCB2A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61DD183" w14:textId="77777777" w:rsidR="00CE3BAD" w:rsidRPr="00782BF9" w:rsidRDefault="006B5475">
            <w:pPr>
              <w:pStyle w:val="P68B1DB1-Normal29"/>
              <w:spacing w:after="0" w:line="240" w:lineRule="auto"/>
              <w:rPr>
                <w:noProof/>
                <w:lang w:val="bg-BG"/>
              </w:rPr>
            </w:pPr>
            <w:r w:rsidRPr="00782BF9">
              <w:rPr>
                <w:noProof/>
                <w:lang w:val="bg-BG"/>
              </w:rPr>
              <w:t>Оценка на схемата за обучение за улесняване на участието на микро-, малки и средни предприятия в процедури за възлагане на обществени поръчки</w:t>
            </w:r>
          </w:p>
        </w:tc>
      </w:tr>
      <w:tr w:rsidR="00CE3BAD" w:rsidRPr="00782BF9" w14:paraId="43C0F1A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3F402E6" w14:textId="77777777" w:rsidR="00CE3BAD" w:rsidRPr="00782BF9" w:rsidRDefault="006B5475">
            <w:pPr>
              <w:pStyle w:val="P68B1DB1-Normal29"/>
              <w:spacing w:after="0" w:line="240" w:lineRule="auto"/>
              <w:rPr>
                <w:noProof/>
                <w:lang w:val="bg-BG"/>
              </w:rPr>
            </w:pPr>
            <w:r w:rsidRPr="00782BF9">
              <w:rPr>
                <w:noProof/>
                <w:lang w:val="bg-BG"/>
              </w:rPr>
              <w:t>211</w:t>
            </w:r>
          </w:p>
        </w:tc>
        <w:tc>
          <w:tcPr>
            <w:tcW w:w="3120" w:type="dxa"/>
            <w:tcBorders>
              <w:top w:val="nil"/>
              <w:left w:val="nil"/>
              <w:bottom w:val="single" w:sz="4" w:space="0" w:color="auto"/>
              <w:right w:val="single" w:sz="4" w:space="0" w:color="auto"/>
            </w:tcBorders>
            <w:shd w:val="clear" w:color="000000" w:fill="C6EFCE"/>
            <w:vAlign w:val="center"/>
          </w:tcPr>
          <w:p w14:paraId="331FFB83" w14:textId="77777777" w:rsidR="00CE3BAD" w:rsidRPr="00782BF9" w:rsidRDefault="006B5475">
            <w:pPr>
              <w:pStyle w:val="P68B1DB1-Normal29"/>
              <w:spacing w:after="0" w:line="240" w:lineRule="auto"/>
              <w:rPr>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1164" w:type="dxa"/>
            <w:tcBorders>
              <w:top w:val="nil"/>
              <w:left w:val="nil"/>
              <w:bottom w:val="single" w:sz="4" w:space="0" w:color="auto"/>
              <w:right w:val="single" w:sz="4" w:space="0" w:color="auto"/>
            </w:tcBorders>
            <w:shd w:val="clear" w:color="000000" w:fill="C6EFCE"/>
            <w:vAlign w:val="center"/>
          </w:tcPr>
          <w:p w14:paraId="6D008EC7" w14:textId="77777777" w:rsidR="00CE3BAD" w:rsidRPr="00782BF9" w:rsidRDefault="006B5475">
            <w:pPr>
              <w:pStyle w:val="P68B1DB1-Normal29"/>
              <w:spacing w:after="0" w:line="240" w:lineRule="auto"/>
              <w:rPr>
                <w:noProof/>
                <w:lang w:val="bg-BG"/>
              </w:rPr>
            </w:pPr>
            <w:r w:rsidRPr="00782BF9">
              <w:rPr>
                <w:noProof/>
                <w:lang w:val="bg-BG"/>
              </w:rPr>
              <w:t>Целеви </w:t>
            </w:r>
          </w:p>
        </w:tc>
        <w:tc>
          <w:tcPr>
            <w:tcW w:w="3781" w:type="dxa"/>
            <w:tcBorders>
              <w:top w:val="nil"/>
              <w:left w:val="nil"/>
              <w:bottom w:val="single" w:sz="4" w:space="0" w:color="auto"/>
              <w:right w:val="single" w:sz="4" w:space="0" w:color="auto"/>
            </w:tcBorders>
            <w:shd w:val="clear" w:color="000000" w:fill="C6EFCE"/>
            <w:vAlign w:val="center"/>
          </w:tcPr>
          <w:p w14:paraId="49725F5B" w14:textId="77777777" w:rsidR="00CE3BAD" w:rsidRPr="00782BF9" w:rsidRDefault="006B5475">
            <w:pPr>
              <w:pStyle w:val="P68B1DB1-Normal29"/>
              <w:spacing w:after="0" w:line="240" w:lineRule="auto"/>
              <w:rPr>
                <w:noProof/>
                <w:lang w:val="bg-BG"/>
              </w:rPr>
            </w:pPr>
            <w:r w:rsidRPr="00782BF9">
              <w:rPr>
                <w:noProof/>
                <w:lang w:val="bg-BG"/>
              </w:rPr>
              <w:t>Брой микро-, малки и средни предприятия, които са получили еднократна подкрепа за компенсация на разходите за обществени поръчки </w:t>
            </w:r>
          </w:p>
        </w:tc>
      </w:tr>
      <w:tr w:rsidR="00CE3BAD" w:rsidRPr="00782BF9" w14:paraId="6B641CB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C03C4CC" w14:textId="77777777" w:rsidR="00CE3BAD" w:rsidRPr="00782BF9" w:rsidRDefault="006B5475">
            <w:pPr>
              <w:pStyle w:val="P68B1DB1-Normal29"/>
              <w:spacing w:after="0" w:line="240" w:lineRule="auto"/>
              <w:rPr>
                <w:noProof/>
                <w:lang w:val="bg-BG"/>
              </w:rPr>
            </w:pPr>
            <w:r w:rsidRPr="00782BF9">
              <w:rPr>
                <w:noProof/>
                <w:lang w:val="bg-BG"/>
              </w:rPr>
              <w:t>212</w:t>
            </w:r>
          </w:p>
        </w:tc>
        <w:tc>
          <w:tcPr>
            <w:tcW w:w="3120" w:type="dxa"/>
            <w:tcBorders>
              <w:top w:val="nil"/>
              <w:left w:val="nil"/>
              <w:bottom w:val="single" w:sz="4" w:space="0" w:color="auto"/>
              <w:right w:val="single" w:sz="4" w:space="0" w:color="auto"/>
            </w:tcBorders>
            <w:shd w:val="clear" w:color="000000" w:fill="C6EFCE"/>
            <w:vAlign w:val="center"/>
          </w:tcPr>
          <w:p w14:paraId="17A1AF3D" w14:textId="77777777" w:rsidR="00CE3BAD" w:rsidRPr="00782BF9" w:rsidRDefault="006B5475">
            <w:pPr>
              <w:pStyle w:val="P68B1DB1-Normal29"/>
              <w:spacing w:after="0" w:line="240" w:lineRule="auto"/>
              <w:rPr>
                <w:noProof/>
                <w:lang w:val="bg-BG"/>
              </w:rPr>
            </w:pPr>
            <w:r w:rsidRPr="00782BF9">
              <w:rPr>
                <w:noProof/>
                <w:lang w:val="bg-BG"/>
              </w:rPr>
              <w:t>C9.R14 Схема за обучение и схема за подпомагане на възлагането на обществени поръчки за микро-, малки и средни предприятия с цел улесняване на участието им в процедури за възлагане на обществени поръчки</w:t>
            </w:r>
          </w:p>
        </w:tc>
        <w:tc>
          <w:tcPr>
            <w:tcW w:w="1164" w:type="dxa"/>
            <w:tcBorders>
              <w:top w:val="nil"/>
              <w:left w:val="nil"/>
              <w:bottom w:val="single" w:sz="4" w:space="0" w:color="auto"/>
              <w:right w:val="single" w:sz="4" w:space="0" w:color="auto"/>
            </w:tcBorders>
            <w:shd w:val="clear" w:color="000000" w:fill="C6EFCE"/>
            <w:vAlign w:val="center"/>
          </w:tcPr>
          <w:p w14:paraId="30CC649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C3AEB5D" w14:textId="77777777" w:rsidR="00CE3BAD" w:rsidRPr="00782BF9" w:rsidRDefault="006B5475">
            <w:pPr>
              <w:pStyle w:val="P68B1DB1-Normal29"/>
              <w:spacing w:after="0" w:line="240" w:lineRule="auto"/>
              <w:rPr>
                <w:noProof/>
                <w:lang w:val="bg-BG"/>
              </w:rPr>
            </w:pPr>
            <w:r w:rsidRPr="00782BF9">
              <w:rPr>
                <w:noProof/>
                <w:lang w:val="bg-BG"/>
              </w:rPr>
              <w:t>Приключване на окончателната оценка на добавената стойност и ефективността на схемата за подпомагане</w:t>
            </w:r>
          </w:p>
        </w:tc>
      </w:tr>
      <w:tr w:rsidR="00CE3BAD" w:rsidRPr="00782BF9" w14:paraId="0DBA3D1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AAE485B" w14:textId="77777777" w:rsidR="00CE3BAD" w:rsidRPr="00782BF9" w:rsidRDefault="006B5475">
            <w:pPr>
              <w:pStyle w:val="P68B1DB1-Normal29"/>
              <w:spacing w:after="0" w:line="240" w:lineRule="auto"/>
              <w:rPr>
                <w:noProof/>
                <w:lang w:val="bg-BG"/>
              </w:rPr>
            </w:pPr>
            <w:r w:rsidRPr="00782BF9">
              <w:rPr>
                <w:noProof/>
                <w:lang w:val="bg-BG"/>
              </w:rPr>
              <w:t>233</w:t>
            </w:r>
          </w:p>
        </w:tc>
        <w:tc>
          <w:tcPr>
            <w:tcW w:w="3120" w:type="dxa"/>
            <w:tcBorders>
              <w:top w:val="nil"/>
              <w:left w:val="nil"/>
              <w:bottom w:val="single" w:sz="4" w:space="0" w:color="auto"/>
              <w:right w:val="single" w:sz="4" w:space="0" w:color="auto"/>
            </w:tcBorders>
            <w:shd w:val="clear" w:color="000000" w:fill="C6EFCE"/>
            <w:vAlign w:val="center"/>
          </w:tcPr>
          <w:p w14:paraId="0B1ACDF6" w14:textId="77777777" w:rsidR="00CE3BAD" w:rsidRPr="00782BF9" w:rsidRDefault="006B5475">
            <w:pPr>
              <w:pStyle w:val="P68B1DB1-Normal29"/>
              <w:spacing w:after="0" w:line="240" w:lineRule="auto"/>
              <w:rPr>
                <w:noProof/>
                <w:lang w:val="bg-BG"/>
              </w:rPr>
            </w:pPr>
            <w:r w:rsidRPr="00782BF9">
              <w:rPr>
                <w:noProof/>
                <w:lang w:val="bg-BG"/>
              </w:rPr>
              <w:t>C9.R26 Подобряване на прозрачността и достъпа до публична информация</w:t>
            </w:r>
          </w:p>
        </w:tc>
        <w:tc>
          <w:tcPr>
            <w:tcW w:w="1164" w:type="dxa"/>
            <w:tcBorders>
              <w:top w:val="nil"/>
              <w:left w:val="nil"/>
              <w:bottom w:val="single" w:sz="4" w:space="0" w:color="auto"/>
              <w:right w:val="single" w:sz="4" w:space="0" w:color="auto"/>
            </w:tcBorders>
            <w:shd w:val="clear" w:color="000000" w:fill="C6EFCE"/>
            <w:vAlign w:val="center"/>
          </w:tcPr>
          <w:p w14:paraId="1E5C166F"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DD55F6A" w14:textId="77777777" w:rsidR="00CE3BAD" w:rsidRPr="00782BF9" w:rsidRDefault="006B5475">
            <w:pPr>
              <w:pStyle w:val="P68B1DB1-Normal29"/>
              <w:spacing w:after="0" w:line="240" w:lineRule="auto"/>
              <w:rPr>
                <w:noProof/>
                <w:lang w:val="bg-BG"/>
              </w:rPr>
            </w:pPr>
            <w:r w:rsidRPr="00782BF9">
              <w:rPr>
                <w:noProof/>
                <w:lang w:val="bg-BG"/>
              </w:rPr>
              <w:t>Доклад на Националния орган за защита на данните и свобода на информацията относно достъпа до обществена информация (3)</w:t>
            </w:r>
          </w:p>
        </w:tc>
      </w:tr>
      <w:tr w:rsidR="00CE3BAD" w:rsidRPr="00782BF9" w14:paraId="04D01F3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CC6CEE2" w14:textId="77777777" w:rsidR="00CE3BAD" w:rsidRPr="00782BF9" w:rsidRDefault="006B5475">
            <w:pPr>
              <w:pStyle w:val="P68B1DB1-Normal29"/>
              <w:spacing w:after="0" w:line="240" w:lineRule="auto"/>
              <w:rPr>
                <w:noProof/>
                <w:lang w:val="bg-BG"/>
              </w:rPr>
            </w:pPr>
            <w:r w:rsidRPr="00782BF9">
              <w:rPr>
                <w:noProof/>
                <w:lang w:val="bg-BG"/>
              </w:rPr>
              <w:t>240</w:t>
            </w:r>
          </w:p>
        </w:tc>
        <w:tc>
          <w:tcPr>
            <w:tcW w:w="3120" w:type="dxa"/>
            <w:tcBorders>
              <w:top w:val="nil"/>
              <w:left w:val="nil"/>
              <w:bottom w:val="single" w:sz="4" w:space="0" w:color="auto"/>
              <w:right w:val="single" w:sz="4" w:space="0" w:color="auto"/>
            </w:tcBorders>
            <w:shd w:val="clear" w:color="000000" w:fill="C6EFCE"/>
            <w:vAlign w:val="center"/>
          </w:tcPr>
          <w:p w14:paraId="31FB9609" w14:textId="77777777" w:rsidR="00CE3BAD" w:rsidRPr="00782BF9" w:rsidRDefault="006B5475">
            <w:pPr>
              <w:pStyle w:val="P68B1DB1-Normal29"/>
              <w:spacing w:after="0" w:line="240" w:lineRule="auto"/>
              <w:rPr>
                <w:noProof/>
                <w:lang w:val="bg-BG"/>
              </w:rPr>
            </w:pPr>
            <w:r w:rsidRPr="00782BF9">
              <w:rPr>
                <w:noProof/>
                <w:lang w:val="bg-BG"/>
              </w:rPr>
              <w:t>C9.R27 Подобряване на качеството на законотворчеството и ефективно участие на заинтересованите страни и социалните партньори във вземането на решения</w:t>
            </w:r>
          </w:p>
        </w:tc>
        <w:tc>
          <w:tcPr>
            <w:tcW w:w="1164" w:type="dxa"/>
            <w:tcBorders>
              <w:top w:val="nil"/>
              <w:left w:val="nil"/>
              <w:bottom w:val="single" w:sz="4" w:space="0" w:color="auto"/>
              <w:right w:val="single" w:sz="4" w:space="0" w:color="auto"/>
            </w:tcBorders>
            <w:shd w:val="clear" w:color="000000" w:fill="C6EFCE"/>
            <w:vAlign w:val="center"/>
          </w:tcPr>
          <w:p w14:paraId="1BB79A42"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DA59849" w14:textId="77777777" w:rsidR="00CE3BAD" w:rsidRPr="00782BF9" w:rsidRDefault="006B5475">
            <w:pPr>
              <w:pStyle w:val="P68B1DB1-Normal29"/>
              <w:spacing w:after="0" w:line="240" w:lineRule="auto"/>
              <w:rPr>
                <w:noProof/>
                <w:lang w:val="bg-BG"/>
              </w:rPr>
            </w:pPr>
            <w:r w:rsidRPr="00782BF9">
              <w:rPr>
                <w:noProof/>
                <w:lang w:val="bg-BG"/>
              </w:rPr>
              <w:t>Засилване на ефективното прилагане на правилата относно задължителната обществена консултация със законодателните актове и системното публикуване на предварителните обобщения на оценките на въздействието (4)</w:t>
            </w:r>
          </w:p>
        </w:tc>
      </w:tr>
      <w:tr w:rsidR="00CE3BAD" w:rsidRPr="00782BF9" w14:paraId="6BFC532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F4A034E" w14:textId="77777777" w:rsidR="00CE3BAD" w:rsidRPr="00782BF9" w:rsidRDefault="006B5475">
            <w:pPr>
              <w:pStyle w:val="P68B1DB1-Normal29"/>
              <w:spacing w:after="0" w:line="240" w:lineRule="auto"/>
              <w:rPr>
                <w:noProof/>
                <w:lang w:val="bg-BG"/>
              </w:rPr>
            </w:pPr>
            <w:r w:rsidRPr="00782BF9">
              <w:rPr>
                <w:noProof/>
                <w:lang w:val="bg-BG"/>
              </w:rPr>
              <w:t>250</w:t>
            </w:r>
          </w:p>
        </w:tc>
        <w:tc>
          <w:tcPr>
            <w:tcW w:w="3120" w:type="dxa"/>
            <w:tcBorders>
              <w:top w:val="nil"/>
              <w:left w:val="nil"/>
              <w:bottom w:val="single" w:sz="4" w:space="0" w:color="auto"/>
              <w:right w:val="single" w:sz="4" w:space="0" w:color="auto"/>
            </w:tcBorders>
            <w:shd w:val="clear" w:color="000000" w:fill="C6EFCE"/>
            <w:vAlign w:val="center"/>
          </w:tcPr>
          <w:p w14:paraId="156D9304" w14:textId="77777777" w:rsidR="00CE3BAD" w:rsidRPr="00782BF9" w:rsidRDefault="006B5475">
            <w:pPr>
              <w:pStyle w:val="P68B1DB1-Normal29"/>
              <w:spacing w:after="0" w:line="240" w:lineRule="auto"/>
              <w:rPr>
                <w:noProof/>
                <w:lang w:val="bg-BG"/>
              </w:rPr>
            </w:pPr>
            <w:r w:rsidRPr="00782BF9">
              <w:rPr>
                <w:noProof/>
                <w:lang w:val="bg-BG"/>
              </w:rPr>
              <w:t>C9.R33 Разширяване на обхвата на правилата за неприспадане за изходящи плащания</w:t>
            </w:r>
          </w:p>
        </w:tc>
        <w:tc>
          <w:tcPr>
            <w:tcW w:w="1164" w:type="dxa"/>
            <w:tcBorders>
              <w:top w:val="nil"/>
              <w:left w:val="nil"/>
              <w:bottom w:val="single" w:sz="4" w:space="0" w:color="auto"/>
              <w:right w:val="single" w:sz="4" w:space="0" w:color="auto"/>
            </w:tcBorders>
            <w:shd w:val="clear" w:color="000000" w:fill="C6EFCE"/>
            <w:vAlign w:val="center"/>
          </w:tcPr>
          <w:p w14:paraId="27ADC577"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07D24DF"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 изменения за подобряване на ефективността на мерките, свързани с агресивното данъчно планиране</w:t>
            </w:r>
          </w:p>
        </w:tc>
      </w:tr>
      <w:tr w:rsidR="00CE3BAD" w:rsidRPr="00782BF9" w14:paraId="6DA3125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A0EFEB2" w14:textId="77777777" w:rsidR="00CE3BAD" w:rsidRPr="00782BF9" w:rsidRDefault="006B5475">
            <w:pPr>
              <w:pStyle w:val="P68B1DB1-Normal29"/>
              <w:spacing w:after="0" w:line="240" w:lineRule="auto"/>
              <w:rPr>
                <w:noProof/>
                <w:lang w:val="bg-BG"/>
              </w:rPr>
            </w:pPr>
            <w:r w:rsidRPr="00782BF9">
              <w:rPr>
                <w:noProof/>
                <w:lang w:val="bg-BG"/>
              </w:rPr>
              <w:t>252</w:t>
            </w:r>
          </w:p>
        </w:tc>
        <w:tc>
          <w:tcPr>
            <w:tcW w:w="3120" w:type="dxa"/>
            <w:tcBorders>
              <w:top w:val="nil"/>
              <w:left w:val="nil"/>
              <w:bottom w:val="single" w:sz="4" w:space="0" w:color="auto"/>
              <w:right w:val="single" w:sz="4" w:space="0" w:color="auto"/>
            </w:tcBorders>
            <w:shd w:val="clear" w:color="000000" w:fill="C6EFCE"/>
            <w:vAlign w:val="center"/>
          </w:tcPr>
          <w:p w14:paraId="3C4DD27F" w14:textId="77777777" w:rsidR="00CE3BAD" w:rsidRPr="00782BF9" w:rsidRDefault="006B5475">
            <w:pPr>
              <w:pStyle w:val="P68B1DB1-Normal29"/>
              <w:spacing w:after="0" w:line="240" w:lineRule="auto"/>
              <w:rPr>
                <w:noProof/>
                <w:lang w:val="bg-BG"/>
              </w:rPr>
            </w:pPr>
            <w:r w:rsidRPr="00782BF9">
              <w:rPr>
                <w:noProof/>
                <w:lang w:val="bg-BG"/>
              </w:rPr>
              <w:t>C9.R34 Цифрова трансформация на процедурите за спазване на данъчното законодателство</w:t>
            </w:r>
          </w:p>
        </w:tc>
        <w:tc>
          <w:tcPr>
            <w:tcW w:w="1164" w:type="dxa"/>
            <w:tcBorders>
              <w:top w:val="nil"/>
              <w:left w:val="nil"/>
              <w:bottom w:val="single" w:sz="4" w:space="0" w:color="auto"/>
              <w:right w:val="single" w:sz="4" w:space="0" w:color="auto"/>
            </w:tcBorders>
            <w:shd w:val="clear" w:color="000000" w:fill="C6EFCE"/>
            <w:vAlign w:val="center"/>
          </w:tcPr>
          <w:p w14:paraId="1091383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E25726A" w14:textId="77777777" w:rsidR="00CE3BAD" w:rsidRPr="00782BF9" w:rsidRDefault="006B5475">
            <w:pPr>
              <w:pStyle w:val="P68B1DB1-Normal29"/>
              <w:spacing w:after="0" w:line="240" w:lineRule="auto"/>
              <w:rPr>
                <w:noProof/>
                <w:lang w:val="bg-BG"/>
              </w:rPr>
            </w:pPr>
            <w:r w:rsidRPr="00782BF9">
              <w:rPr>
                <w:noProof/>
                <w:lang w:val="bg-BG"/>
              </w:rPr>
              <w:t>Многоетапно въвеждане на системата ePayroll</w:t>
            </w:r>
          </w:p>
        </w:tc>
      </w:tr>
      <w:tr w:rsidR="00CE3BAD" w:rsidRPr="00782BF9" w14:paraId="57B2599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4037889" w14:textId="77777777" w:rsidR="00CE3BAD" w:rsidRPr="00782BF9" w:rsidRDefault="006B5475">
            <w:pPr>
              <w:pStyle w:val="P68B1DB1-Normal29"/>
              <w:spacing w:after="0" w:line="240" w:lineRule="auto"/>
              <w:rPr>
                <w:noProof/>
                <w:lang w:val="bg-BG"/>
              </w:rPr>
            </w:pPr>
            <w:r w:rsidRPr="00782BF9">
              <w:rPr>
                <w:noProof/>
                <w:lang w:val="bg-BG"/>
              </w:rPr>
              <w:t>254</w:t>
            </w:r>
          </w:p>
        </w:tc>
        <w:tc>
          <w:tcPr>
            <w:tcW w:w="3120" w:type="dxa"/>
            <w:tcBorders>
              <w:top w:val="nil"/>
              <w:left w:val="nil"/>
              <w:bottom w:val="single" w:sz="4" w:space="0" w:color="auto"/>
              <w:right w:val="single" w:sz="4" w:space="0" w:color="auto"/>
            </w:tcBorders>
            <w:shd w:val="clear" w:color="000000" w:fill="C6EFCE"/>
            <w:vAlign w:val="center"/>
          </w:tcPr>
          <w:p w14:paraId="3433ED06" w14:textId="77777777" w:rsidR="00CE3BAD" w:rsidRPr="00782BF9" w:rsidRDefault="006B5475">
            <w:pPr>
              <w:pStyle w:val="P68B1DB1-Normal29"/>
              <w:spacing w:after="0" w:line="240" w:lineRule="auto"/>
              <w:rPr>
                <w:noProof/>
                <w:lang w:val="bg-BG"/>
              </w:rPr>
            </w:pPr>
            <w:r w:rsidRPr="00782BF9">
              <w:rPr>
                <w:noProof/>
                <w:lang w:val="bg-BG"/>
              </w:rPr>
              <w:t>C9.R34 Цифрова трансформация на процедурите за спазване на данъчното законодателство</w:t>
            </w:r>
          </w:p>
        </w:tc>
        <w:tc>
          <w:tcPr>
            <w:tcW w:w="1164" w:type="dxa"/>
            <w:tcBorders>
              <w:top w:val="nil"/>
              <w:left w:val="nil"/>
              <w:bottom w:val="single" w:sz="4" w:space="0" w:color="auto"/>
              <w:right w:val="single" w:sz="4" w:space="0" w:color="auto"/>
            </w:tcBorders>
            <w:shd w:val="clear" w:color="000000" w:fill="C6EFCE"/>
            <w:vAlign w:val="center"/>
          </w:tcPr>
          <w:p w14:paraId="4718BD1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B1A36BB" w14:textId="77777777" w:rsidR="00CE3BAD" w:rsidRPr="00782BF9" w:rsidRDefault="006B5475">
            <w:pPr>
              <w:pStyle w:val="P68B1DB1-Normal29"/>
              <w:spacing w:after="0" w:line="240" w:lineRule="auto"/>
              <w:rPr>
                <w:noProof/>
                <w:lang w:val="bg-BG"/>
              </w:rPr>
            </w:pPr>
            <w:r w:rsidRPr="00782BF9">
              <w:rPr>
                <w:noProof/>
                <w:lang w:val="bg-BG"/>
              </w:rPr>
              <w:t>Многоетапно въвеждане на системата eReceipt</w:t>
            </w:r>
          </w:p>
        </w:tc>
      </w:tr>
      <w:tr w:rsidR="00CE3BAD" w:rsidRPr="00782BF9" w14:paraId="2828654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0238510" w14:textId="77777777" w:rsidR="00CE3BAD" w:rsidRPr="00782BF9" w:rsidRDefault="006B5475">
            <w:pPr>
              <w:pStyle w:val="P68B1DB1-Normal29"/>
              <w:spacing w:after="0" w:line="240" w:lineRule="auto"/>
              <w:rPr>
                <w:noProof/>
                <w:lang w:val="bg-BG"/>
              </w:rPr>
            </w:pPr>
            <w:r w:rsidRPr="00782BF9">
              <w:rPr>
                <w:noProof/>
                <w:lang w:val="bg-BG"/>
              </w:rPr>
              <w:t>256</w:t>
            </w:r>
          </w:p>
        </w:tc>
        <w:tc>
          <w:tcPr>
            <w:tcW w:w="3120" w:type="dxa"/>
            <w:tcBorders>
              <w:top w:val="nil"/>
              <w:left w:val="nil"/>
              <w:bottom w:val="single" w:sz="4" w:space="0" w:color="auto"/>
              <w:right w:val="single" w:sz="4" w:space="0" w:color="auto"/>
            </w:tcBorders>
            <w:shd w:val="clear" w:color="000000" w:fill="C6EFCE"/>
            <w:vAlign w:val="center"/>
          </w:tcPr>
          <w:p w14:paraId="1DB4B226" w14:textId="77777777" w:rsidR="00CE3BAD" w:rsidRPr="00782BF9" w:rsidRDefault="006B5475">
            <w:pPr>
              <w:pStyle w:val="P68B1DB1-Normal29"/>
              <w:spacing w:after="0" w:line="240" w:lineRule="auto"/>
              <w:rPr>
                <w:noProof/>
                <w:lang w:val="bg-BG"/>
              </w:rPr>
            </w:pPr>
            <w:r w:rsidRPr="00782BF9">
              <w:rPr>
                <w:noProof/>
                <w:lang w:val="bg-BG"/>
              </w:rPr>
              <w:t>C9.R34 Цифрова трансформация на процедурите за спазване на данъчното законодателство</w:t>
            </w:r>
          </w:p>
        </w:tc>
        <w:tc>
          <w:tcPr>
            <w:tcW w:w="1164" w:type="dxa"/>
            <w:tcBorders>
              <w:top w:val="nil"/>
              <w:left w:val="nil"/>
              <w:bottom w:val="single" w:sz="4" w:space="0" w:color="auto"/>
              <w:right w:val="single" w:sz="4" w:space="0" w:color="auto"/>
            </w:tcBorders>
            <w:shd w:val="clear" w:color="000000" w:fill="C6EFCE"/>
            <w:vAlign w:val="center"/>
          </w:tcPr>
          <w:p w14:paraId="38230EAF"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3F70FDD" w14:textId="77777777" w:rsidR="00CE3BAD" w:rsidRPr="00782BF9" w:rsidRDefault="006B5475">
            <w:pPr>
              <w:pStyle w:val="P68B1DB1-Normal29"/>
              <w:spacing w:after="0" w:line="240" w:lineRule="auto"/>
              <w:rPr>
                <w:noProof/>
                <w:lang w:val="bg-BG"/>
              </w:rPr>
            </w:pPr>
            <w:r w:rsidRPr="00782BF9">
              <w:rPr>
                <w:noProof/>
                <w:lang w:val="bg-BG"/>
              </w:rPr>
              <w:t>Многоетапно въвеждане на системата за електронно ДДС</w:t>
            </w:r>
          </w:p>
        </w:tc>
      </w:tr>
      <w:tr w:rsidR="00CE3BAD" w:rsidRPr="00782BF9" w14:paraId="1A0A3F0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0C24663" w14:textId="77777777" w:rsidR="00CE3BAD" w:rsidRPr="00782BF9" w:rsidRDefault="006B5475">
            <w:pPr>
              <w:pStyle w:val="P68B1DB1-Normal29"/>
              <w:spacing w:after="0" w:line="240" w:lineRule="auto"/>
              <w:rPr>
                <w:noProof/>
                <w:lang w:val="bg-BG"/>
              </w:rPr>
            </w:pPr>
            <w:r w:rsidRPr="00782BF9">
              <w:rPr>
                <w:noProof/>
                <w:lang w:val="bg-BG"/>
              </w:rPr>
              <w:t>271</w:t>
            </w:r>
          </w:p>
        </w:tc>
        <w:tc>
          <w:tcPr>
            <w:tcW w:w="3120" w:type="dxa"/>
            <w:tcBorders>
              <w:top w:val="nil"/>
              <w:left w:val="nil"/>
              <w:bottom w:val="single" w:sz="4" w:space="0" w:color="auto"/>
              <w:right w:val="single" w:sz="4" w:space="0" w:color="auto"/>
            </w:tcBorders>
            <w:shd w:val="clear" w:color="000000" w:fill="C6EFCE"/>
            <w:vAlign w:val="center"/>
          </w:tcPr>
          <w:p w14:paraId="28130587" w14:textId="77777777" w:rsidR="00CE3BAD" w:rsidRPr="00782BF9" w:rsidRDefault="006B5475">
            <w:pPr>
              <w:pStyle w:val="P68B1DB1-Normal29"/>
              <w:spacing w:after="0" w:line="240" w:lineRule="auto"/>
              <w:rPr>
                <w:noProof/>
                <w:lang w:val="bg-BG"/>
              </w:rPr>
            </w:pPr>
            <w:r w:rsidRPr="00782BF9">
              <w:rPr>
                <w:noProof/>
                <w:lang w:val="bg-BG"/>
              </w:rPr>
              <w:t>C10.R1: Подобряване на прозрачността, предвидимостта и достъпността на процедурата за присъединяване към мрежата</w:t>
            </w:r>
            <w:r w:rsidRPr="00782BF9">
              <w:rPr>
                <w:noProof/>
                <w:lang w:val="bg-BG"/>
              </w:rPr>
              <w:br/>
              <w:t>Разширена мярка:</w:t>
            </w:r>
            <w:r w:rsidRPr="00782BF9">
              <w:rPr>
                <w:noProof/>
                <w:lang w:val="bg-BG"/>
              </w:rPr>
              <w:br/>
              <w:t>Разрешение за присъединяване към мрежата за зависими от метеорологичните условия централи за енергия от възобновяеми източници</w:t>
            </w:r>
          </w:p>
        </w:tc>
        <w:tc>
          <w:tcPr>
            <w:tcW w:w="1164" w:type="dxa"/>
            <w:tcBorders>
              <w:top w:val="nil"/>
              <w:left w:val="nil"/>
              <w:bottom w:val="single" w:sz="4" w:space="0" w:color="auto"/>
              <w:right w:val="single" w:sz="4" w:space="0" w:color="auto"/>
            </w:tcBorders>
            <w:shd w:val="clear" w:color="000000" w:fill="C6EFCE"/>
            <w:vAlign w:val="center"/>
          </w:tcPr>
          <w:p w14:paraId="7CC7E368"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B6C050B" w14:textId="77777777" w:rsidR="00CE3BAD" w:rsidRPr="00782BF9" w:rsidRDefault="006B5475">
            <w:pPr>
              <w:pStyle w:val="P68B1DB1-Normal29"/>
              <w:spacing w:after="0" w:line="240" w:lineRule="auto"/>
              <w:rPr>
                <w:noProof/>
                <w:lang w:val="bg-BG"/>
              </w:rPr>
            </w:pPr>
            <w:r w:rsidRPr="00782BF9">
              <w:rPr>
                <w:noProof/>
                <w:lang w:val="bg-BG"/>
              </w:rPr>
              <w:t>Разрешение за присъединяване към мрежата за зависими от метеорологичните условия централи за енергия от възобновяеми източници</w:t>
            </w:r>
          </w:p>
        </w:tc>
      </w:tr>
      <w:tr w:rsidR="00CE3BAD" w:rsidRPr="00782BF9" w14:paraId="04A7BF7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61FD232" w14:textId="77777777" w:rsidR="00CE3BAD" w:rsidRPr="00782BF9" w:rsidRDefault="006B5475">
            <w:pPr>
              <w:pStyle w:val="P68B1DB1-Normal29"/>
              <w:spacing w:after="0" w:line="240" w:lineRule="auto"/>
              <w:rPr>
                <w:noProof/>
                <w:lang w:val="bg-BG"/>
              </w:rPr>
            </w:pPr>
            <w:r w:rsidRPr="00782BF9">
              <w:rPr>
                <w:noProof/>
                <w:lang w:val="bg-BG"/>
              </w:rPr>
              <w:t>281</w:t>
            </w:r>
          </w:p>
        </w:tc>
        <w:tc>
          <w:tcPr>
            <w:tcW w:w="3120" w:type="dxa"/>
            <w:tcBorders>
              <w:top w:val="nil"/>
              <w:left w:val="nil"/>
              <w:bottom w:val="single" w:sz="4" w:space="0" w:color="auto"/>
              <w:right w:val="single" w:sz="4" w:space="0" w:color="auto"/>
            </w:tcBorders>
            <w:shd w:val="clear" w:color="000000" w:fill="C6EFCE"/>
            <w:vAlign w:val="center"/>
          </w:tcPr>
          <w:p w14:paraId="5DCF90EB" w14:textId="77777777" w:rsidR="00CE3BAD" w:rsidRPr="00782BF9" w:rsidRDefault="006B5475">
            <w:pPr>
              <w:pStyle w:val="P68B1DB1-Normal29"/>
              <w:spacing w:after="0" w:line="240" w:lineRule="auto"/>
              <w:rPr>
                <w:noProof/>
                <w:lang w:val="bg-BG"/>
              </w:rPr>
            </w:pPr>
            <w:r w:rsidRPr="00782BF9">
              <w:rPr>
                <w:noProof/>
                <w:lang w:val="bg-BG"/>
              </w:rPr>
              <w:t xml:space="preserve">К10.И1: Развитие и цифровизация на електроенергийната мрежа </w:t>
            </w:r>
            <w:r w:rsidRPr="00782BF9">
              <w:rPr>
                <w:noProof/>
                <w:lang w:val="bg-BG"/>
              </w:rPr>
              <w:br/>
              <w:t>В.10.I1a: Развитие на цифровите технологии на равнището на системния оператор (безвъзмездни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7EF76F8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57E2D96" w14:textId="77777777" w:rsidR="00CE3BAD" w:rsidRPr="00782BF9" w:rsidRDefault="006B5475">
            <w:pPr>
              <w:pStyle w:val="P68B1DB1-Normal29"/>
              <w:spacing w:after="0" w:line="240" w:lineRule="auto"/>
              <w:rPr>
                <w:noProof/>
                <w:lang w:val="bg-BG"/>
              </w:rPr>
            </w:pPr>
            <w:r w:rsidRPr="00782BF9">
              <w:rPr>
                <w:noProof/>
                <w:lang w:val="bg-BG"/>
              </w:rPr>
              <w:t xml:space="preserve"> Цифрови разработки, свързани с мрежовата инфраструктура и експлоатацията на електроенергийната мрежа на равнището на системния оператор</w:t>
            </w:r>
          </w:p>
        </w:tc>
      </w:tr>
      <w:tr w:rsidR="00CE3BAD" w:rsidRPr="00782BF9" w14:paraId="2BF4066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2690854" w14:textId="77777777" w:rsidR="00CE3BAD" w:rsidRPr="00782BF9" w:rsidRDefault="006B5475">
            <w:pPr>
              <w:pStyle w:val="P68B1DB1-Normal29"/>
              <w:spacing w:after="0" w:line="240" w:lineRule="auto"/>
              <w:rPr>
                <w:noProof/>
                <w:lang w:val="bg-BG"/>
              </w:rPr>
            </w:pPr>
            <w:r w:rsidRPr="00782BF9">
              <w:rPr>
                <w:noProof/>
                <w:lang w:val="bg-BG"/>
              </w:rPr>
              <w:t>285</w:t>
            </w:r>
          </w:p>
        </w:tc>
        <w:tc>
          <w:tcPr>
            <w:tcW w:w="3120" w:type="dxa"/>
            <w:tcBorders>
              <w:top w:val="nil"/>
              <w:left w:val="nil"/>
              <w:bottom w:val="single" w:sz="4" w:space="0" w:color="auto"/>
              <w:right w:val="single" w:sz="4" w:space="0" w:color="auto"/>
            </w:tcBorders>
            <w:shd w:val="clear" w:color="000000" w:fill="C6EFCE"/>
            <w:vAlign w:val="center"/>
          </w:tcPr>
          <w:p w14:paraId="02715F07"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C10.I1b: Подобряване на точността на прогнозата за времето</w:t>
            </w:r>
          </w:p>
        </w:tc>
        <w:tc>
          <w:tcPr>
            <w:tcW w:w="1164" w:type="dxa"/>
            <w:tcBorders>
              <w:top w:val="nil"/>
              <w:left w:val="nil"/>
              <w:bottom w:val="single" w:sz="4" w:space="0" w:color="auto"/>
              <w:right w:val="single" w:sz="4" w:space="0" w:color="auto"/>
            </w:tcBorders>
            <w:shd w:val="clear" w:color="000000" w:fill="C6EFCE"/>
            <w:vAlign w:val="center"/>
          </w:tcPr>
          <w:p w14:paraId="52574138"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86DEB97" w14:textId="77777777" w:rsidR="00CE3BAD" w:rsidRPr="00782BF9" w:rsidRDefault="006B5475">
            <w:pPr>
              <w:pStyle w:val="P68B1DB1-Normal29"/>
              <w:spacing w:after="0" w:line="240" w:lineRule="auto"/>
              <w:rPr>
                <w:noProof/>
                <w:lang w:val="bg-BG"/>
              </w:rPr>
            </w:pPr>
            <w:r w:rsidRPr="00782BF9">
              <w:rPr>
                <w:noProof/>
                <w:lang w:val="bg-BG"/>
              </w:rPr>
              <w:t xml:space="preserve">Метеорологични станции в експлоатация </w:t>
            </w:r>
          </w:p>
        </w:tc>
      </w:tr>
      <w:tr w:rsidR="00CE3BAD" w:rsidRPr="00782BF9" w14:paraId="21741DD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BA76621" w14:textId="77777777" w:rsidR="00CE3BAD" w:rsidRPr="00782BF9" w:rsidRDefault="006B5475">
            <w:pPr>
              <w:pStyle w:val="P68B1DB1-Normal29"/>
              <w:spacing w:after="0" w:line="240" w:lineRule="auto"/>
              <w:rPr>
                <w:noProof/>
                <w:lang w:val="bg-BG"/>
              </w:rPr>
            </w:pPr>
            <w:r w:rsidRPr="00782BF9">
              <w:rPr>
                <w:noProof/>
                <w:lang w:val="bg-BG"/>
              </w:rPr>
              <w:t>288</w:t>
            </w:r>
          </w:p>
        </w:tc>
        <w:tc>
          <w:tcPr>
            <w:tcW w:w="3120" w:type="dxa"/>
            <w:tcBorders>
              <w:top w:val="nil"/>
              <w:left w:val="nil"/>
              <w:bottom w:val="single" w:sz="4" w:space="0" w:color="auto"/>
              <w:right w:val="single" w:sz="4" w:space="0" w:color="auto"/>
            </w:tcBorders>
            <w:shd w:val="clear" w:color="000000" w:fill="C6EFCE"/>
            <w:vAlign w:val="center"/>
          </w:tcPr>
          <w:p w14:paraId="7005D45B"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C10.I1c:  Разширена мярка: Развитие на класическа и интелигентна мрежа за оператора на преносна система и оператора на разпределителна система</w:t>
            </w:r>
          </w:p>
        </w:tc>
        <w:tc>
          <w:tcPr>
            <w:tcW w:w="1164" w:type="dxa"/>
            <w:tcBorders>
              <w:top w:val="nil"/>
              <w:left w:val="nil"/>
              <w:bottom w:val="single" w:sz="4" w:space="0" w:color="auto"/>
              <w:right w:val="single" w:sz="4" w:space="0" w:color="auto"/>
            </w:tcBorders>
            <w:shd w:val="clear" w:color="000000" w:fill="C6EFCE"/>
            <w:vAlign w:val="center"/>
          </w:tcPr>
          <w:p w14:paraId="2AB09521"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355E662" w14:textId="77777777" w:rsidR="00CE3BAD" w:rsidRPr="00782BF9" w:rsidRDefault="006B5475">
            <w:pPr>
              <w:pStyle w:val="P68B1DB1-Normal29"/>
              <w:spacing w:after="0" w:line="240" w:lineRule="auto"/>
              <w:rPr>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r>
      <w:tr w:rsidR="00CE3BAD" w:rsidRPr="00782BF9" w14:paraId="1D5BAF7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EA870BA" w14:textId="77777777" w:rsidR="00CE3BAD" w:rsidRPr="00782BF9" w:rsidRDefault="006B5475">
            <w:pPr>
              <w:pStyle w:val="P68B1DB1-Normal29"/>
              <w:spacing w:after="0" w:line="240" w:lineRule="auto"/>
              <w:rPr>
                <w:noProof/>
                <w:lang w:val="bg-BG"/>
              </w:rPr>
            </w:pPr>
            <w:r w:rsidRPr="00782BF9">
              <w:rPr>
                <w:noProof/>
                <w:lang w:val="bg-BG"/>
              </w:rPr>
              <w:t>292</w:t>
            </w:r>
          </w:p>
        </w:tc>
        <w:tc>
          <w:tcPr>
            <w:tcW w:w="3120" w:type="dxa"/>
            <w:tcBorders>
              <w:top w:val="nil"/>
              <w:left w:val="nil"/>
              <w:bottom w:val="single" w:sz="4" w:space="0" w:color="auto"/>
              <w:right w:val="single" w:sz="4" w:space="0" w:color="auto"/>
            </w:tcBorders>
            <w:shd w:val="clear" w:color="000000" w:fill="C6EFCE"/>
            <w:vAlign w:val="center"/>
          </w:tcPr>
          <w:p w14:paraId="1EF98A4E"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C10.I1d. Разширена мярка: Разпространение на интелигентни измервателни уреди (безвъзмездни средства)</w:t>
            </w:r>
          </w:p>
        </w:tc>
        <w:tc>
          <w:tcPr>
            <w:tcW w:w="1164" w:type="dxa"/>
            <w:tcBorders>
              <w:top w:val="nil"/>
              <w:left w:val="nil"/>
              <w:bottom w:val="single" w:sz="4" w:space="0" w:color="auto"/>
              <w:right w:val="single" w:sz="4" w:space="0" w:color="auto"/>
            </w:tcBorders>
            <w:shd w:val="clear" w:color="000000" w:fill="C6EFCE"/>
            <w:vAlign w:val="center"/>
          </w:tcPr>
          <w:p w14:paraId="663B9A31"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7972B0F" w14:textId="77777777" w:rsidR="00CE3BAD" w:rsidRPr="00782BF9" w:rsidRDefault="006B5475">
            <w:pPr>
              <w:pStyle w:val="P68B1DB1-Normal29"/>
              <w:spacing w:after="0" w:line="240" w:lineRule="auto"/>
              <w:rPr>
                <w:noProof/>
                <w:lang w:val="bg-BG"/>
              </w:rPr>
            </w:pPr>
            <w:r w:rsidRPr="00782BF9">
              <w:rPr>
                <w:noProof/>
                <w:lang w:val="bg-BG"/>
              </w:rPr>
              <w:t>Новоинсталирани интелигентни измервателни уреди</w:t>
            </w:r>
          </w:p>
        </w:tc>
      </w:tr>
      <w:tr w:rsidR="00CE3BAD" w:rsidRPr="00782BF9" w14:paraId="68C2AD1E" w14:textId="77777777">
        <w:tblPrEx>
          <w:tblCellMar>
            <w:top w:w="0" w:type="dxa"/>
          </w:tblCellMar>
        </w:tblPrEx>
        <w:trPr>
          <w:trHeight w:val="460"/>
        </w:trPr>
        <w:tc>
          <w:tcPr>
            <w:tcW w:w="5522" w:type="dxa"/>
            <w:gridSpan w:val="3"/>
            <w:tcBorders>
              <w:top w:val="nil"/>
              <w:left w:val="single" w:sz="4" w:space="0" w:color="auto"/>
              <w:bottom w:val="single" w:sz="4" w:space="0" w:color="auto"/>
              <w:right w:val="single" w:sz="4" w:space="0" w:color="auto"/>
            </w:tcBorders>
            <w:shd w:val="clear" w:color="000000" w:fill="C6EFCE"/>
            <w:vAlign w:val="center"/>
          </w:tcPr>
          <w:p w14:paraId="61668FD0"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nil"/>
              <w:left w:val="nil"/>
              <w:bottom w:val="single" w:sz="4" w:space="0" w:color="auto"/>
              <w:right w:val="single" w:sz="4" w:space="0" w:color="auto"/>
            </w:tcBorders>
            <w:shd w:val="clear" w:color="000000" w:fill="C6EFCE"/>
            <w:vAlign w:val="center"/>
          </w:tcPr>
          <w:p w14:paraId="36A811E1" w14:textId="77777777" w:rsidR="00CE3BAD" w:rsidRPr="00782BF9" w:rsidRDefault="006B5475">
            <w:pPr>
              <w:pStyle w:val="P68B1DB1-Normal29"/>
              <w:spacing w:after="0" w:line="240" w:lineRule="auto"/>
              <w:jc w:val="center"/>
              <w:rPr>
                <w:noProof/>
                <w:lang w:val="bg-BG"/>
              </w:rPr>
            </w:pPr>
            <w:r w:rsidRPr="00782BF9">
              <w:rPr>
                <w:noProof/>
                <w:lang w:val="bg-BG"/>
              </w:rPr>
              <w:t>1 604 911 435 EUR</w:t>
            </w:r>
          </w:p>
        </w:tc>
      </w:tr>
    </w:tbl>
    <w:p w14:paraId="0F784393" w14:textId="77777777" w:rsidR="00CE3BAD" w:rsidRPr="00782BF9" w:rsidRDefault="00CE3BAD">
      <w:pPr>
        <w:spacing w:before="120" w:after="120" w:line="240" w:lineRule="auto"/>
        <w:ind w:left="360"/>
        <w:jc w:val="both"/>
        <w:rPr>
          <w:rFonts w:eastAsia="Calibri" w:cs="Times New Roman"/>
          <w:noProof/>
          <w:lang w:val="bg-BG"/>
        </w:rPr>
      </w:pPr>
    </w:p>
    <w:p w14:paraId="13C5128E" w14:textId="77777777" w:rsidR="00CE3BAD" w:rsidRPr="00782BF9" w:rsidRDefault="00CE3BAD">
      <w:pPr>
        <w:spacing w:before="120" w:after="120" w:line="240" w:lineRule="auto"/>
        <w:jc w:val="both"/>
        <w:rPr>
          <w:rFonts w:eastAsia="Calibri" w:cs="Times New Roman"/>
          <w:noProof/>
          <w:lang w:val="bg-BG"/>
        </w:rPr>
      </w:pPr>
    </w:p>
    <w:p w14:paraId="0A659540" w14:textId="77777777" w:rsidR="00CE3BAD" w:rsidRPr="00782BF9" w:rsidRDefault="006B5475">
      <w:pPr>
        <w:pStyle w:val="P68B1DB1-ListParagraph3"/>
        <w:numPr>
          <w:ilvl w:val="3"/>
          <w:numId w:val="60"/>
        </w:numPr>
        <w:spacing w:before="120" w:after="120" w:line="240" w:lineRule="auto"/>
        <w:ind w:left="426"/>
        <w:jc w:val="both"/>
        <w:rPr>
          <w:rFonts w:eastAsia="Calibri" w:cs="Times New Roman"/>
          <w:noProof/>
          <w:lang w:val="bg-BG"/>
        </w:rPr>
      </w:pPr>
      <w:r w:rsidRPr="00782BF9">
        <w:rPr>
          <w:noProof/>
          <w:lang w:val="bg-BG"/>
        </w:rPr>
        <w:t xml:space="preserve">Заеми </w:t>
      </w:r>
    </w:p>
    <w:p w14:paraId="761B6C8C" w14:textId="77777777" w:rsidR="00CE3BAD" w:rsidRPr="00782BF9" w:rsidRDefault="006B5475">
      <w:pPr>
        <w:pStyle w:val="P68B1DB1-Normal4"/>
        <w:spacing w:before="120" w:after="120" w:line="240" w:lineRule="auto"/>
        <w:ind w:left="850"/>
        <w:jc w:val="both"/>
        <w:rPr>
          <w:rFonts w:eastAsia="Calibri" w:cs="Times New Roman"/>
          <w:noProof/>
          <w:lang w:val="bg-BG"/>
        </w:rPr>
      </w:pPr>
      <w:r w:rsidRPr="00782BF9">
        <w:rPr>
          <w:noProof/>
          <w:lang w:val="bg-BG"/>
        </w:rPr>
        <w:t>Вноските, посочени в член 3, параграф 2, се организират по следния начин:</w:t>
      </w:r>
    </w:p>
    <w:p w14:paraId="0EB100CA" w14:textId="77777777" w:rsidR="00CE3BAD" w:rsidRPr="00782BF9" w:rsidRDefault="00CE3BAD">
      <w:pPr>
        <w:pStyle w:val="Default"/>
        <w:rPr>
          <w:noProof/>
          <w:lang w:val="bg-BG"/>
        </w:rPr>
      </w:pPr>
    </w:p>
    <w:p w14:paraId="68449B80" w14:textId="77777777" w:rsidR="00CE3BAD" w:rsidRPr="00782BF9" w:rsidRDefault="006B5475">
      <w:pPr>
        <w:pStyle w:val="Default"/>
        <w:numPr>
          <w:ilvl w:val="1"/>
          <w:numId w:val="52"/>
        </w:numPr>
        <w:ind w:left="1440"/>
        <w:rPr>
          <w:noProof/>
          <w:lang w:val="bg-BG"/>
        </w:rPr>
      </w:pPr>
      <w:r w:rsidRPr="00782BF9">
        <w:rPr>
          <w:noProof/>
          <w:lang w:val="bg-BG"/>
        </w:rPr>
        <w:t xml:space="preserve">Първа вноска (подкрепа под формата на заем): </w:t>
      </w:r>
    </w:p>
    <w:p w14:paraId="2B0E7E9A" w14:textId="77777777" w:rsidR="00CE3BAD" w:rsidRPr="00782BF9" w:rsidRDefault="00CE3BAD">
      <w:pPr>
        <w:rPr>
          <w:noProof/>
          <w:lang w:val="bg-BG"/>
        </w:rPr>
      </w:pP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6739A785" w14:textId="77777777">
        <w:trPr>
          <w:trHeight w:val="450"/>
          <w:tblHeader/>
        </w:trPr>
        <w:tc>
          <w:tcPr>
            <w:tcW w:w="1238"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661BB282"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4F9C19E4"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329A128D"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vMerge w:val="restart"/>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5BC67314"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6C2EE1BC"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29DC90AE"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0DA72441"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60267833"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3EDE2B46"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6C230DFB" w14:textId="77777777">
        <w:trPr>
          <w:trHeight w:val="450"/>
          <w:tblHeader/>
        </w:trPr>
        <w:tc>
          <w:tcPr>
            <w:tcW w:w="1238" w:type="dxa"/>
            <w:vMerge/>
            <w:tcBorders>
              <w:top w:val="single" w:sz="4" w:space="0" w:color="auto"/>
              <w:left w:val="single" w:sz="4" w:space="0" w:color="000000"/>
              <w:bottom w:val="single" w:sz="4" w:space="0" w:color="000000"/>
              <w:right w:val="single" w:sz="4" w:space="0" w:color="000000"/>
            </w:tcBorders>
            <w:vAlign w:val="center"/>
            <w:hideMark/>
          </w:tcPr>
          <w:p w14:paraId="5D96EA2C"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120" w:type="dxa"/>
            <w:vMerge/>
            <w:tcBorders>
              <w:top w:val="single" w:sz="4" w:space="0" w:color="auto"/>
              <w:left w:val="single" w:sz="4" w:space="0" w:color="000000"/>
              <w:bottom w:val="single" w:sz="4" w:space="0" w:color="000000"/>
              <w:right w:val="single" w:sz="4" w:space="0" w:color="000000"/>
            </w:tcBorders>
            <w:vAlign w:val="center"/>
            <w:hideMark/>
          </w:tcPr>
          <w:p w14:paraId="01A28403"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1164" w:type="dxa"/>
            <w:vMerge/>
            <w:tcBorders>
              <w:top w:val="single" w:sz="4" w:space="0" w:color="auto"/>
              <w:left w:val="single" w:sz="4" w:space="0" w:color="000000"/>
              <w:bottom w:val="single" w:sz="4" w:space="0" w:color="000000"/>
              <w:right w:val="single" w:sz="4" w:space="0" w:color="000000"/>
            </w:tcBorders>
            <w:vAlign w:val="center"/>
            <w:hideMark/>
          </w:tcPr>
          <w:p w14:paraId="52AF1B64" w14:textId="77777777" w:rsidR="00CE3BAD" w:rsidRPr="00782BF9" w:rsidRDefault="00CE3BAD">
            <w:pPr>
              <w:spacing w:after="0" w:line="240" w:lineRule="auto"/>
              <w:rPr>
                <w:rFonts w:ascii="Times New Roman" w:eastAsia="Times New Roman" w:hAnsi="Times New Roman" w:cs="Times New Roman"/>
                <w:b/>
                <w:noProof/>
                <w:lang w:val="bg-BG"/>
              </w:rPr>
            </w:pPr>
          </w:p>
        </w:tc>
        <w:tc>
          <w:tcPr>
            <w:tcW w:w="3781" w:type="dxa"/>
            <w:vMerge/>
            <w:tcBorders>
              <w:top w:val="single" w:sz="4" w:space="0" w:color="auto"/>
              <w:left w:val="single" w:sz="4" w:space="0" w:color="000000"/>
              <w:bottom w:val="single" w:sz="4" w:space="0" w:color="000000"/>
              <w:right w:val="single" w:sz="4" w:space="0" w:color="000000"/>
            </w:tcBorders>
            <w:vAlign w:val="center"/>
            <w:hideMark/>
          </w:tcPr>
          <w:p w14:paraId="22BA9CEE" w14:textId="77777777" w:rsidR="00CE3BAD" w:rsidRPr="00782BF9" w:rsidRDefault="00CE3BAD">
            <w:pPr>
              <w:spacing w:after="0" w:line="240" w:lineRule="auto"/>
              <w:rPr>
                <w:rFonts w:ascii="Times New Roman" w:eastAsia="Times New Roman" w:hAnsi="Times New Roman" w:cs="Times New Roman"/>
                <w:b/>
                <w:noProof/>
                <w:lang w:val="bg-BG"/>
              </w:rPr>
            </w:pPr>
          </w:p>
        </w:tc>
      </w:tr>
      <w:tr w:rsidR="00CE3BAD" w:rsidRPr="00782BF9" w14:paraId="2BD044F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7DC46E1" w14:textId="77777777" w:rsidR="00CE3BAD" w:rsidRPr="00782BF9" w:rsidRDefault="006B5475">
            <w:pPr>
              <w:pStyle w:val="P68B1DB1-Normal29"/>
              <w:spacing w:after="0" w:line="240" w:lineRule="auto"/>
              <w:rPr>
                <w:noProof/>
                <w:lang w:val="bg-BG"/>
              </w:rPr>
            </w:pPr>
            <w:r w:rsidRPr="00782BF9">
              <w:rPr>
                <w:noProof/>
                <w:lang w:val="bg-BG"/>
              </w:rPr>
              <w:t>293</w:t>
            </w:r>
          </w:p>
        </w:tc>
        <w:tc>
          <w:tcPr>
            <w:tcW w:w="3120" w:type="dxa"/>
            <w:tcBorders>
              <w:top w:val="nil"/>
              <w:left w:val="nil"/>
              <w:bottom w:val="single" w:sz="4" w:space="0" w:color="auto"/>
              <w:right w:val="single" w:sz="4" w:space="0" w:color="auto"/>
            </w:tcBorders>
            <w:shd w:val="clear" w:color="000000" w:fill="C6EFCE"/>
            <w:vAlign w:val="center"/>
          </w:tcPr>
          <w:p w14:paraId="7897E067" w14:textId="77777777" w:rsidR="00CE3BAD" w:rsidRPr="00782BF9" w:rsidRDefault="006B5475">
            <w:pPr>
              <w:pStyle w:val="P68B1DB1-Normal29"/>
              <w:spacing w:after="0" w:line="240" w:lineRule="auto"/>
              <w:rPr>
                <w:noProof/>
                <w:lang w:val="bg-BG"/>
              </w:rPr>
            </w:pPr>
            <w:r w:rsidRPr="00782BF9">
              <w:rPr>
                <w:noProof/>
                <w:lang w:val="bg-BG"/>
              </w:rPr>
              <w:t>C10.R7: Разширяване на енергийните общности</w:t>
            </w:r>
          </w:p>
        </w:tc>
        <w:tc>
          <w:tcPr>
            <w:tcW w:w="1164" w:type="dxa"/>
            <w:tcBorders>
              <w:top w:val="nil"/>
              <w:left w:val="nil"/>
              <w:bottom w:val="single" w:sz="4" w:space="0" w:color="auto"/>
              <w:right w:val="single" w:sz="4" w:space="0" w:color="auto"/>
            </w:tcBorders>
            <w:shd w:val="clear" w:color="000000" w:fill="C6EFCE"/>
            <w:vAlign w:val="center"/>
          </w:tcPr>
          <w:p w14:paraId="7588D83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DDC69B7" w14:textId="77777777" w:rsidR="00CE3BAD" w:rsidRPr="00782BF9" w:rsidRDefault="006B5475">
            <w:pPr>
              <w:pStyle w:val="P68B1DB1-Normal29"/>
              <w:spacing w:after="0" w:line="240" w:lineRule="auto"/>
              <w:rPr>
                <w:noProof/>
                <w:lang w:val="bg-BG"/>
              </w:rPr>
            </w:pPr>
            <w:r w:rsidRPr="00782BF9">
              <w:rPr>
                <w:noProof/>
                <w:lang w:val="bg-BG"/>
              </w:rPr>
              <w:t>Влизане в сила на измененото законодателство относно енергийните общности</w:t>
            </w:r>
          </w:p>
        </w:tc>
      </w:tr>
      <w:tr w:rsidR="00CE3BAD" w:rsidRPr="00782BF9" w14:paraId="619C21B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FF23CAC" w14:textId="77777777" w:rsidR="00CE3BAD" w:rsidRPr="00782BF9" w:rsidRDefault="006B5475">
            <w:pPr>
              <w:pStyle w:val="P68B1DB1-Normal29"/>
              <w:spacing w:after="0" w:line="240" w:lineRule="auto"/>
              <w:rPr>
                <w:noProof/>
                <w:lang w:val="bg-BG"/>
              </w:rPr>
            </w:pPr>
            <w:r w:rsidRPr="00782BF9">
              <w:rPr>
                <w:noProof/>
                <w:lang w:val="bg-BG"/>
              </w:rPr>
              <w:t>294</w:t>
            </w:r>
          </w:p>
        </w:tc>
        <w:tc>
          <w:tcPr>
            <w:tcW w:w="3120" w:type="dxa"/>
            <w:tcBorders>
              <w:top w:val="nil"/>
              <w:left w:val="nil"/>
              <w:bottom w:val="single" w:sz="4" w:space="0" w:color="auto"/>
              <w:right w:val="single" w:sz="4" w:space="0" w:color="auto"/>
            </w:tcBorders>
            <w:shd w:val="clear" w:color="000000" w:fill="C6EFCE"/>
            <w:vAlign w:val="center"/>
          </w:tcPr>
          <w:p w14:paraId="3B0E923D" w14:textId="77777777" w:rsidR="00CE3BAD" w:rsidRPr="00782BF9" w:rsidRDefault="006B5475">
            <w:pPr>
              <w:pStyle w:val="P68B1DB1-Normal29"/>
              <w:spacing w:after="0" w:line="240" w:lineRule="auto"/>
              <w:rPr>
                <w:noProof/>
                <w:lang w:val="bg-BG"/>
              </w:rPr>
            </w:pPr>
            <w:r w:rsidRPr="00782BF9">
              <w:rPr>
                <w:noProof/>
                <w:lang w:val="bg-BG"/>
              </w:rPr>
              <w:t>C10.R7: Разширяване на енергийните общности</w:t>
            </w:r>
          </w:p>
        </w:tc>
        <w:tc>
          <w:tcPr>
            <w:tcW w:w="1164" w:type="dxa"/>
            <w:tcBorders>
              <w:top w:val="nil"/>
              <w:left w:val="nil"/>
              <w:bottom w:val="single" w:sz="4" w:space="0" w:color="auto"/>
              <w:right w:val="single" w:sz="4" w:space="0" w:color="auto"/>
            </w:tcBorders>
            <w:shd w:val="clear" w:color="000000" w:fill="C6EFCE"/>
            <w:vAlign w:val="center"/>
          </w:tcPr>
          <w:p w14:paraId="390CFC7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23E0D97" w14:textId="77777777" w:rsidR="00CE3BAD" w:rsidRPr="00782BF9" w:rsidRDefault="006B5475">
            <w:pPr>
              <w:pStyle w:val="P68B1DB1-Normal29"/>
              <w:spacing w:after="0" w:line="240" w:lineRule="auto"/>
              <w:rPr>
                <w:noProof/>
                <w:lang w:val="bg-BG"/>
              </w:rPr>
            </w:pPr>
            <w:r w:rsidRPr="00782BF9">
              <w:rPr>
                <w:noProof/>
                <w:lang w:val="bg-BG"/>
              </w:rPr>
              <w:t>Обслужване на едно гише и насоки за енергийните общности</w:t>
            </w:r>
          </w:p>
        </w:tc>
      </w:tr>
      <w:tr w:rsidR="00CE3BAD" w:rsidRPr="00782BF9" w14:paraId="660BCF3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DC62460" w14:textId="77777777" w:rsidR="00CE3BAD" w:rsidRPr="00782BF9" w:rsidRDefault="006B5475">
            <w:pPr>
              <w:pStyle w:val="P68B1DB1-Normal29"/>
              <w:spacing w:after="0" w:line="240" w:lineRule="auto"/>
              <w:rPr>
                <w:noProof/>
                <w:lang w:val="bg-BG"/>
              </w:rPr>
            </w:pPr>
            <w:r w:rsidRPr="00782BF9">
              <w:rPr>
                <w:noProof/>
                <w:lang w:val="bg-BG"/>
              </w:rPr>
              <w:t>297</w:t>
            </w:r>
          </w:p>
        </w:tc>
        <w:tc>
          <w:tcPr>
            <w:tcW w:w="3120" w:type="dxa"/>
            <w:tcBorders>
              <w:top w:val="nil"/>
              <w:left w:val="nil"/>
              <w:bottom w:val="single" w:sz="4" w:space="0" w:color="auto"/>
              <w:right w:val="single" w:sz="4" w:space="0" w:color="auto"/>
            </w:tcBorders>
            <w:shd w:val="clear" w:color="000000" w:fill="C6EFCE"/>
            <w:vAlign w:val="center"/>
          </w:tcPr>
          <w:p w14:paraId="756E47DF" w14:textId="77777777" w:rsidR="00CE3BAD" w:rsidRPr="00782BF9" w:rsidRDefault="006B5475">
            <w:pPr>
              <w:pStyle w:val="P68B1DB1-Normal29"/>
              <w:spacing w:after="0" w:line="240" w:lineRule="auto"/>
              <w:rPr>
                <w:noProof/>
                <w:lang w:val="bg-BG"/>
              </w:rPr>
            </w:pPr>
            <w:r w:rsidRPr="00782BF9">
              <w:rPr>
                <w:noProof/>
                <w:lang w:val="bg-BG"/>
              </w:rPr>
              <w:t>C10.R9: Осигуряване на правна рамка за водорода от възобновяеми източници</w:t>
            </w:r>
          </w:p>
        </w:tc>
        <w:tc>
          <w:tcPr>
            <w:tcW w:w="1164" w:type="dxa"/>
            <w:tcBorders>
              <w:top w:val="nil"/>
              <w:left w:val="nil"/>
              <w:bottom w:val="single" w:sz="4" w:space="0" w:color="auto"/>
              <w:right w:val="single" w:sz="4" w:space="0" w:color="auto"/>
            </w:tcBorders>
            <w:shd w:val="clear" w:color="000000" w:fill="C6EFCE"/>
            <w:vAlign w:val="center"/>
          </w:tcPr>
          <w:p w14:paraId="22C81D6A"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21D3875" w14:textId="77777777" w:rsidR="00CE3BAD" w:rsidRPr="00782BF9" w:rsidRDefault="006B5475">
            <w:pPr>
              <w:pStyle w:val="P68B1DB1-Normal29"/>
              <w:spacing w:after="0" w:line="240" w:lineRule="auto"/>
              <w:rPr>
                <w:noProof/>
                <w:lang w:val="bg-BG"/>
              </w:rPr>
            </w:pPr>
            <w:r w:rsidRPr="00782BF9">
              <w:rPr>
                <w:noProof/>
                <w:lang w:val="bg-BG"/>
              </w:rPr>
              <w:t>Приключване на прегледа на правната рамка относно водорода от възобновяеми източници</w:t>
            </w:r>
          </w:p>
        </w:tc>
      </w:tr>
      <w:tr w:rsidR="00CE3BAD" w:rsidRPr="00782BF9" w14:paraId="442185E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E1A8FB5" w14:textId="77777777" w:rsidR="00CE3BAD" w:rsidRPr="00782BF9" w:rsidRDefault="006B5475">
            <w:pPr>
              <w:pStyle w:val="P68B1DB1-Normal29"/>
              <w:spacing w:after="0" w:line="240" w:lineRule="auto"/>
              <w:rPr>
                <w:noProof/>
                <w:lang w:val="bg-BG"/>
              </w:rPr>
            </w:pPr>
            <w:r w:rsidRPr="00782BF9">
              <w:rPr>
                <w:noProof/>
                <w:lang w:val="bg-BG"/>
              </w:rPr>
              <w:t>299</w:t>
            </w:r>
          </w:p>
        </w:tc>
        <w:tc>
          <w:tcPr>
            <w:tcW w:w="3120" w:type="dxa"/>
            <w:tcBorders>
              <w:top w:val="nil"/>
              <w:left w:val="nil"/>
              <w:bottom w:val="single" w:sz="4" w:space="0" w:color="auto"/>
              <w:right w:val="single" w:sz="4" w:space="0" w:color="auto"/>
            </w:tcBorders>
            <w:shd w:val="clear" w:color="000000" w:fill="C6EFCE"/>
            <w:vAlign w:val="center"/>
          </w:tcPr>
          <w:p w14:paraId="0C07FB35" w14:textId="77777777" w:rsidR="00CE3BAD" w:rsidRPr="00782BF9" w:rsidRDefault="006B5475">
            <w:pPr>
              <w:pStyle w:val="P68B1DB1-Normal29"/>
              <w:spacing w:after="0" w:line="240" w:lineRule="auto"/>
              <w:rPr>
                <w:noProof/>
                <w:lang w:val="bg-BG"/>
              </w:rPr>
            </w:pPr>
            <w:r w:rsidRPr="00782BF9">
              <w:rPr>
                <w:noProof/>
                <w:lang w:val="bg-BG"/>
              </w:rPr>
              <w:t>C10.R10: Разработване на стратегия и план за действие за биогаза и биометана</w:t>
            </w:r>
          </w:p>
        </w:tc>
        <w:tc>
          <w:tcPr>
            <w:tcW w:w="1164" w:type="dxa"/>
            <w:tcBorders>
              <w:top w:val="nil"/>
              <w:left w:val="nil"/>
              <w:bottom w:val="single" w:sz="4" w:space="0" w:color="auto"/>
              <w:right w:val="single" w:sz="4" w:space="0" w:color="auto"/>
            </w:tcBorders>
            <w:shd w:val="clear" w:color="000000" w:fill="C6EFCE"/>
            <w:vAlign w:val="center"/>
          </w:tcPr>
          <w:p w14:paraId="293CDBD3"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EC9F0A4" w14:textId="77777777" w:rsidR="00CE3BAD" w:rsidRPr="00782BF9" w:rsidRDefault="006B5475">
            <w:pPr>
              <w:pStyle w:val="P68B1DB1-Normal29"/>
              <w:spacing w:after="0" w:line="240" w:lineRule="auto"/>
              <w:rPr>
                <w:noProof/>
                <w:lang w:val="bg-BG"/>
              </w:rPr>
            </w:pPr>
            <w:r w:rsidRPr="00782BF9">
              <w:rPr>
                <w:noProof/>
                <w:lang w:val="bg-BG"/>
              </w:rPr>
              <w:t>Разработване на стратегия и план за действие за биогаза и биометана</w:t>
            </w:r>
          </w:p>
        </w:tc>
      </w:tr>
      <w:tr w:rsidR="00CE3BAD" w:rsidRPr="00782BF9" w14:paraId="7C66F42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51A4C26" w14:textId="77777777" w:rsidR="00CE3BAD" w:rsidRPr="00782BF9" w:rsidRDefault="006B5475">
            <w:pPr>
              <w:pStyle w:val="P68B1DB1-Normal29"/>
              <w:spacing w:after="0" w:line="240" w:lineRule="auto"/>
              <w:rPr>
                <w:noProof/>
                <w:lang w:val="bg-BG"/>
              </w:rPr>
            </w:pPr>
            <w:r w:rsidRPr="00782BF9">
              <w:rPr>
                <w:noProof/>
                <w:lang w:val="bg-BG"/>
              </w:rPr>
              <w:t>301</w:t>
            </w:r>
          </w:p>
        </w:tc>
        <w:tc>
          <w:tcPr>
            <w:tcW w:w="3120" w:type="dxa"/>
            <w:tcBorders>
              <w:top w:val="nil"/>
              <w:left w:val="nil"/>
              <w:bottom w:val="single" w:sz="4" w:space="0" w:color="auto"/>
              <w:right w:val="single" w:sz="4" w:space="0" w:color="auto"/>
            </w:tcBorders>
            <w:shd w:val="clear" w:color="000000" w:fill="C6EFCE"/>
            <w:vAlign w:val="center"/>
          </w:tcPr>
          <w:p w14:paraId="6CE84337" w14:textId="77777777" w:rsidR="00CE3BAD" w:rsidRPr="00782BF9" w:rsidRDefault="006B5475">
            <w:pPr>
              <w:pStyle w:val="P68B1DB1-Normal29"/>
              <w:spacing w:after="0" w:line="240" w:lineRule="auto"/>
              <w:rPr>
                <w:noProof/>
                <w:lang w:val="bg-BG"/>
              </w:rPr>
            </w:pPr>
            <w:r w:rsidRPr="00782BF9">
              <w:rPr>
                <w:noProof/>
                <w:lang w:val="bg-BG"/>
              </w:rPr>
              <w:t>C10.R12: Подкрепа за заявленията на потенциалните бенефициери за финансирани от ЕС схеми за подпомагане на енергийната ефективност на жилищните сгради</w:t>
            </w:r>
          </w:p>
        </w:tc>
        <w:tc>
          <w:tcPr>
            <w:tcW w:w="1164" w:type="dxa"/>
            <w:tcBorders>
              <w:top w:val="nil"/>
              <w:left w:val="nil"/>
              <w:bottom w:val="single" w:sz="4" w:space="0" w:color="auto"/>
              <w:right w:val="single" w:sz="4" w:space="0" w:color="auto"/>
            </w:tcBorders>
            <w:shd w:val="clear" w:color="000000" w:fill="C6EFCE"/>
            <w:vAlign w:val="center"/>
          </w:tcPr>
          <w:p w14:paraId="2567870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FB3B657" w14:textId="77777777" w:rsidR="00CE3BAD" w:rsidRPr="00782BF9" w:rsidRDefault="006B5475">
            <w:pPr>
              <w:pStyle w:val="P68B1DB1-Normal29"/>
              <w:spacing w:after="0" w:line="240" w:lineRule="auto"/>
              <w:rPr>
                <w:noProof/>
                <w:lang w:val="bg-BG"/>
              </w:rPr>
            </w:pPr>
            <w:r w:rsidRPr="00782BF9">
              <w:rPr>
                <w:noProof/>
                <w:lang w:val="bg-BG"/>
              </w:rPr>
              <w:t xml:space="preserve">Влизане в сила на законодателство за създаване на рамка за подпомагане на заявленията на потенциалните бенефициери за подпомагане по финансирани от ЕС схеми за подпомагане на енергийната ефективност на жилищните сгради </w:t>
            </w:r>
          </w:p>
        </w:tc>
      </w:tr>
      <w:tr w:rsidR="00CE3BAD" w:rsidRPr="00782BF9" w14:paraId="0FDC116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4B27AFB" w14:textId="77777777" w:rsidR="00CE3BAD" w:rsidRPr="00782BF9" w:rsidRDefault="006B5475">
            <w:pPr>
              <w:pStyle w:val="P68B1DB1-Normal29"/>
              <w:spacing w:after="0" w:line="240" w:lineRule="auto"/>
              <w:rPr>
                <w:noProof/>
                <w:lang w:val="bg-BG"/>
              </w:rPr>
            </w:pPr>
            <w:r w:rsidRPr="00782BF9">
              <w:rPr>
                <w:noProof/>
                <w:lang w:val="bg-BG"/>
              </w:rPr>
              <w:t>304</w:t>
            </w:r>
          </w:p>
        </w:tc>
        <w:tc>
          <w:tcPr>
            <w:tcW w:w="3120" w:type="dxa"/>
            <w:tcBorders>
              <w:top w:val="nil"/>
              <w:left w:val="nil"/>
              <w:bottom w:val="single" w:sz="4" w:space="0" w:color="auto"/>
              <w:right w:val="single" w:sz="4" w:space="0" w:color="auto"/>
            </w:tcBorders>
            <w:shd w:val="clear" w:color="000000" w:fill="C6EFCE"/>
            <w:vAlign w:val="center"/>
          </w:tcPr>
          <w:p w14:paraId="1E24A2D0"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В.10.I1a: Развитие на цифровите технологии на равнището на системния оператор (заеми)</w:t>
            </w:r>
          </w:p>
        </w:tc>
        <w:tc>
          <w:tcPr>
            <w:tcW w:w="1164" w:type="dxa"/>
            <w:tcBorders>
              <w:top w:val="nil"/>
              <w:left w:val="nil"/>
              <w:bottom w:val="single" w:sz="4" w:space="0" w:color="auto"/>
              <w:right w:val="single" w:sz="4" w:space="0" w:color="auto"/>
            </w:tcBorders>
            <w:shd w:val="clear" w:color="000000" w:fill="C6EFCE"/>
            <w:vAlign w:val="center"/>
          </w:tcPr>
          <w:p w14:paraId="7E86BEC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252DC5A"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предложения относно развитието на цифровите технологии, свързани с мрежовата инфраструктура и експлоатацията на електроенергийната мрежа на равнището на системния оператор</w:t>
            </w:r>
          </w:p>
        </w:tc>
      </w:tr>
      <w:tr w:rsidR="00CE3BAD" w:rsidRPr="00782BF9" w14:paraId="4934B73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893A848" w14:textId="77777777" w:rsidR="00CE3BAD" w:rsidRPr="00782BF9" w:rsidRDefault="006B5475">
            <w:pPr>
              <w:pStyle w:val="P68B1DB1-Normal29"/>
              <w:spacing w:after="0" w:line="240" w:lineRule="auto"/>
              <w:rPr>
                <w:noProof/>
                <w:lang w:val="bg-BG"/>
              </w:rPr>
            </w:pPr>
            <w:r w:rsidRPr="00782BF9">
              <w:rPr>
                <w:noProof/>
                <w:lang w:val="bg-BG"/>
              </w:rPr>
              <w:t>308</w:t>
            </w:r>
          </w:p>
        </w:tc>
        <w:tc>
          <w:tcPr>
            <w:tcW w:w="3120" w:type="dxa"/>
            <w:tcBorders>
              <w:top w:val="nil"/>
              <w:left w:val="nil"/>
              <w:bottom w:val="single" w:sz="4" w:space="0" w:color="auto"/>
              <w:right w:val="single" w:sz="4" w:space="0" w:color="auto"/>
            </w:tcBorders>
            <w:shd w:val="clear" w:color="000000" w:fill="C6EFCE"/>
            <w:vAlign w:val="center"/>
          </w:tcPr>
          <w:p w14:paraId="23AB972B"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C10.I1b: Подобряване на точността на прогнозата за времето (заеми)</w:t>
            </w:r>
          </w:p>
        </w:tc>
        <w:tc>
          <w:tcPr>
            <w:tcW w:w="1164" w:type="dxa"/>
            <w:tcBorders>
              <w:top w:val="nil"/>
              <w:left w:val="nil"/>
              <w:bottom w:val="single" w:sz="4" w:space="0" w:color="auto"/>
              <w:right w:val="single" w:sz="4" w:space="0" w:color="auto"/>
            </w:tcBorders>
            <w:shd w:val="clear" w:color="000000" w:fill="C6EFCE"/>
            <w:vAlign w:val="center"/>
          </w:tcPr>
          <w:p w14:paraId="08D30B4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363DD7D"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приоритетен (и) проект (и) за инсталиране на метеорологични станции с цел подобряване на точността на метеорологичните прогнози</w:t>
            </w:r>
          </w:p>
        </w:tc>
      </w:tr>
      <w:tr w:rsidR="00CE3BAD" w:rsidRPr="00782BF9" w14:paraId="6DE96BD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665724E" w14:textId="77777777" w:rsidR="00CE3BAD" w:rsidRPr="00782BF9" w:rsidRDefault="006B5475">
            <w:pPr>
              <w:pStyle w:val="P68B1DB1-Normal29"/>
              <w:spacing w:after="0" w:line="240" w:lineRule="auto"/>
              <w:rPr>
                <w:noProof/>
                <w:lang w:val="bg-BG"/>
              </w:rPr>
            </w:pPr>
            <w:r w:rsidRPr="00782BF9">
              <w:rPr>
                <w:noProof/>
                <w:lang w:val="bg-BG"/>
              </w:rPr>
              <w:t>315</w:t>
            </w:r>
          </w:p>
        </w:tc>
        <w:tc>
          <w:tcPr>
            <w:tcW w:w="3120" w:type="dxa"/>
            <w:tcBorders>
              <w:top w:val="nil"/>
              <w:left w:val="nil"/>
              <w:bottom w:val="single" w:sz="4" w:space="0" w:color="auto"/>
              <w:right w:val="single" w:sz="4" w:space="0" w:color="auto"/>
            </w:tcBorders>
            <w:shd w:val="clear" w:color="000000" w:fill="C6EFCE"/>
            <w:vAlign w:val="center"/>
          </w:tcPr>
          <w:p w14:paraId="7CDECC16"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C10.I1d разширена мярка: Разпространение на интелигентни измервателни уреди (заеми)</w:t>
            </w:r>
          </w:p>
        </w:tc>
        <w:tc>
          <w:tcPr>
            <w:tcW w:w="1164" w:type="dxa"/>
            <w:tcBorders>
              <w:top w:val="nil"/>
              <w:left w:val="nil"/>
              <w:bottom w:val="single" w:sz="4" w:space="0" w:color="auto"/>
              <w:right w:val="single" w:sz="4" w:space="0" w:color="auto"/>
            </w:tcBorders>
            <w:shd w:val="clear" w:color="000000" w:fill="C6EFCE"/>
            <w:vAlign w:val="center"/>
          </w:tcPr>
          <w:p w14:paraId="0A48593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49331C7"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предложения за приоритетни проекти, насочени към ОРС, за закупуване и инсталиране на интелигентни измервателни уреди</w:t>
            </w:r>
          </w:p>
        </w:tc>
      </w:tr>
      <w:tr w:rsidR="00CE3BAD" w:rsidRPr="00782BF9" w14:paraId="7F2A1F3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EDC15EA" w14:textId="77777777" w:rsidR="00CE3BAD" w:rsidRPr="00782BF9" w:rsidRDefault="006B5475">
            <w:pPr>
              <w:pStyle w:val="P68B1DB1-Normal29"/>
              <w:spacing w:after="0" w:line="240" w:lineRule="auto"/>
              <w:rPr>
                <w:noProof/>
                <w:lang w:val="bg-BG"/>
              </w:rPr>
            </w:pPr>
            <w:r w:rsidRPr="00782BF9">
              <w:rPr>
                <w:noProof/>
                <w:lang w:val="bg-BG"/>
              </w:rPr>
              <w:t>319</w:t>
            </w:r>
          </w:p>
        </w:tc>
        <w:tc>
          <w:tcPr>
            <w:tcW w:w="3120" w:type="dxa"/>
            <w:tcBorders>
              <w:top w:val="nil"/>
              <w:left w:val="nil"/>
              <w:bottom w:val="single" w:sz="4" w:space="0" w:color="auto"/>
              <w:right w:val="single" w:sz="4" w:space="0" w:color="auto"/>
            </w:tcBorders>
            <w:shd w:val="clear" w:color="000000" w:fill="C6EFCE"/>
            <w:vAlign w:val="center"/>
          </w:tcPr>
          <w:p w14:paraId="4C418BFF" w14:textId="77777777" w:rsidR="00CE3BAD" w:rsidRPr="00782BF9" w:rsidRDefault="006B5475">
            <w:pPr>
              <w:pStyle w:val="P68B1DB1-Normal29"/>
              <w:spacing w:after="0" w:line="240" w:lineRule="auto"/>
              <w:rPr>
                <w:noProof/>
                <w:lang w:val="bg-BG"/>
              </w:rPr>
            </w:pPr>
            <w:r w:rsidRPr="00782BF9">
              <w:rPr>
                <w:noProof/>
                <w:lang w:val="bg-BG"/>
              </w:rPr>
              <w:t>К10.И2: Екологизиране на промишлените, научните и технологичните и логистичните паркове за енергийни цели</w:t>
            </w:r>
          </w:p>
        </w:tc>
        <w:tc>
          <w:tcPr>
            <w:tcW w:w="1164" w:type="dxa"/>
            <w:tcBorders>
              <w:top w:val="nil"/>
              <w:left w:val="nil"/>
              <w:bottom w:val="single" w:sz="4" w:space="0" w:color="auto"/>
              <w:right w:val="single" w:sz="4" w:space="0" w:color="auto"/>
            </w:tcBorders>
            <w:shd w:val="clear" w:color="000000" w:fill="C6EFCE"/>
            <w:vAlign w:val="center"/>
          </w:tcPr>
          <w:p w14:paraId="09A4954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9FE630A"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предложения за екологизиране на промишлените, научните и технологичните и логистичните паркове</w:t>
            </w:r>
          </w:p>
        </w:tc>
      </w:tr>
      <w:tr w:rsidR="00CE3BAD" w:rsidRPr="00782BF9" w14:paraId="4AB9EBB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DFD7899" w14:textId="77777777" w:rsidR="00CE3BAD" w:rsidRPr="00782BF9" w:rsidRDefault="006B5475">
            <w:pPr>
              <w:pStyle w:val="P68B1DB1-Normal29"/>
              <w:spacing w:after="0" w:line="240" w:lineRule="auto"/>
              <w:rPr>
                <w:noProof/>
                <w:lang w:val="bg-BG"/>
              </w:rPr>
            </w:pPr>
            <w:r w:rsidRPr="00782BF9">
              <w:rPr>
                <w:noProof/>
                <w:lang w:val="bg-BG"/>
              </w:rPr>
              <w:t>324</w:t>
            </w:r>
          </w:p>
        </w:tc>
        <w:tc>
          <w:tcPr>
            <w:tcW w:w="3120" w:type="dxa"/>
            <w:tcBorders>
              <w:top w:val="nil"/>
              <w:left w:val="nil"/>
              <w:bottom w:val="single" w:sz="4" w:space="0" w:color="auto"/>
              <w:right w:val="single" w:sz="4" w:space="0" w:color="auto"/>
            </w:tcBorders>
            <w:shd w:val="clear" w:color="000000" w:fill="C6EFCE"/>
            <w:vAlign w:val="center"/>
          </w:tcPr>
          <w:p w14:paraId="50084EC9" w14:textId="77777777" w:rsidR="00CE3BAD" w:rsidRPr="00782BF9" w:rsidRDefault="006B5475">
            <w:pPr>
              <w:pStyle w:val="P68B1DB1-Normal29"/>
              <w:spacing w:after="0" w:line="240" w:lineRule="auto"/>
              <w:rPr>
                <w:noProof/>
                <w:lang w:val="bg-BG"/>
              </w:rPr>
            </w:pPr>
            <w:r w:rsidRPr="00782BF9">
              <w:rPr>
                <w:noProof/>
                <w:lang w:val="bg-BG"/>
              </w:rPr>
              <w:t>К10.И3: Изграждане на производствен капацитет на зелената икономика</w:t>
            </w:r>
          </w:p>
        </w:tc>
        <w:tc>
          <w:tcPr>
            <w:tcW w:w="1164" w:type="dxa"/>
            <w:tcBorders>
              <w:top w:val="nil"/>
              <w:left w:val="nil"/>
              <w:bottom w:val="single" w:sz="4" w:space="0" w:color="auto"/>
              <w:right w:val="single" w:sz="4" w:space="0" w:color="auto"/>
            </w:tcBorders>
            <w:shd w:val="clear" w:color="000000" w:fill="C6EFCE"/>
            <w:vAlign w:val="center"/>
          </w:tcPr>
          <w:p w14:paraId="69C3609D"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75E60F3" w14:textId="77777777" w:rsidR="00CE3BAD" w:rsidRPr="00782BF9" w:rsidRDefault="006B5475">
            <w:pPr>
              <w:pStyle w:val="P68B1DB1-Normal29"/>
              <w:spacing w:after="0" w:line="240" w:lineRule="auto"/>
              <w:rPr>
                <w:noProof/>
                <w:lang w:val="bg-BG"/>
              </w:rPr>
            </w:pPr>
            <w:r w:rsidRPr="00782BF9">
              <w:rPr>
                <w:noProof/>
                <w:lang w:val="bg-BG"/>
              </w:rPr>
              <w:t>Обявяване на поканата за представяне на предложения за производствен капацитет на зелената икономика</w:t>
            </w:r>
          </w:p>
        </w:tc>
      </w:tr>
      <w:tr w:rsidR="00CE3BAD" w:rsidRPr="00782BF9" w14:paraId="73CEA03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993E5F4" w14:textId="77777777" w:rsidR="00CE3BAD" w:rsidRPr="00782BF9" w:rsidRDefault="006B5475">
            <w:pPr>
              <w:pStyle w:val="P68B1DB1-Normal29"/>
              <w:spacing w:after="0" w:line="240" w:lineRule="auto"/>
              <w:rPr>
                <w:noProof/>
                <w:lang w:val="bg-BG"/>
              </w:rPr>
            </w:pPr>
            <w:r w:rsidRPr="00782BF9">
              <w:rPr>
                <w:noProof/>
                <w:lang w:val="bg-BG"/>
              </w:rPr>
              <w:t>327</w:t>
            </w:r>
          </w:p>
        </w:tc>
        <w:tc>
          <w:tcPr>
            <w:tcW w:w="3120" w:type="dxa"/>
            <w:tcBorders>
              <w:top w:val="nil"/>
              <w:left w:val="nil"/>
              <w:bottom w:val="single" w:sz="4" w:space="0" w:color="auto"/>
              <w:right w:val="single" w:sz="4" w:space="0" w:color="auto"/>
            </w:tcBorders>
            <w:shd w:val="clear" w:color="000000" w:fill="C6EFCE"/>
            <w:vAlign w:val="center"/>
          </w:tcPr>
          <w:p w14:paraId="19E996C3" w14:textId="77777777" w:rsidR="00CE3BAD" w:rsidRPr="00782BF9" w:rsidRDefault="006B5475">
            <w:pPr>
              <w:pStyle w:val="P68B1DB1-Normal29"/>
              <w:spacing w:after="0" w:line="240" w:lineRule="auto"/>
              <w:rPr>
                <w:noProof/>
                <w:lang w:val="bg-BG"/>
              </w:rPr>
            </w:pPr>
            <w:r w:rsidRPr="00782BF9">
              <w:rPr>
                <w:noProof/>
                <w:lang w:val="bg-BG"/>
              </w:rPr>
              <w:t>К10.И4: Прилагане на екологосъобразни технологии за декарбонизация на промишлеността</w:t>
            </w:r>
          </w:p>
        </w:tc>
        <w:tc>
          <w:tcPr>
            <w:tcW w:w="1164" w:type="dxa"/>
            <w:tcBorders>
              <w:top w:val="nil"/>
              <w:left w:val="nil"/>
              <w:bottom w:val="single" w:sz="4" w:space="0" w:color="auto"/>
              <w:right w:val="single" w:sz="4" w:space="0" w:color="auto"/>
            </w:tcBorders>
            <w:shd w:val="clear" w:color="000000" w:fill="C6EFCE"/>
            <w:vAlign w:val="center"/>
          </w:tcPr>
          <w:p w14:paraId="3149778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A7A6056"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предложения за декарбонизация на промишлени проекти</w:t>
            </w:r>
          </w:p>
        </w:tc>
      </w:tr>
      <w:tr w:rsidR="00CE3BAD" w:rsidRPr="00782BF9" w14:paraId="490BD5E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8E5BADE" w14:textId="77777777" w:rsidR="00CE3BAD" w:rsidRPr="00782BF9" w:rsidRDefault="006B5475">
            <w:pPr>
              <w:pStyle w:val="P68B1DB1-Normal29"/>
              <w:spacing w:after="0" w:line="240" w:lineRule="auto"/>
              <w:rPr>
                <w:noProof/>
                <w:lang w:val="bg-BG"/>
              </w:rPr>
            </w:pPr>
            <w:r w:rsidRPr="00782BF9">
              <w:rPr>
                <w:noProof/>
                <w:lang w:val="bg-BG"/>
              </w:rPr>
              <w:t>328</w:t>
            </w:r>
          </w:p>
        </w:tc>
        <w:tc>
          <w:tcPr>
            <w:tcW w:w="3120" w:type="dxa"/>
            <w:tcBorders>
              <w:top w:val="nil"/>
              <w:left w:val="nil"/>
              <w:bottom w:val="single" w:sz="4" w:space="0" w:color="auto"/>
              <w:right w:val="single" w:sz="4" w:space="0" w:color="auto"/>
            </w:tcBorders>
            <w:shd w:val="clear" w:color="000000" w:fill="C6EFCE"/>
            <w:vAlign w:val="center"/>
          </w:tcPr>
          <w:p w14:paraId="003EC2C6" w14:textId="77777777" w:rsidR="00CE3BAD" w:rsidRPr="00782BF9" w:rsidRDefault="006B5475">
            <w:pPr>
              <w:pStyle w:val="P68B1DB1-Normal29"/>
              <w:spacing w:after="0" w:line="240" w:lineRule="auto"/>
              <w:rPr>
                <w:noProof/>
                <w:lang w:val="bg-BG"/>
              </w:rPr>
            </w:pPr>
            <w:r w:rsidRPr="00782BF9">
              <w:rPr>
                <w:noProof/>
                <w:lang w:val="bg-BG"/>
              </w:rPr>
              <w:t>К10.И4: Прилагане на екологосъобразни технологии за декарбонизация на промишлеността</w:t>
            </w:r>
          </w:p>
        </w:tc>
        <w:tc>
          <w:tcPr>
            <w:tcW w:w="1164" w:type="dxa"/>
            <w:tcBorders>
              <w:top w:val="nil"/>
              <w:left w:val="nil"/>
              <w:bottom w:val="single" w:sz="4" w:space="0" w:color="auto"/>
              <w:right w:val="single" w:sz="4" w:space="0" w:color="auto"/>
            </w:tcBorders>
            <w:shd w:val="clear" w:color="000000" w:fill="C6EFCE"/>
            <w:vAlign w:val="center"/>
          </w:tcPr>
          <w:p w14:paraId="02C2DD8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8B95558" w14:textId="77777777" w:rsidR="00CE3BAD" w:rsidRPr="00782BF9" w:rsidRDefault="006B5475">
            <w:pPr>
              <w:pStyle w:val="P68B1DB1-Normal29"/>
              <w:spacing w:after="0" w:line="240" w:lineRule="auto"/>
              <w:rPr>
                <w:noProof/>
                <w:lang w:val="bg-BG"/>
              </w:rPr>
            </w:pPr>
            <w:r w:rsidRPr="00782BF9">
              <w:rPr>
                <w:noProof/>
                <w:lang w:val="bg-BG"/>
              </w:rPr>
              <w:t xml:space="preserve">Влизане в сила на споразуменията за отпускане на безвъзмездни средства </w:t>
            </w:r>
          </w:p>
        </w:tc>
      </w:tr>
      <w:tr w:rsidR="00CE3BAD" w:rsidRPr="00782BF9" w14:paraId="04A183F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61969F9" w14:textId="77777777" w:rsidR="00CE3BAD" w:rsidRPr="00782BF9" w:rsidRDefault="006B5475">
            <w:pPr>
              <w:pStyle w:val="P68B1DB1-Normal29"/>
              <w:spacing w:after="0" w:line="240" w:lineRule="auto"/>
              <w:rPr>
                <w:noProof/>
                <w:lang w:val="bg-BG"/>
              </w:rPr>
            </w:pPr>
            <w:r w:rsidRPr="00782BF9">
              <w:rPr>
                <w:noProof/>
                <w:lang w:val="bg-BG"/>
              </w:rPr>
              <w:t>330</w:t>
            </w:r>
          </w:p>
        </w:tc>
        <w:tc>
          <w:tcPr>
            <w:tcW w:w="3120" w:type="dxa"/>
            <w:tcBorders>
              <w:top w:val="nil"/>
              <w:left w:val="nil"/>
              <w:bottom w:val="single" w:sz="4" w:space="0" w:color="auto"/>
              <w:right w:val="single" w:sz="4" w:space="0" w:color="auto"/>
            </w:tcBorders>
            <w:shd w:val="clear" w:color="000000" w:fill="C6EFCE"/>
            <w:vAlign w:val="center"/>
          </w:tcPr>
          <w:p w14:paraId="78036B64" w14:textId="77777777" w:rsidR="00CE3BAD" w:rsidRPr="00782BF9" w:rsidRDefault="006B5475">
            <w:pPr>
              <w:pStyle w:val="P68B1DB1-Normal29"/>
              <w:spacing w:after="0" w:line="240" w:lineRule="auto"/>
              <w:rPr>
                <w:noProof/>
                <w:lang w:val="bg-BG"/>
              </w:rPr>
            </w:pPr>
            <w:r w:rsidRPr="00782BF9">
              <w:rPr>
                <w:noProof/>
                <w:lang w:val="bg-BG"/>
              </w:rPr>
              <w:t>К10.И5: Енергийна цифровизация на енергийните дружества   </w:t>
            </w:r>
          </w:p>
        </w:tc>
        <w:tc>
          <w:tcPr>
            <w:tcW w:w="1164" w:type="dxa"/>
            <w:tcBorders>
              <w:top w:val="nil"/>
              <w:left w:val="nil"/>
              <w:bottom w:val="single" w:sz="4" w:space="0" w:color="auto"/>
              <w:right w:val="single" w:sz="4" w:space="0" w:color="auto"/>
            </w:tcBorders>
            <w:shd w:val="clear" w:color="000000" w:fill="C6EFCE"/>
            <w:vAlign w:val="center"/>
          </w:tcPr>
          <w:p w14:paraId="363BD7C9"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0D2089F" w14:textId="77777777" w:rsidR="00CE3BAD" w:rsidRPr="00782BF9" w:rsidRDefault="006B5475">
            <w:pPr>
              <w:pStyle w:val="P68B1DB1-Normal29"/>
              <w:spacing w:after="0" w:line="240" w:lineRule="auto"/>
              <w:rPr>
                <w:noProof/>
                <w:lang w:val="bg-BG"/>
              </w:rPr>
            </w:pPr>
            <w:r w:rsidRPr="00782BF9">
              <w:rPr>
                <w:noProof/>
                <w:lang w:val="bg-BG"/>
              </w:rPr>
              <w:t>Приемане на всеобхватен план за цифровизация в областта на енергетиката</w:t>
            </w:r>
          </w:p>
        </w:tc>
      </w:tr>
      <w:tr w:rsidR="00CE3BAD" w:rsidRPr="00782BF9" w14:paraId="239D219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3518502" w14:textId="77777777" w:rsidR="00CE3BAD" w:rsidRPr="00782BF9" w:rsidRDefault="006B5475">
            <w:pPr>
              <w:pStyle w:val="P68B1DB1-Normal29"/>
              <w:spacing w:after="0" w:line="240" w:lineRule="auto"/>
              <w:rPr>
                <w:noProof/>
                <w:lang w:val="bg-BG"/>
              </w:rPr>
            </w:pPr>
            <w:r w:rsidRPr="00782BF9">
              <w:rPr>
                <w:noProof/>
                <w:lang w:val="bg-BG"/>
              </w:rPr>
              <w:t>331</w:t>
            </w:r>
          </w:p>
        </w:tc>
        <w:tc>
          <w:tcPr>
            <w:tcW w:w="3120" w:type="dxa"/>
            <w:tcBorders>
              <w:top w:val="nil"/>
              <w:left w:val="nil"/>
              <w:bottom w:val="single" w:sz="4" w:space="0" w:color="auto"/>
              <w:right w:val="single" w:sz="4" w:space="0" w:color="auto"/>
            </w:tcBorders>
            <w:shd w:val="clear" w:color="000000" w:fill="C6EFCE"/>
            <w:vAlign w:val="center"/>
          </w:tcPr>
          <w:p w14:paraId="2968807C" w14:textId="77777777" w:rsidR="00CE3BAD" w:rsidRPr="00782BF9" w:rsidRDefault="006B5475">
            <w:pPr>
              <w:pStyle w:val="P68B1DB1-Normal29"/>
              <w:spacing w:after="0" w:line="240" w:lineRule="auto"/>
              <w:rPr>
                <w:noProof/>
                <w:lang w:val="bg-BG"/>
              </w:rPr>
            </w:pPr>
            <w:r w:rsidRPr="00782BF9">
              <w:rPr>
                <w:noProof/>
                <w:lang w:val="bg-BG"/>
              </w:rPr>
              <w:t>К10.И5: Цифровизация на енергийните дружества</w:t>
            </w:r>
          </w:p>
        </w:tc>
        <w:tc>
          <w:tcPr>
            <w:tcW w:w="1164" w:type="dxa"/>
            <w:tcBorders>
              <w:top w:val="nil"/>
              <w:left w:val="nil"/>
              <w:bottom w:val="single" w:sz="4" w:space="0" w:color="auto"/>
              <w:right w:val="single" w:sz="4" w:space="0" w:color="auto"/>
            </w:tcBorders>
            <w:shd w:val="clear" w:color="000000" w:fill="C6EFCE"/>
            <w:vAlign w:val="center"/>
          </w:tcPr>
          <w:p w14:paraId="2915D7F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60AB3B6"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предложения за развитие на цифровите технологии в енергийните дружества</w:t>
            </w:r>
          </w:p>
        </w:tc>
      </w:tr>
      <w:tr w:rsidR="00CE3BAD" w:rsidRPr="00782BF9" w14:paraId="113820A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E1D5FFC" w14:textId="77777777" w:rsidR="00CE3BAD" w:rsidRPr="00782BF9" w:rsidRDefault="006B5475">
            <w:pPr>
              <w:pStyle w:val="P68B1DB1-Normal29"/>
              <w:spacing w:after="0" w:line="240" w:lineRule="auto"/>
              <w:rPr>
                <w:noProof/>
                <w:lang w:val="bg-BG"/>
              </w:rPr>
            </w:pPr>
            <w:r w:rsidRPr="00782BF9">
              <w:rPr>
                <w:noProof/>
                <w:lang w:val="bg-BG"/>
              </w:rPr>
              <w:t>332</w:t>
            </w:r>
          </w:p>
        </w:tc>
        <w:tc>
          <w:tcPr>
            <w:tcW w:w="3120" w:type="dxa"/>
            <w:tcBorders>
              <w:top w:val="nil"/>
              <w:left w:val="nil"/>
              <w:bottom w:val="single" w:sz="4" w:space="0" w:color="auto"/>
              <w:right w:val="single" w:sz="4" w:space="0" w:color="auto"/>
            </w:tcBorders>
            <w:shd w:val="clear" w:color="000000" w:fill="C6EFCE"/>
            <w:vAlign w:val="center"/>
          </w:tcPr>
          <w:p w14:paraId="27F83C1C" w14:textId="77777777" w:rsidR="00CE3BAD" w:rsidRPr="00782BF9" w:rsidRDefault="006B5475">
            <w:pPr>
              <w:pStyle w:val="P68B1DB1-Normal29"/>
              <w:spacing w:after="0" w:line="240" w:lineRule="auto"/>
              <w:rPr>
                <w:noProof/>
                <w:lang w:val="bg-BG"/>
              </w:rPr>
            </w:pPr>
            <w:r w:rsidRPr="00782BF9">
              <w:rPr>
                <w:noProof/>
                <w:lang w:val="bg-BG"/>
              </w:rPr>
              <w:t>К10.И5: Цифровизация на енергийните дружества</w:t>
            </w:r>
          </w:p>
        </w:tc>
        <w:tc>
          <w:tcPr>
            <w:tcW w:w="1164" w:type="dxa"/>
            <w:tcBorders>
              <w:top w:val="nil"/>
              <w:left w:val="nil"/>
              <w:bottom w:val="single" w:sz="4" w:space="0" w:color="auto"/>
              <w:right w:val="single" w:sz="4" w:space="0" w:color="auto"/>
            </w:tcBorders>
            <w:shd w:val="clear" w:color="000000" w:fill="C6EFCE"/>
            <w:vAlign w:val="center"/>
          </w:tcPr>
          <w:p w14:paraId="7926D7C8" w14:textId="77777777" w:rsidR="00CE3BAD" w:rsidRPr="00782BF9" w:rsidRDefault="006B5475">
            <w:pPr>
              <w:pStyle w:val="P68B1DB1-Normal29"/>
              <w:spacing w:after="0" w:line="240" w:lineRule="auto"/>
              <w:rPr>
                <w:noProof/>
                <w:lang w:val="bg-BG"/>
              </w:rPr>
            </w:pPr>
            <w:r w:rsidRPr="00782BF9">
              <w:rPr>
                <w:noProof/>
                <w:lang w:val="bg-BG"/>
              </w:rPr>
              <w:t xml:space="preserve">Ключов етап </w:t>
            </w:r>
          </w:p>
        </w:tc>
        <w:tc>
          <w:tcPr>
            <w:tcW w:w="3781" w:type="dxa"/>
            <w:tcBorders>
              <w:top w:val="nil"/>
              <w:left w:val="nil"/>
              <w:bottom w:val="single" w:sz="4" w:space="0" w:color="auto"/>
              <w:right w:val="single" w:sz="4" w:space="0" w:color="auto"/>
            </w:tcBorders>
            <w:shd w:val="clear" w:color="000000" w:fill="C6EFCE"/>
            <w:vAlign w:val="center"/>
          </w:tcPr>
          <w:p w14:paraId="62311D26" w14:textId="77777777" w:rsidR="00CE3BAD" w:rsidRPr="00782BF9" w:rsidRDefault="006B5475">
            <w:pPr>
              <w:pStyle w:val="P68B1DB1-Normal29"/>
              <w:spacing w:after="0" w:line="240" w:lineRule="auto"/>
              <w:rPr>
                <w:noProof/>
                <w:lang w:val="bg-BG"/>
              </w:rPr>
            </w:pPr>
            <w:r w:rsidRPr="00782BF9">
              <w:rPr>
                <w:noProof/>
                <w:lang w:val="bg-BG"/>
              </w:rPr>
              <w:t>Влизане в сила на всички споразумения за отпускане на безвъзмездни средства за подпомагане на развитието на цифровите технологии в енергийните предприятия</w:t>
            </w:r>
          </w:p>
        </w:tc>
      </w:tr>
      <w:tr w:rsidR="00CE3BAD" w:rsidRPr="00782BF9" w14:paraId="2A800EC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148BAEC" w14:textId="77777777" w:rsidR="00CE3BAD" w:rsidRPr="00782BF9" w:rsidRDefault="006B5475">
            <w:pPr>
              <w:pStyle w:val="P68B1DB1-Normal29"/>
              <w:spacing w:after="0" w:line="240" w:lineRule="auto"/>
              <w:rPr>
                <w:noProof/>
                <w:lang w:val="bg-BG"/>
              </w:rPr>
            </w:pPr>
            <w:r w:rsidRPr="00782BF9">
              <w:rPr>
                <w:noProof/>
                <w:lang w:val="bg-BG"/>
              </w:rPr>
              <w:t>338</w:t>
            </w:r>
          </w:p>
        </w:tc>
        <w:tc>
          <w:tcPr>
            <w:tcW w:w="3120" w:type="dxa"/>
            <w:tcBorders>
              <w:top w:val="nil"/>
              <w:left w:val="nil"/>
              <w:bottom w:val="single" w:sz="4" w:space="0" w:color="auto"/>
              <w:right w:val="single" w:sz="4" w:space="0" w:color="auto"/>
            </w:tcBorders>
            <w:shd w:val="clear" w:color="000000" w:fill="C6EFCE"/>
            <w:vAlign w:val="center"/>
          </w:tcPr>
          <w:p w14:paraId="4E37C1EE" w14:textId="77777777" w:rsidR="00CE3BAD" w:rsidRPr="00782BF9" w:rsidRDefault="006B5475">
            <w:pPr>
              <w:pStyle w:val="P68B1DB1-Normal29"/>
              <w:spacing w:after="0" w:line="240" w:lineRule="auto"/>
              <w:rPr>
                <w:noProof/>
                <w:lang w:val="bg-BG"/>
              </w:rPr>
            </w:pPr>
            <w:r w:rsidRPr="00782BF9">
              <w:rPr>
                <w:noProof/>
                <w:lang w:val="bg-BG"/>
              </w:rPr>
              <w:t>К10.И7: Укрепване на човешките ресурси в зелената икономика</w:t>
            </w:r>
          </w:p>
        </w:tc>
        <w:tc>
          <w:tcPr>
            <w:tcW w:w="1164" w:type="dxa"/>
            <w:tcBorders>
              <w:top w:val="nil"/>
              <w:left w:val="nil"/>
              <w:bottom w:val="single" w:sz="4" w:space="0" w:color="auto"/>
              <w:right w:val="single" w:sz="4" w:space="0" w:color="auto"/>
            </w:tcBorders>
            <w:shd w:val="clear" w:color="000000" w:fill="C6EFCE"/>
            <w:vAlign w:val="center"/>
          </w:tcPr>
          <w:p w14:paraId="4C17AB4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3122772" w14:textId="77777777" w:rsidR="00CE3BAD" w:rsidRPr="00782BF9" w:rsidRDefault="006B5475">
            <w:pPr>
              <w:pStyle w:val="P68B1DB1-Normal29"/>
              <w:spacing w:after="0" w:line="240" w:lineRule="auto"/>
              <w:rPr>
                <w:noProof/>
                <w:lang w:val="bg-BG"/>
              </w:rPr>
            </w:pPr>
            <w:r w:rsidRPr="00782BF9">
              <w:rPr>
                <w:noProof/>
                <w:lang w:val="bg-BG"/>
              </w:rPr>
              <w:t>Анализ на търсенето и предлагането на пазара на труда за „зелени“ умения</w:t>
            </w:r>
          </w:p>
        </w:tc>
      </w:tr>
      <w:tr w:rsidR="00CE3BAD" w:rsidRPr="00782BF9" w14:paraId="5D4C02A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DC43513" w14:textId="77777777" w:rsidR="00CE3BAD" w:rsidRPr="00782BF9" w:rsidRDefault="006B5475">
            <w:pPr>
              <w:pStyle w:val="P68B1DB1-Normal29"/>
              <w:spacing w:after="0" w:line="240" w:lineRule="auto"/>
              <w:rPr>
                <w:noProof/>
                <w:lang w:val="bg-BG"/>
              </w:rPr>
            </w:pPr>
            <w:r w:rsidRPr="00782BF9">
              <w:rPr>
                <w:noProof/>
                <w:lang w:val="bg-BG"/>
              </w:rPr>
              <w:t>341</w:t>
            </w:r>
          </w:p>
        </w:tc>
        <w:tc>
          <w:tcPr>
            <w:tcW w:w="3120" w:type="dxa"/>
            <w:tcBorders>
              <w:top w:val="nil"/>
              <w:left w:val="nil"/>
              <w:bottom w:val="single" w:sz="4" w:space="0" w:color="auto"/>
              <w:right w:val="single" w:sz="4" w:space="0" w:color="auto"/>
            </w:tcBorders>
            <w:shd w:val="clear" w:color="000000" w:fill="C6EFCE"/>
            <w:vAlign w:val="center"/>
          </w:tcPr>
          <w:p w14:paraId="3B34DDA3" w14:textId="77777777" w:rsidR="00CE3BAD" w:rsidRPr="00782BF9" w:rsidRDefault="006B5475">
            <w:pPr>
              <w:pStyle w:val="P68B1DB1-Normal29"/>
              <w:spacing w:after="0" w:line="240" w:lineRule="auto"/>
              <w:rPr>
                <w:noProof/>
                <w:lang w:val="bg-BG"/>
              </w:rPr>
            </w:pPr>
            <w:r w:rsidRPr="00782BF9">
              <w:rPr>
                <w:noProof/>
                <w:lang w:val="bg-BG"/>
              </w:rPr>
              <w:t>К10.И8: Инвестиции в енергийна ефективност в обществени сгради</w:t>
            </w:r>
          </w:p>
        </w:tc>
        <w:tc>
          <w:tcPr>
            <w:tcW w:w="1164" w:type="dxa"/>
            <w:tcBorders>
              <w:top w:val="nil"/>
              <w:left w:val="nil"/>
              <w:bottom w:val="single" w:sz="4" w:space="0" w:color="auto"/>
              <w:right w:val="single" w:sz="4" w:space="0" w:color="auto"/>
            </w:tcBorders>
            <w:shd w:val="clear" w:color="000000" w:fill="C6EFCE"/>
            <w:vAlign w:val="center"/>
          </w:tcPr>
          <w:p w14:paraId="762797D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7F92D4E" w14:textId="77777777" w:rsidR="00CE3BAD" w:rsidRPr="00782BF9" w:rsidRDefault="006B5475">
            <w:pPr>
              <w:pStyle w:val="P68B1DB1-Normal29"/>
              <w:spacing w:after="0" w:line="240" w:lineRule="auto"/>
              <w:rPr>
                <w:noProof/>
                <w:lang w:val="bg-BG"/>
              </w:rPr>
            </w:pPr>
            <w:r w:rsidRPr="00782BF9">
              <w:rPr>
                <w:noProof/>
                <w:lang w:val="bg-BG"/>
              </w:rPr>
              <w:t>Отправяне на покана за представяне на предложения за проекти за инвестиции в енергийна ефективност в обществени сгради</w:t>
            </w:r>
          </w:p>
        </w:tc>
      </w:tr>
      <w:tr w:rsidR="00CE3BAD" w:rsidRPr="00782BF9" w14:paraId="14CE165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80E50B4" w14:textId="77777777" w:rsidR="00CE3BAD" w:rsidRPr="00782BF9" w:rsidRDefault="006B5475">
            <w:pPr>
              <w:pStyle w:val="P68B1DB1-Normal29"/>
              <w:spacing w:after="0" w:line="240" w:lineRule="auto"/>
              <w:rPr>
                <w:noProof/>
                <w:lang w:val="bg-BG"/>
              </w:rPr>
            </w:pPr>
            <w:r w:rsidRPr="00782BF9">
              <w:rPr>
                <w:noProof/>
                <w:lang w:val="bg-BG"/>
              </w:rPr>
              <w:t>342</w:t>
            </w:r>
          </w:p>
        </w:tc>
        <w:tc>
          <w:tcPr>
            <w:tcW w:w="3120" w:type="dxa"/>
            <w:tcBorders>
              <w:top w:val="nil"/>
              <w:left w:val="nil"/>
              <w:bottom w:val="single" w:sz="4" w:space="0" w:color="auto"/>
              <w:right w:val="single" w:sz="4" w:space="0" w:color="auto"/>
            </w:tcBorders>
            <w:shd w:val="clear" w:color="000000" w:fill="C6EFCE"/>
            <w:vAlign w:val="center"/>
          </w:tcPr>
          <w:p w14:paraId="683ADE48" w14:textId="77777777" w:rsidR="00CE3BAD" w:rsidRPr="00782BF9" w:rsidRDefault="006B5475">
            <w:pPr>
              <w:pStyle w:val="P68B1DB1-Normal29"/>
              <w:spacing w:after="0" w:line="240" w:lineRule="auto"/>
              <w:rPr>
                <w:noProof/>
                <w:lang w:val="bg-BG"/>
              </w:rPr>
            </w:pPr>
            <w:r w:rsidRPr="00782BF9">
              <w:rPr>
                <w:noProof/>
                <w:lang w:val="bg-BG"/>
              </w:rPr>
              <w:t>К10.И8: Инвестиции в енергийна ефективност в обществени сгради</w:t>
            </w:r>
          </w:p>
        </w:tc>
        <w:tc>
          <w:tcPr>
            <w:tcW w:w="1164" w:type="dxa"/>
            <w:tcBorders>
              <w:top w:val="nil"/>
              <w:left w:val="nil"/>
              <w:bottom w:val="single" w:sz="4" w:space="0" w:color="auto"/>
              <w:right w:val="single" w:sz="4" w:space="0" w:color="auto"/>
            </w:tcBorders>
            <w:shd w:val="clear" w:color="000000" w:fill="C6EFCE"/>
            <w:vAlign w:val="center"/>
          </w:tcPr>
          <w:p w14:paraId="356E68A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7B1386A" w14:textId="77777777" w:rsidR="00CE3BAD" w:rsidRPr="00782BF9" w:rsidRDefault="006B5475">
            <w:pPr>
              <w:pStyle w:val="P68B1DB1-Normal29"/>
              <w:spacing w:after="0" w:line="240" w:lineRule="auto"/>
              <w:rPr>
                <w:noProof/>
                <w:lang w:val="bg-BG"/>
              </w:rPr>
            </w:pPr>
            <w:r w:rsidRPr="00782BF9">
              <w:rPr>
                <w:noProof/>
                <w:lang w:val="bg-BG"/>
              </w:rPr>
              <w:t>Влизане в сила на всички споразумения за отпускане на безвъзмездна финансова помощ за проекти, свързани с инвестиции в енергийна ефективност в обществени сгради</w:t>
            </w:r>
          </w:p>
        </w:tc>
      </w:tr>
      <w:tr w:rsidR="00CE3BAD" w:rsidRPr="00782BF9" w14:paraId="075D35E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13D0883" w14:textId="77777777" w:rsidR="00CE3BAD" w:rsidRPr="00782BF9" w:rsidRDefault="006B5475">
            <w:pPr>
              <w:pStyle w:val="P68B1DB1-Normal29"/>
              <w:spacing w:after="0" w:line="240" w:lineRule="auto"/>
              <w:rPr>
                <w:noProof/>
                <w:lang w:val="bg-BG"/>
              </w:rPr>
            </w:pPr>
            <w:r w:rsidRPr="00782BF9">
              <w:rPr>
                <w:noProof/>
                <w:lang w:val="bg-BG"/>
              </w:rPr>
              <w:t>350</w:t>
            </w:r>
          </w:p>
        </w:tc>
        <w:tc>
          <w:tcPr>
            <w:tcW w:w="3120" w:type="dxa"/>
            <w:tcBorders>
              <w:top w:val="nil"/>
              <w:left w:val="nil"/>
              <w:bottom w:val="single" w:sz="4" w:space="0" w:color="auto"/>
              <w:right w:val="single" w:sz="4" w:space="0" w:color="auto"/>
            </w:tcBorders>
            <w:shd w:val="clear" w:color="000000" w:fill="C6EFCE"/>
            <w:vAlign w:val="center"/>
          </w:tcPr>
          <w:p w14:paraId="5D7C66CD" w14:textId="77777777" w:rsidR="00CE3BAD" w:rsidRPr="00782BF9" w:rsidRDefault="006B5475">
            <w:pPr>
              <w:pStyle w:val="P68B1DB1-Normal29"/>
              <w:spacing w:after="0" w:line="240" w:lineRule="auto"/>
              <w:rPr>
                <w:noProof/>
                <w:lang w:val="bg-BG"/>
              </w:rPr>
            </w:pPr>
            <w:r w:rsidRPr="00782BF9">
              <w:rPr>
                <w:noProof/>
                <w:lang w:val="bg-BG"/>
              </w:rPr>
              <w:t>К10.И12: Създаване на финансов инструмент за подобряване на енергийната ефективност на дружествата</w:t>
            </w:r>
          </w:p>
        </w:tc>
        <w:tc>
          <w:tcPr>
            <w:tcW w:w="1164" w:type="dxa"/>
            <w:tcBorders>
              <w:top w:val="nil"/>
              <w:left w:val="nil"/>
              <w:bottom w:val="single" w:sz="4" w:space="0" w:color="auto"/>
              <w:right w:val="single" w:sz="4" w:space="0" w:color="auto"/>
            </w:tcBorders>
            <w:shd w:val="clear" w:color="000000" w:fill="C6EFCE"/>
            <w:vAlign w:val="center"/>
          </w:tcPr>
          <w:p w14:paraId="08809ED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49597152" w14:textId="77777777" w:rsidR="00CE3BAD" w:rsidRPr="00782BF9" w:rsidRDefault="006B5475">
            <w:pPr>
              <w:pStyle w:val="P68B1DB1-Normal29"/>
              <w:spacing w:after="0" w:line="240" w:lineRule="auto"/>
              <w:rPr>
                <w:noProof/>
                <w:lang w:val="bg-BG"/>
              </w:rPr>
            </w:pPr>
            <w:r w:rsidRPr="00782BF9">
              <w:rPr>
                <w:noProof/>
                <w:lang w:val="bg-BG"/>
              </w:rPr>
              <w:t>Споразумение за изпълнение</w:t>
            </w:r>
          </w:p>
        </w:tc>
      </w:tr>
      <w:tr w:rsidR="00CE3BAD" w:rsidRPr="00782BF9" w14:paraId="58C2413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DE8991C" w14:textId="77777777" w:rsidR="00CE3BAD" w:rsidRPr="00782BF9" w:rsidRDefault="006B5475">
            <w:pPr>
              <w:pStyle w:val="P68B1DB1-Normal29"/>
              <w:spacing w:after="0" w:line="240" w:lineRule="auto"/>
              <w:rPr>
                <w:noProof/>
                <w:lang w:val="bg-BG"/>
              </w:rPr>
            </w:pPr>
            <w:r w:rsidRPr="00782BF9">
              <w:rPr>
                <w:noProof/>
                <w:lang w:val="bg-BG"/>
              </w:rPr>
              <w:t>353</w:t>
            </w:r>
          </w:p>
        </w:tc>
        <w:tc>
          <w:tcPr>
            <w:tcW w:w="3120" w:type="dxa"/>
            <w:tcBorders>
              <w:top w:val="nil"/>
              <w:left w:val="nil"/>
              <w:bottom w:val="single" w:sz="4" w:space="0" w:color="auto"/>
              <w:right w:val="single" w:sz="4" w:space="0" w:color="auto"/>
            </w:tcBorders>
            <w:shd w:val="clear" w:color="000000" w:fill="C6EFCE"/>
            <w:vAlign w:val="center"/>
          </w:tcPr>
          <w:p w14:paraId="7F468CA0" w14:textId="77777777" w:rsidR="00CE3BAD" w:rsidRPr="00782BF9" w:rsidRDefault="006B5475">
            <w:pPr>
              <w:pStyle w:val="P68B1DB1-Normal29"/>
              <w:spacing w:after="0" w:line="240" w:lineRule="auto"/>
              <w:rPr>
                <w:noProof/>
                <w:lang w:val="bg-BG"/>
              </w:rPr>
            </w:pPr>
            <w:r w:rsidRPr="00782BF9">
              <w:rPr>
                <w:noProof/>
                <w:lang w:val="bg-BG"/>
              </w:rPr>
              <w:t>К10.И13: Създаване на финансов инструмент за подобряване на енергийната ефективност на жилищните сгради и справяне с енергийната бедност</w:t>
            </w:r>
          </w:p>
        </w:tc>
        <w:tc>
          <w:tcPr>
            <w:tcW w:w="1164" w:type="dxa"/>
            <w:tcBorders>
              <w:top w:val="nil"/>
              <w:left w:val="nil"/>
              <w:bottom w:val="single" w:sz="4" w:space="0" w:color="auto"/>
              <w:right w:val="single" w:sz="4" w:space="0" w:color="auto"/>
            </w:tcBorders>
            <w:shd w:val="clear" w:color="000000" w:fill="C6EFCE"/>
            <w:vAlign w:val="center"/>
          </w:tcPr>
          <w:p w14:paraId="508DE4F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E94AD1E" w14:textId="77777777" w:rsidR="00CE3BAD" w:rsidRPr="00782BF9" w:rsidRDefault="006B5475">
            <w:pPr>
              <w:pStyle w:val="P68B1DB1-Normal29"/>
              <w:spacing w:after="0" w:line="240" w:lineRule="auto"/>
              <w:rPr>
                <w:noProof/>
                <w:lang w:val="bg-BG"/>
              </w:rPr>
            </w:pPr>
            <w:r w:rsidRPr="00782BF9">
              <w:rPr>
                <w:noProof/>
                <w:lang w:val="bg-BG"/>
              </w:rPr>
              <w:t>Споразумение за изпълнение</w:t>
            </w:r>
          </w:p>
        </w:tc>
      </w:tr>
      <w:tr w:rsidR="00CE3BAD" w:rsidRPr="00782BF9" w14:paraId="0912955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F4DF6B6" w14:textId="77777777" w:rsidR="00CE3BAD" w:rsidRPr="00782BF9" w:rsidRDefault="006B5475">
            <w:pPr>
              <w:pStyle w:val="P68B1DB1-Normal29"/>
              <w:spacing w:after="0" w:line="240" w:lineRule="auto"/>
              <w:rPr>
                <w:noProof/>
                <w:lang w:val="bg-BG"/>
              </w:rPr>
            </w:pPr>
            <w:r w:rsidRPr="00782BF9">
              <w:rPr>
                <w:noProof/>
                <w:lang w:val="bg-BG"/>
              </w:rPr>
              <w:t>356</w:t>
            </w:r>
          </w:p>
        </w:tc>
        <w:tc>
          <w:tcPr>
            <w:tcW w:w="3120" w:type="dxa"/>
            <w:tcBorders>
              <w:top w:val="nil"/>
              <w:left w:val="nil"/>
              <w:bottom w:val="single" w:sz="4" w:space="0" w:color="auto"/>
              <w:right w:val="single" w:sz="4" w:space="0" w:color="auto"/>
            </w:tcBorders>
            <w:shd w:val="clear" w:color="000000" w:fill="C6EFCE"/>
            <w:vAlign w:val="center"/>
          </w:tcPr>
          <w:p w14:paraId="5CFE8260" w14:textId="77777777" w:rsidR="00CE3BAD" w:rsidRPr="00782BF9" w:rsidRDefault="006B5475">
            <w:pPr>
              <w:pStyle w:val="P68B1DB1-Normal29"/>
              <w:spacing w:after="0" w:line="240" w:lineRule="auto"/>
              <w:rPr>
                <w:noProof/>
                <w:lang w:val="bg-BG"/>
              </w:rPr>
            </w:pPr>
            <w:r w:rsidRPr="00782BF9">
              <w:rPr>
                <w:noProof/>
                <w:lang w:val="bg-BG"/>
              </w:rPr>
              <w:t>К10.И14: Създаване на финансов инструмент за увеличаване на разгръщането на зарядни станции за електрически превозни средства (ЕПС)</w:t>
            </w:r>
          </w:p>
        </w:tc>
        <w:tc>
          <w:tcPr>
            <w:tcW w:w="1164" w:type="dxa"/>
            <w:tcBorders>
              <w:top w:val="nil"/>
              <w:left w:val="nil"/>
              <w:bottom w:val="single" w:sz="4" w:space="0" w:color="auto"/>
              <w:right w:val="single" w:sz="4" w:space="0" w:color="auto"/>
            </w:tcBorders>
            <w:shd w:val="clear" w:color="000000" w:fill="C6EFCE"/>
            <w:vAlign w:val="center"/>
          </w:tcPr>
          <w:p w14:paraId="2ADC8A0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9A8BAC9" w14:textId="77777777" w:rsidR="00CE3BAD" w:rsidRPr="00782BF9" w:rsidRDefault="006B5475">
            <w:pPr>
              <w:pStyle w:val="P68B1DB1-Normal29"/>
              <w:spacing w:after="0" w:line="240" w:lineRule="auto"/>
              <w:rPr>
                <w:noProof/>
                <w:lang w:val="bg-BG"/>
              </w:rPr>
            </w:pPr>
            <w:r w:rsidRPr="00782BF9">
              <w:rPr>
                <w:noProof/>
                <w:lang w:val="bg-BG"/>
              </w:rPr>
              <w:t>Споразумение за изпълнение</w:t>
            </w:r>
          </w:p>
        </w:tc>
      </w:tr>
      <w:tr w:rsidR="00CE3BAD" w:rsidRPr="00782BF9" w14:paraId="36F4A99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8F8597D" w14:textId="77777777" w:rsidR="00CE3BAD" w:rsidRPr="00782BF9" w:rsidRDefault="006B5475">
            <w:pPr>
              <w:pStyle w:val="P68B1DB1-Normal29"/>
              <w:spacing w:after="0" w:line="240" w:lineRule="auto"/>
              <w:rPr>
                <w:noProof/>
                <w:lang w:val="bg-BG"/>
              </w:rPr>
            </w:pPr>
            <w:r w:rsidRPr="00782BF9">
              <w:rPr>
                <w:noProof/>
                <w:lang w:val="bg-BG"/>
              </w:rPr>
              <w:t>359</w:t>
            </w:r>
          </w:p>
        </w:tc>
        <w:tc>
          <w:tcPr>
            <w:tcW w:w="3120" w:type="dxa"/>
            <w:tcBorders>
              <w:top w:val="nil"/>
              <w:left w:val="nil"/>
              <w:bottom w:val="single" w:sz="4" w:space="0" w:color="auto"/>
              <w:right w:val="single" w:sz="4" w:space="0" w:color="auto"/>
            </w:tcBorders>
            <w:shd w:val="clear" w:color="000000" w:fill="C6EFCE"/>
            <w:vAlign w:val="center"/>
          </w:tcPr>
          <w:p w14:paraId="5A8DE84D" w14:textId="77777777" w:rsidR="00CE3BAD" w:rsidRPr="00782BF9" w:rsidRDefault="006B5475">
            <w:pPr>
              <w:pStyle w:val="P68B1DB1-Normal29"/>
              <w:spacing w:after="0" w:line="240" w:lineRule="auto"/>
              <w:rPr>
                <w:noProof/>
                <w:lang w:val="bg-BG"/>
              </w:rPr>
            </w:pPr>
            <w:r w:rsidRPr="00782BF9">
              <w:rPr>
                <w:noProof/>
                <w:lang w:val="bg-BG"/>
              </w:rPr>
              <w:t>К10.И15: Създаване на финансов инструмент за подпомагане на закупуването на задвижвани с акумулаторни батерии електрически превозни средства от доставчиците на автомобилни паркове</w:t>
            </w:r>
          </w:p>
        </w:tc>
        <w:tc>
          <w:tcPr>
            <w:tcW w:w="1164" w:type="dxa"/>
            <w:tcBorders>
              <w:top w:val="nil"/>
              <w:left w:val="nil"/>
              <w:bottom w:val="single" w:sz="4" w:space="0" w:color="auto"/>
              <w:right w:val="single" w:sz="4" w:space="0" w:color="auto"/>
            </w:tcBorders>
            <w:shd w:val="clear" w:color="000000" w:fill="C6EFCE"/>
            <w:vAlign w:val="center"/>
          </w:tcPr>
          <w:p w14:paraId="1115AE4A"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7CBF7F8" w14:textId="77777777" w:rsidR="00CE3BAD" w:rsidRPr="00782BF9" w:rsidRDefault="006B5475">
            <w:pPr>
              <w:pStyle w:val="P68B1DB1-Normal29"/>
              <w:spacing w:after="0" w:line="240" w:lineRule="auto"/>
              <w:rPr>
                <w:noProof/>
                <w:lang w:val="bg-BG"/>
              </w:rPr>
            </w:pPr>
            <w:r w:rsidRPr="00782BF9">
              <w:rPr>
                <w:noProof/>
                <w:lang w:val="bg-BG"/>
              </w:rPr>
              <w:t>Споразумение за изпълнение</w:t>
            </w:r>
          </w:p>
        </w:tc>
      </w:tr>
      <w:tr w:rsidR="00CE3BAD" w:rsidRPr="00782BF9" w14:paraId="55C1BFE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31A6D5A" w14:textId="77777777" w:rsidR="00CE3BAD" w:rsidRPr="00782BF9" w:rsidRDefault="006B5475">
            <w:pPr>
              <w:pStyle w:val="P68B1DB1-Normal29"/>
              <w:spacing w:after="0" w:line="240" w:lineRule="auto"/>
              <w:rPr>
                <w:noProof/>
                <w:lang w:val="bg-BG"/>
              </w:rPr>
            </w:pPr>
            <w:r w:rsidRPr="00782BF9">
              <w:rPr>
                <w:noProof/>
                <w:lang w:val="bg-BG"/>
              </w:rPr>
              <w:t>362</w:t>
            </w:r>
          </w:p>
        </w:tc>
        <w:tc>
          <w:tcPr>
            <w:tcW w:w="3120" w:type="dxa"/>
            <w:tcBorders>
              <w:top w:val="nil"/>
              <w:left w:val="nil"/>
              <w:bottom w:val="single" w:sz="4" w:space="0" w:color="auto"/>
              <w:right w:val="single" w:sz="4" w:space="0" w:color="auto"/>
            </w:tcBorders>
            <w:shd w:val="clear" w:color="000000" w:fill="C6EFCE"/>
            <w:vAlign w:val="center"/>
          </w:tcPr>
          <w:p w14:paraId="07E206B1" w14:textId="77777777" w:rsidR="00CE3BAD" w:rsidRPr="00782BF9" w:rsidRDefault="006B5475">
            <w:pPr>
              <w:pStyle w:val="P68B1DB1-Normal29"/>
              <w:spacing w:after="0" w:line="240" w:lineRule="auto"/>
              <w:rPr>
                <w:noProof/>
                <w:lang w:val="bg-BG"/>
              </w:rPr>
            </w:pPr>
            <w:r w:rsidRPr="00782BF9">
              <w:rPr>
                <w:noProof/>
                <w:lang w:val="bg-BG"/>
              </w:rPr>
              <w:t>К10.И16: Създаване на финансов инструмент за подпомагане на проучванията и експлоатацията на геотермална енергия</w:t>
            </w:r>
          </w:p>
        </w:tc>
        <w:tc>
          <w:tcPr>
            <w:tcW w:w="1164" w:type="dxa"/>
            <w:tcBorders>
              <w:top w:val="nil"/>
              <w:left w:val="nil"/>
              <w:bottom w:val="single" w:sz="4" w:space="0" w:color="auto"/>
              <w:right w:val="single" w:sz="4" w:space="0" w:color="auto"/>
            </w:tcBorders>
            <w:shd w:val="clear" w:color="000000" w:fill="C6EFCE"/>
            <w:vAlign w:val="center"/>
          </w:tcPr>
          <w:p w14:paraId="0527647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34694A7" w14:textId="77777777" w:rsidR="00CE3BAD" w:rsidRPr="00782BF9" w:rsidRDefault="006B5475">
            <w:pPr>
              <w:pStyle w:val="P68B1DB1-Normal29"/>
              <w:spacing w:after="0" w:line="240" w:lineRule="auto"/>
              <w:rPr>
                <w:noProof/>
                <w:lang w:val="bg-BG"/>
              </w:rPr>
            </w:pPr>
            <w:r w:rsidRPr="00782BF9">
              <w:rPr>
                <w:noProof/>
                <w:lang w:val="bg-BG"/>
              </w:rPr>
              <w:t>Споразумение за изпълнение</w:t>
            </w:r>
          </w:p>
        </w:tc>
      </w:tr>
      <w:tr w:rsidR="00CE3BAD" w:rsidRPr="00782BF9" w14:paraId="31BBAC5A" w14:textId="77777777">
        <w:tblPrEx>
          <w:tblCellMar>
            <w:top w:w="0" w:type="dxa"/>
          </w:tblCellMar>
        </w:tblPrEx>
        <w:trPr>
          <w:trHeight w:val="460"/>
        </w:trPr>
        <w:tc>
          <w:tcPr>
            <w:tcW w:w="5522" w:type="dxa"/>
            <w:gridSpan w:val="3"/>
            <w:tcBorders>
              <w:top w:val="nil"/>
              <w:left w:val="single" w:sz="4" w:space="0" w:color="auto"/>
              <w:bottom w:val="single" w:sz="4" w:space="0" w:color="auto"/>
              <w:right w:val="single" w:sz="4" w:space="0" w:color="auto"/>
            </w:tcBorders>
            <w:shd w:val="clear" w:color="000000" w:fill="C6EFCE"/>
            <w:vAlign w:val="center"/>
          </w:tcPr>
          <w:p w14:paraId="04ECF192"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nil"/>
              <w:left w:val="nil"/>
              <w:bottom w:val="single" w:sz="4" w:space="0" w:color="auto"/>
              <w:right w:val="single" w:sz="4" w:space="0" w:color="auto"/>
            </w:tcBorders>
            <w:shd w:val="clear" w:color="000000" w:fill="C6EFCE"/>
            <w:vAlign w:val="center"/>
          </w:tcPr>
          <w:p w14:paraId="10FC14EE" w14:textId="77777777" w:rsidR="00CE3BAD" w:rsidRPr="00782BF9" w:rsidRDefault="006B5475">
            <w:pPr>
              <w:pStyle w:val="P68B1DB1-Normal29"/>
              <w:spacing w:after="0" w:line="240" w:lineRule="auto"/>
              <w:jc w:val="center"/>
              <w:rPr>
                <w:noProof/>
                <w:lang w:val="bg-BG"/>
              </w:rPr>
            </w:pPr>
            <w:r w:rsidRPr="00782BF9">
              <w:rPr>
                <w:noProof/>
                <w:lang w:val="bg-BG"/>
              </w:rPr>
              <w:t>1 097 130 000 EUR</w:t>
            </w:r>
          </w:p>
        </w:tc>
      </w:tr>
    </w:tbl>
    <w:p w14:paraId="07CFD3E3" w14:textId="4D94ABC6" w:rsidR="00CE3BAD" w:rsidRPr="00782BF9" w:rsidRDefault="00CE3BAD">
      <w:pPr>
        <w:spacing w:after="160" w:line="259" w:lineRule="auto"/>
        <w:rPr>
          <w:noProof/>
          <w:lang w:val="bg-BG"/>
        </w:rPr>
      </w:pPr>
    </w:p>
    <w:p w14:paraId="4B00611D" w14:textId="77777777" w:rsidR="00CE3BAD" w:rsidRPr="00782BF9" w:rsidRDefault="006B5475">
      <w:pPr>
        <w:pStyle w:val="ListParagraph"/>
        <w:numPr>
          <w:ilvl w:val="1"/>
          <w:numId w:val="52"/>
        </w:numPr>
        <w:spacing w:after="160" w:line="259" w:lineRule="auto"/>
        <w:ind w:left="1440"/>
        <w:rPr>
          <w:noProof/>
          <w:lang w:val="bg-BG"/>
        </w:rPr>
      </w:pPr>
      <w:r w:rsidRPr="00782BF9">
        <w:rPr>
          <w:noProof/>
          <w:lang w:val="bg-BG"/>
        </w:rPr>
        <w:t xml:space="preserve"> Втори транш (подкрепа под формата на заем)</w:t>
      </w: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7ED06A67" w14:textId="77777777">
        <w:trPr>
          <w:trHeight w:val="728"/>
          <w:tblHeader/>
        </w:trPr>
        <w:tc>
          <w:tcPr>
            <w:tcW w:w="1238"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689A7178"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080003EE"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03A37431"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30AD2E27"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176AB44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C8EE243" w14:textId="77777777" w:rsidR="00CE3BAD" w:rsidRPr="00782BF9" w:rsidRDefault="006B5475">
            <w:pPr>
              <w:pStyle w:val="P68B1DB1-Normal29"/>
              <w:spacing w:after="0" w:line="240" w:lineRule="auto"/>
              <w:rPr>
                <w:noProof/>
                <w:lang w:val="bg-BG"/>
              </w:rPr>
            </w:pPr>
            <w:r w:rsidRPr="00782BF9">
              <w:rPr>
                <w:noProof/>
                <w:lang w:val="bg-BG"/>
              </w:rPr>
              <w:t>295</w:t>
            </w:r>
          </w:p>
        </w:tc>
        <w:tc>
          <w:tcPr>
            <w:tcW w:w="3120" w:type="dxa"/>
            <w:tcBorders>
              <w:top w:val="nil"/>
              <w:left w:val="nil"/>
              <w:bottom w:val="single" w:sz="4" w:space="0" w:color="auto"/>
              <w:right w:val="single" w:sz="4" w:space="0" w:color="auto"/>
            </w:tcBorders>
            <w:shd w:val="clear" w:color="000000" w:fill="C6EFCE"/>
            <w:vAlign w:val="center"/>
          </w:tcPr>
          <w:p w14:paraId="308AED19" w14:textId="77777777" w:rsidR="00CE3BAD" w:rsidRPr="00782BF9" w:rsidRDefault="006B5475">
            <w:pPr>
              <w:pStyle w:val="P68B1DB1-Normal29"/>
              <w:spacing w:after="0" w:line="240" w:lineRule="auto"/>
              <w:rPr>
                <w:noProof/>
                <w:lang w:val="bg-BG"/>
              </w:rPr>
            </w:pPr>
            <w:r w:rsidRPr="00782BF9">
              <w:rPr>
                <w:noProof/>
                <w:lang w:val="bg-BG"/>
              </w:rPr>
              <w:t>C10.R8: Правни стимули за използване на съхранението на енергия</w:t>
            </w:r>
          </w:p>
        </w:tc>
        <w:tc>
          <w:tcPr>
            <w:tcW w:w="1164" w:type="dxa"/>
            <w:tcBorders>
              <w:top w:val="nil"/>
              <w:left w:val="nil"/>
              <w:bottom w:val="single" w:sz="4" w:space="0" w:color="auto"/>
              <w:right w:val="single" w:sz="4" w:space="0" w:color="auto"/>
            </w:tcBorders>
            <w:shd w:val="clear" w:color="000000" w:fill="C6EFCE"/>
            <w:vAlign w:val="center"/>
          </w:tcPr>
          <w:p w14:paraId="5CB699D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439C5EB"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 за създаване на регулаторна рамка относно съхранението на енергия</w:t>
            </w:r>
          </w:p>
        </w:tc>
      </w:tr>
      <w:tr w:rsidR="00CE3BAD" w:rsidRPr="00782BF9" w14:paraId="55B9996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392841E" w14:textId="77777777" w:rsidR="00CE3BAD" w:rsidRPr="00782BF9" w:rsidRDefault="006B5475">
            <w:pPr>
              <w:pStyle w:val="P68B1DB1-Normal29"/>
              <w:spacing w:after="0" w:line="240" w:lineRule="auto"/>
              <w:rPr>
                <w:noProof/>
                <w:lang w:val="bg-BG"/>
              </w:rPr>
            </w:pPr>
            <w:r w:rsidRPr="00782BF9">
              <w:rPr>
                <w:noProof/>
                <w:lang w:val="bg-BG"/>
              </w:rPr>
              <w:t>296</w:t>
            </w:r>
          </w:p>
        </w:tc>
        <w:tc>
          <w:tcPr>
            <w:tcW w:w="3120" w:type="dxa"/>
            <w:tcBorders>
              <w:top w:val="nil"/>
              <w:left w:val="nil"/>
              <w:bottom w:val="single" w:sz="4" w:space="0" w:color="auto"/>
              <w:right w:val="single" w:sz="4" w:space="0" w:color="auto"/>
            </w:tcBorders>
            <w:shd w:val="clear" w:color="000000" w:fill="C6EFCE"/>
            <w:vAlign w:val="center"/>
          </w:tcPr>
          <w:p w14:paraId="56E376EC" w14:textId="77777777" w:rsidR="00CE3BAD" w:rsidRPr="00782BF9" w:rsidRDefault="006B5475">
            <w:pPr>
              <w:pStyle w:val="P68B1DB1-Normal29"/>
              <w:spacing w:after="0" w:line="240" w:lineRule="auto"/>
              <w:rPr>
                <w:noProof/>
                <w:lang w:val="bg-BG"/>
              </w:rPr>
            </w:pPr>
            <w:r w:rsidRPr="00782BF9">
              <w:rPr>
                <w:noProof/>
                <w:lang w:val="bg-BG"/>
              </w:rPr>
              <w:t>C10.R8: Правни стимули за използване на съхранението на енергия</w:t>
            </w:r>
          </w:p>
        </w:tc>
        <w:tc>
          <w:tcPr>
            <w:tcW w:w="1164" w:type="dxa"/>
            <w:tcBorders>
              <w:top w:val="nil"/>
              <w:left w:val="nil"/>
              <w:bottom w:val="single" w:sz="4" w:space="0" w:color="auto"/>
              <w:right w:val="single" w:sz="4" w:space="0" w:color="auto"/>
            </w:tcBorders>
            <w:shd w:val="clear" w:color="000000" w:fill="C6EFCE"/>
            <w:vAlign w:val="center"/>
          </w:tcPr>
          <w:p w14:paraId="6F5617AB"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4D6F674" w14:textId="77777777" w:rsidR="00CE3BAD" w:rsidRPr="00782BF9" w:rsidRDefault="006B5475">
            <w:pPr>
              <w:pStyle w:val="P68B1DB1-Normal29"/>
              <w:spacing w:after="0" w:line="240" w:lineRule="auto"/>
              <w:rPr>
                <w:noProof/>
                <w:lang w:val="bg-BG"/>
              </w:rPr>
            </w:pPr>
            <w:r w:rsidRPr="00782BF9">
              <w:rPr>
                <w:noProof/>
                <w:lang w:val="bg-BG"/>
              </w:rPr>
              <w:t>Приемане на Националния план за съхранение на енергия и гъвкавост по отношение на неизкопаемите горива</w:t>
            </w:r>
          </w:p>
        </w:tc>
      </w:tr>
      <w:tr w:rsidR="00CE3BAD" w:rsidRPr="00782BF9" w14:paraId="27ABD62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C3E04E4" w14:textId="77777777" w:rsidR="00CE3BAD" w:rsidRPr="00782BF9" w:rsidRDefault="006B5475">
            <w:pPr>
              <w:pStyle w:val="P68B1DB1-Normal29"/>
              <w:spacing w:after="0" w:line="240" w:lineRule="auto"/>
              <w:rPr>
                <w:noProof/>
                <w:lang w:val="bg-BG"/>
              </w:rPr>
            </w:pPr>
            <w:r w:rsidRPr="00782BF9">
              <w:rPr>
                <w:noProof/>
                <w:lang w:val="bg-BG"/>
              </w:rPr>
              <w:t>298</w:t>
            </w:r>
          </w:p>
        </w:tc>
        <w:tc>
          <w:tcPr>
            <w:tcW w:w="3120" w:type="dxa"/>
            <w:tcBorders>
              <w:top w:val="nil"/>
              <w:left w:val="nil"/>
              <w:bottom w:val="single" w:sz="4" w:space="0" w:color="auto"/>
              <w:right w:val="single" w:sz="4" w:space="0" w:color="auto"/>
            </w:tcBorders>
            <w:shd w:val="clear" w:color="000000" w:fill="C6EFCE"/>
            <w:vAlign w:val="center"/>
          </w:tcPr>
          <w:p w14:paraId="024E72D4" w14:textId="77777777" w:rsidR="00CE3BAD" w:rsidRPr="00782BF9" w:rsidRDefault="006B5475">
            <w:pPr>
              <w:pStyle w:val="P68B1DB1-Normal29"/>
              <w:spacing w:after="0" w:line="240" w:lineRule="auto"/>
              <w:rPr>
                <w:noProof/>
                <w:lang w:val="bg-BG"/>
              </w:rPr>
            </w:pPr>
            <w:r w:rsidRPr="00782BF9">
              <w:rPr>
                <w:noProof/>
                <w:lang w:val="bg-BG"/>
              </w:rPr>
              <w:t>C10.R9: Осигуряване на правна рамка за водорода от възобновяеми източници</w:t>
            </w:r>
          </w:p>
        </w:tc>
        <w:tc>
          <w:tcPr>
            <w:tcW w:w="1164" w:type="dxa"/>
            <w:tcBorders>
              <w:top w:val="nil"/>
              <w:left w:val="nil"/>
              <w:bottom w:val="single" w:sz="4" w:space="0" w:color="auto"/>
              <w:right w:val="single" w:sz="4" w:space="0" w:color="auto"/>
            </w:tcBorders>
            <w:shd w:val="clear" w:color="000000" w:fill="C6EFCE"/>
            <w:vAlign w:val="center"/>
          </w:tcPr>
          <w:p w14:paraId="1697D3E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9A846AA"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законодателния пакет относно водорода от възобновяеми източници и публикуване на придружаващ незаконодателен пакет</w:t>
            </w:r>
          </w:p>
        </w:tc>
      </w:tr>
      <w:tr w:rsidR="00CE3BAD" w:rsidRPr="00782BF9" w14:paraId="25FC280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64278D3" w14:textId="77777777" w:rsidR="00CE3BAD" w:rsidRPr="00782BF9" w:rsidRDefault="006B5475">
            <w:pPr>
              <w:pStyle w:val="P68B1DB1-Normal29"/>
              <w:spacing w:after="0" w:line="240" w:lineRule="auto"/>
              <w:rPr>
                <w:noProof/>
                <w:lang w:val="bg-BG"/>
              </w:rPr>
            </w:pPr>
            <w:r w:rsidRPr="00782BF9">
              <w:rPr>
                <w:noProof/>
                <w:lang w:val="bg-BG"/>
              </w:rPr>
              <w:t>300</w:t>
            </w:r>
          </w:p>
        </w:tc>
        <w:tc>
          <w:tcPr>
            <w:tcW w:w="3120" w:type="dxa"/>
            <w:tcBorders>
              <w:top w:val="nil"/>
              <w:left w:val="nil"/>
              <w:bottom w:val="single" w:sz="4" w:space="0" w:color="auto"/>
              <w:right w:val="single" w:sz="4" w:space="0" w:color="auto"/>
            </w:tcBorders>
            <w:shd w:val="clear" w:color="000000" w:fill="C6EFCE"/>
            <w:vAlign w:val="center"/>
          </w:tcPr>
          <w:p w14:paraId="3F21D90B" w14:textId="77777777" w:rsidR="00CE3BAD" w:rsidRPr="00782BF9" w:rsidRDefault="006B5475">
            <w:pPr>
              <w:pStyle w:val="P68B1DB1-Normal29"/>
              <w:spacing w:after="0" w:line="240" w:lineRule="auto"/>
              <w:rPr>
                <w:noProof/>
                <w:lang w:val="bg-BG"/>
              </w:rPr>
            </w:pPr>
            <w:r w:rsidRPr="00782BF9">
              <w:rPr>
                <w:noProof/>
                <w:lang w:val="bg-BG"/>
              </w:rPr>
              <w:t xml:space="preserve">C10.R11: Подобряване на регулаторната рамка за геотермална енергия  </w:t>
            </w:r>
          </w:p>
        </w:tc>
        <w:tc>
          <w:tcPr>
            <w:tcW w:w="1164" w:type="dxa"/>
            <w:tcBorders>
              <w:top w:val="nil"/>
              <w:left w:val="nil"/>
              <w:bottom w:val="single" w:sz="4" w:space="0" w:color="auto"/>
              <w:right w:val="single" w:sz="4" w:space="0" w:color="auto"/>
            </w:tcBorders>
            <w:shd w:val="clear" w:color="000000" w:fill="C6EFCE"/>
            <w:vAlign w:val="center"/>
          </w:tcPr>
          <w:p w14:paraId="1090632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E386EB7" w14:textId="77777777" w:rsidR="00CE3BAD" w:rsidRPr="00782BF9" w:rsidRDefault="006B5475">
            <w:pPr>
              <w:pStyle w:val="P68B1DB1-Normal29"/>
              <w:spacing w:after="0" w:line="240" w:lineRule="auto"/>
              <w:rPr>
                <w:noProof/>
                <w:lang w:val="bg-BG"/>
              </w:rPr>
            </w:pPr>
            <w:r w:rsidRPr="00782BF9">
              <w:rPr>
                <w:noProof/>
                <w:lang w:val="bg-BG"/>
              </w:rPr>
              <w:t>Влизане в сила на законодателство за подобряване на регулаторната рамка за проучване и използване на геотермална енергия</w:t>
            </w:r>
          </w:p>
        </w:tc>
      </w:tr>
      <w:tr w:rsidR="00CE3BAD" w:rsidRPr="00782BF9" w14:paraId="71A7314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597EA82" w14:textId="77777777" w:rsidR="00CE3BAD" w:rsidRPr="00782BF9" w:rsidRDefault="006B5475">
            <w:pPr>
              <w:pStyle w:val="P68B1DB1-Normal29"/>
              <w:spacing w:after="0" w:line="240" w:lineRule="auto"/>
              <w:rPr>
                <w:noProof/>
                <w:lang w:val="bg-BG"/>
              </w:rPr>
            </w:pPr>
            <w:r w:rsidRPr="00782BF9">
              <w:rPr>
                <w:noProof/>
                <w:lang w:val="bg-BG"/>
              </w:rPr>
              <w:t>302</w:t>
            </w:r>
          </w:p>
        </w:tc>
        <w:tc>
          <w:tcPr>
            <w:tcW w:w="3120" w:type="dxa"/>
            <w:tcBorders>
              <w:top w:val="nil"/>
              <w:left w:val="nil"/>
              <w:bottom w:val="single" w:sz="4" w:space="0" w:color="auto"/>
              <w:right w:val="single" w:sz="4" w:space="0" w:color="auto"/>
            </w:tcBorders>
            <w:shd w:val="clear" w:color="000000" w:fill="C6EFCE"/>
            <w:vAlign w:val="center"/>
          </w:tcPr>
          <w:p w14:paraId="400C5AE3" w14:textId="77777777" w:rsidR="00CE3BAD" w:rsidRPr="00782BF9" w:rsidRDefault="006B5475">
            <w:pPr>
              <w:pStyle w:val="P68B1DB1-Normal29"/>
              <w:spacing w:after="0" w:line="240" w:lineRule="auto"/>
              <w:rPr>
                <w:noProof/>
                <w:lang w:val="bg-BG"/>
              </w:rPr>
            </w:pPr>
            <w:r w:rsidRPr="00782BF9">
              <w:rPr>
                <w:noProof/>
                <w:lang w:val="bg-BG"/>
              </w:rPr>
              <w:t>C10.R13: Национална стратегия за развитие на „зелени“ умения</w:t>
            </w:r>
          </w:p>
        </w:tc>
        <w:tc>
          <w:tcPr>
            <w:tcW w:w="1164" w:type="dxa"/>
            <w:tcBorders>
              <w:top w:val="nil"/>
              <w:left w:val="nil"/>
              <w:bottom w:val="single" w:sz="4" w:space="0" w:color="auto"/>
              <w:right w:val="single" w:sz="4" w:space="0" w:color="auto"/>
            </w:tcBorders>
            <w:shd w:val="clear" w:color="000000" w:fill="C6EFCE"/>
            <w:vAlign w:val="center"/>
          </w:tcPr>
          <w:p w14:paraId="3507924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E828EA4" w14:textId="77777777" w:rsidR="00CE3BAD" w:rsidRPr="00782BF9" w:rsidRDefault="006B5475">
            <w:pPr>
              <w:pStyle w:val="P68B1DB1-Normal29"/>
              <w:spacing w:after="0" w:line="240" w:lineRule="auto"/>
              <w:rPr>
                <w:noProof/>
                <w:lang w:val="bg-BG"/>
              </w:rPr>
            </w:pPr>
            <w:r w:rsidRPr="00782BF9">
              <w:rPr>
                <w:noProof/>
                <w:lang w:val="bg-BG"/>
              </w:rPr>
              <w:t>Решение на правителството относно националната стратегия за уменията за екологичния преход и плана за действие за нейното изпълнение</w:t>
            </w:r>
          </w:p>
        </w:tc>
      </w:tr>
      <w:tr w:rsidR="00CE3BAD" w:rsidRPr="00782BF9" w14:paraId="579BCD6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61A2279" w14:textId="77777777" w:rsidR="00CE3BAD" w:rsidRPr="00782BF9" w:rsidRDefault="006B5475">
            <w:pPr>
              <w:pStyle w:val="P68B1DB1-Normal29"/>
              <w:spacing w:after="0" w:line="240" w:lineRule="auto"/>
              <w:rPr>
                <w:noProof/>
                <w:lang w:val="bg-BG"/>
              </w:rPr>
            </w:pPr>
            <w:r w:rsidRPr="00782BF9">
              <w:rPr>
                <w:noProof/>
                <w:lang w:val="bg-BG"/>
              </w:rPr>
              <w:t>305</w:t>
            </w:r>
          </w:p>
        </w:tc>
        <w:tc>
          <w:tcPr>
            <w:tcW w:w="3120" w:type="dxa"/>
            <w:tcBorders>
              <w:top w:val="nil"/>
              <w:left w:val="nil"/>
              <w:bottom w:val="single" w:sz="4" w:space="0" w:color="auto"/>
              <w:right w:val="single" w:sz="4" w:space="0" w:color="auto"/>
            </w:tcBorders>
            <w:shd w:val="clear" w:color="000000" w:fill="C6EFCE"/>
            <w:vAlign w:val="center"/>
          </w:tcPr>
          <w:p w14:paraId="23A93FEB"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 xml:space="preserve"> В.10.I1a: Развитие на цифровите технологии на равнището на системния оператор (заеми)</w:t>
            </w:r>
          </w:p>
        </w:tc>
        <w:tc>
          <w:tcPr>
            <w:tcW w:w="1164" w:type="dxa"/>
            <w:tcBorders>
              <w:top w:val="nil"/>
              <w:left w:val="nil"/>
              <w:bottom w:val="single" w:sz="4" w:space="0" w:color="auto"/>
              <w:right w:val="single" w:sz="4" w:space="0" w:color="auto"/>
            </w:tcBorders>
            <w:shd w:val="clear" w:color="000000" w:fill="C6EFCE"/>
            <w:vAlign w:val="center"/>
          </w:tcPr>
          <w:p w14:paraId="2F05EA8C"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103BDFA" w14:textId="77777777" w:rsidR="00CE3BAD" w:rsidRPr="00782BF9" w:rsidRDefault="006B5475">
            <w:pPr>
              <w:pStyle w:val="P68B1DB1-Normal29"/>
              <w:spacing w:after="0" w:line="240" w:lineRule="auto"/>
              <w:rPr>
                <w:noProof/>
                <w:lang w:val="bg-BG"/>
              </w:rPr>
            </w:pPr>
            <w:r w:rsidRPr="00782BF9">
              <w:rPr>
                <w:noProof/>
                <w:lang w:val="bg-BG"/>
              </w:rPr>
              <w:t>Влизане в сила на всички споразумения за отпускане на безвъзмездни средства за развитие на цифровите технологии, свързани с мрежовата инфраструктура и експлоатацията на електроенергийната мрежа на равнището на системния оператор</w:t>
            </w:r>
          </w:p>
        </w:tc>
      </w:tr>
      <w:tr w:rsidR="00CE3BAD" w:rsidRPr="00782BF9" w14:paraId="79E3BCC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F22C680" w14:textId="77777777" w:rsidR="00CE3BAD" w:rsidRPr="00782BF9" w:rsidRDefault="006B5475">
            <w:pPr>
              <w:pStyle w:val="P68B1DB1-Normal29"/>
              <w:spacing w:after="0" w:line="240" w:lineRule="auto"/>
              <w:rPr>
                <w:noProof/>
                <w:lang w:val="bg-BG"/>
              </w:rPr>
            </w:pPr>
            <w:r w:rsidRPr="00782BF9">
              <w:rPr>
                <w:noProof/>
                <w:lang w:val="bg-BG"/>
              </w:rPr>
              <w:t>309</w:t>
            </w:r>
          </w:p>
        </w:tc>
        <w:tc>
          <w:tcPr>
            <w:tcW w:w="3120" w:type="dxa"/>
            <w:tcBorders>
              <w:top w:val="nil"/>
              <w:left w:val="nil"/>
              <w:bottom w:val="single" w:sz="4" w:space="0" w:color="auto"/>
              <w:right w:val="single" w:sz="4" w:space="0" w:color="auto"/>
            </w:tcBorders>
            <w:shd w:val="clear" w:color="000000" w:fill="C6EFCE"/>
            <w:vAlign w:val="center"/>
          </w:tcPr>
          <w:p w14:paraId="4425E22F"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C10.I1b: Подобряване на точността на прогнозата за времето (заеми)</w:t>
            </w:r>
          </w:p>
        </w:tc>
        <w:tc>
          <w:tcPr>
            <w:tcW w:w="1164" w:type="dxa"/>
            <w:tcBorders>
              <w:top w:val="nil"/>
              <w:left w:val="nil"/>
              <w:bottom w:val="single" w:sz="4" w:space="0" w:color="auto"/>
              <w:right w:val="single" w:sz="4" w:space="0" w:color="auto"/>
            </w:tcBorders>
            <w:shd w:val="clear" w:color="000000" w:fill="C6EFCE"/>
            <w:vAlign w:val="center"/>
          </w:tcPr>
          <w:p w14:paraId="7C62FC1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C6CED97" w14:textId="77777777" w:rsidR="00CE3BAD" w:rsidRPr="00782BF9" w:rsidRDefault="006B5475">
            <w:pPr>
              <w:pStyle w:val="P68B1DB1-Normal29"/>
              <w:spacing w:after="0" w:line="240" w:lineRule="auto"/>
              <w:rPr>
                <w:noProof/>
                <w:lang w:val="bg-BG"/>
              </w:rPr>
            </w:pPr>
            <w:r w:rsidRPr="00782BF9">
              <w:rPr>
                <w:noProof/>
                <w:lang w:val="bg-BG"/>
              </w:rPr>
              <w:t>Влизане в сила на всички споразумения за отпускане на безвъзмездни средства за подпомагане на инсталирането на метеорологични станции за подобряване на точността на метеорологичните прогнози</w:t>
            </w:r>
          </w:p>
        </w:tc>
      </w:tr>
      <w:tr w:rsidR="00CE3BAD" w:rsidRPr="00782BF9" w14:paraId="6F52C91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0CD1E8B" w14:textId="77777777" w:rsidR="00CE3BAD" w:rsidRPr="00782BF9" w:rsidRDefault="006B5475">
            <w:pPr>
              <w:pStyle w:val="P68B1DB1-Normal29"/>
              <w:spacing w:after="0" w:line="240" w:lineRule="auto"/>
              <w:rPr>
                <w:noProof/>
                <w:lang w:val="bg-BG"/>
              </w:rPr>
            </w:pPr>
            <w:r w:rsidRPr="00782BF9">
              <w:rPr>
                <w:noProof/>
                <w:lang w:val="bg-BG"/>
              </w:rPr>
              <w:t>312</w:t>
            </w:r>
          </w:p>
        </w:tc>
        <w:tc>
          <w:tcPr>
            <w:tcW w:w="3120" w:type="dxa"/>
            <w:tcBorders>
              <w:top w:val="nil"/>
              <w:left w:val="nil"/>
              <w:bottom w:val="single" w:sz="4" w:space="0" w:color="auto"/>
              <w:right w:val="single" w:sz="4" w:space="0" w:color="auto"/>
            </w:tcBorders>
            <w:shd w:val="clear" w:color="000000" w:fill="C6EFCE"/>
            <w:vAlign w:val="center"/>
          </w:tcPr>
          <w:p w14:paraId="481979A9"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C10.I1c: Разширена мярка: Развитие на класическа и интелигентна мрежа за оператора на преносна система и оператора на разпределителна система (заеми)</w:t>
            </w:r>
          </w:p>
        </w:tc>
        <w:tc>
          <w:tcPr>
            <w:tcW w:w="1164" w:type="dxa"/>
            <w:tcBorders>
              <w:top w:val="nil"/>
              <w:left w:val="nil"/>
              <w:bottom w:val="single" w:sz="4" w:space="0" w:color="auto"/>
              <w:right w:val="single" w:sz="4" w:space="0" w:color="auto"/>
            </w:tcBorders>
            <w:shd w:val="clear" w:color="000000" w:fill="C6EFCE"/>
            <w:vAlign w:val="center"/>
          </w:tcPr>
          <w:p w14:paraId="145D26F5"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4AC4152" w14:textId="77777777" w:rsidR="00CE3BAD" w:rsidRPr="00782BF9" w:rsidRDefault="006B5475">
            <w:pPr>
              <w:pStyle w:val="P68B1DB1-Normal29"/>
              <w:spacing w:after="0" w:line="240" w:lineRule="auto"/>
              <w:rPr>
                <w:noProof/>
                <w:lang w:val="bg-BG"/>
              </w:rPr>
            </w:pPr>
            <w:r w:rsidRPr="00782BF9">
              <w:rPr>
                <w:noProof/>
                <w:lang w:val="bg-BG"/>
              </w:rPr>
              <w:t>Влизане в сила на всички споразумения за отпускане на безвъзмездна финансова помощ относно условията за изпълнение и подпомагане на развитието на преносни и разпределителни мрежи</w:t>
            </w:r>
          </w:p>
        </w:tc>
      </w:tr>
      <w:tr w:rsidR="00CE3BAD" w:rsidRPr="00782BF9" w14:paraId="794C5EC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5F9838C" w14:textId="77777777" w:rsidR="00CE3BAD" w:rsidRPr="00782BF9" w:rsidRDefault="006B5475">
            <w:pPr>
              <w:pStyle w:val="P68B1DB1-Normal29"/>
              <w:spacing w:after="0" w:line="240" w:lineRule="auto"/>
              <w:rPr>
                <w:noProof/>
                <w:lang w:val="bg-BG"/>
              </w:rPr>
            </w:pPr>
            <w:r w:rsidRPr="00782BF9">
              <w:rPr>
                <w:noProof/>
                <w:lang w:val="bg-BG"/>
              </w:rPr>
              <w:t>316</w:t>
            </w:r>
          </w:p>
        </w:tc>
        <w:tc>
          <w:tcPr>
            <w:tcW w:w="3120" w:type="dxa"/>
            <w:tcBorders>
              <w:top w:val="nil"/>
              <w:left w:val="nil"/>
              <w:bottom w:val="single" w:sz="4" w:space="0" w:color="auto"/>
              <w:right w:val="single" w:sz="4" w:space="0" w:color="auto"/>
            </w:tcBorders>
            <w:shd w:val="clear" w:color="000000" w:fill="C6EFCE"/>
            <w:vAlign w:val="center"/>
          </w:tcPr>
          <w:p w14:paraId="60386601"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C10.I1d разширена мярка: Разпространение на интелигентни измервателни уреди (заеми)</w:t>
            </w:r>
          </w:p>
        </w:tc>
        <w:tc>
          <w:tcPr>
            <w:tcW w:w="1164" w:type="dxa"/>
            <w:tcBorders>
              <w:top w:val="nil"/>
              <w:left w:val="nil"/>
              <w:bottom w:val="single" w:sz="4" w:space="0" w:color="auto"/>
              <w:right w:val="single" w:sz="4" w:space="0" w:color="auto"/>
            </w:tcBorders>
            <w:shd w:val="clear" w:color="000000" w:fill="C6EFCE"/>
            <w:vAlign w:val="center"/>
          </w:tcPr>
          <w:p w14:paraId="6EAE0D87"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649D3BA" w14:textId="77777777" w:rsidR="00CE3BAD" w:rsidRPr="00782BF9" w:rsidRDefault="006B5475">
            <w:pPr>
              <w:pStyle w:val="P68B1DB1-Normal29"/>
              <w:spacing w:after="0" w:line="240" w:lineRule="auto"/>
              <w:rPr>
                <w:noProof/>
                <w:lang w:val="bg-BG"/>
              </w:rPr>
            </w:pPr>
            <w:r w:rsidRPr="00782BF9">
              <w:rPr>
                <w:noProof/>
                <w:lang w:val="bg-BG"/>
              </w:rPr>
              <w:t>Влизане в сила на всички споразумения за отпускане на безвъзмездна финансова помощ за закупуване и инсталиране на интелигентни измервателни уреди</w:t>
            </w:r>
          </w:p>
        </w:tc>
      </w:tr>
      <w:tr w:rsidR="00CE3BAD" w:rsidRPr="00782BF9" w14:paraId="3AE7EA8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1DC30AA" w14:textId="77777777" w:rsidR="00CE3BAD" w:rsidRPr="00782BF9" w:rsidRDefault="006B5475">
            <w:pPr>
              <w:pStyle w:val="P68B1DB1-Normal29"/>
              <w:spacing w:after="0" w:line="240" w:lineRule="auto"/>
              <w:rPr>
                <w:noProof/>
                <w:lang w:val="bg-BG"/>
              </w:rPr>
            </w:pPr>
            <w:r w:rsidRPr="00782BF9">
              <w:rPr>
                <w:noProof/>
                <w:lang w:val="bg-BG"/>
              </w:rPr>
              <w:t>320</w:t>
            </w:r>
          </w:p>
        </w:tc>
        <w:tc>
          <w:tcPr>
            <w:tcW w:w="3120" w:type="dxa"/>
            <w:tcBorders>
              <w:top w:val="nil"/>
              <w:left w:val="nil"/>
              <w:bottom w:val="single" w:sz="4" w:space="0" w:color="auto"/>
              <w:right w:val="single" w:sz="4" w:space="0" w:color="auto"/>
            </w:tcBorders>
            <w:shd w:val="clear" w:color="000000" w:fill="C6EFCE"/>
            <w:vAlign w:val="center"/>
          </w:tcPr>
          <w:p w14:paraId="7743AAB8" w14:textId="77777777" w:rsidR="00CE3BAD" w:rsidRPr="00782BF9" w:rsidRDefault="006B5475">
            <w:pPr>
              <w:pStyle w:val="P68B1DB1-Normal29"/>
              <w:spacing w:after="0" w:line="240" w:lineRule="auto"/>
              <w:rPr>
                <w:noProof/>
                <w:lang w:val="bg-BG"/>
              </w:rPr>
            </w:pPr>
            <w:r w:rsidRPr="00782BF9">
              <w:rPr>
                <w:noProof/>
                <w:lang w:val="bg-BG"/>
              </w:rPr>
              <w:t>К10.И2: Екологизиране на промишлените, научните и технологичните и логистичните паркове за енергийни цели</w:t>
            </w:r>
          </w:p>
        </w:tc>
        <w:tc>
          <w:tcPr>
            <w:tcW w:w="1164" w:type="dxa"/>
            <w:tcBorders>
              <w:top w:val="nil"/>
              <w:left w:val="nil"/>
              <w:bottom w:val="single" w:sz="4" w:space="0" w:color="auto"/>
              <w:right w:val="single" w:sz="4" w:space="0" w:color="auto"/>
            </w:tcBorders>
            <w:shd w:val="clear" w:color="000000" w:fill="C6EFCE"/>
            <w:vAlign w:val="center"/>
          </w:tcPr>
          <w:p w14:paraId="79F9413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A46D861" w14:textId="77777777" w:rsidR="00CE3BAD" w:rsidRPr="00782BF9" w:rsidRDefault="006B5475">
            <w:pPr>
              <w:pStyle w:val="P68B1DB1-Normal29"/>
              <w:spacing w:after="0" w:line="240" w:lineRule="auto"/>
              <w:rPr>
                <w:noProof/>
                <w:lang w:val="bg-BG"/>
              </w:rPr>
            </w:pPr>
            <w:r w:rsidRPr="00782BF9">
              <w:rPr>
                <w:noProof/>
                <w:lang w:val="bg-BG"/>
              </w:rPr>
              <w:t>Влизане в сила на споразуменията за отпускане на безвъзмездни средства</w:t>
            </w:r>
          </w:p>
        </w:tc>
      </w:tr>
      <w:tr w:rsidR="00CE3BAD" w:rsidRPr="00782BF9" w14:paraId="570CB72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E1C854B" w14:textId="77777777" w:rsidR="00CE3BAD" w:rsidRPr="00782BF9" w:rsidRDefault="006B5475">
            <w:pPr>
              <w:pStyle w:val="P68B1DB1-Normal29"/>
              <w:spacing w:after="0" w:line="240" w:lineRule="auto"/>
              <w:rPr>
                <w:noProof/>
                <w:lang w:val="bg-BG"/>
              </w:rPr>
            </w:pPr>
            <w:r w:rsidRPr="00782BF9">
              <w:rPr>
                <w:noProof/>
                <w:lang w:val="bg-BG"/>
              </w:rPr>
              <w:t>325</w:t>
            </w:r>
          </w:p>
        </w:tc>
        <w:tc>
          <w:tcPr>
            <w:tcW w:w="3120" w:type="dxa"/>
            <w:tcBorders>
              <w:top w:val="nil"/>
              <w:left w:val="nil"/>
              <w:bottom w:val="single" w:sz="4" w:space="0" w:color="auto"/>
              <w:right w:val="single" w:sz="4" w:space="0" w:color="auto"/>
            </w:tcBorders>
            <w:shd w:val="clear" w:color="000000" w:fill="C6EFCE"/>
            <w:vAlign w:val="center"/>
          </w:tcPr>
          <w:p w14:paraId="5732890D" w14:textId="77777777" w:rsidR="00CE3BAD" w:rsidRPr="00782BF9" w:rsidRDefault="006B5475">
            <w:pPr>
              <w:pStyle w:val="P68B1DB1-Normal29"/>
              <w:spacing w:after="0" w:line="240" w:lineRule="auto"/>
              <w:rPr>
                <w:noProof/>
                <w:lang w:val="bg-BG"/>
              </w:rPr>
            </w:pPr>
            <w:r w:rsidRPr="00782BF9">
              <w:rPr>
                <w:noProof/>
                <w:lang w:val="bg-BG"/>
              </w:rPr>
              <w:t>К10.И3: Изграждане на производствен капацитет на зелената икономика</w:t>
            </w:r>
          </w:p>
        </w:tc>
        <w:tc>
          <w:tcPr>
            <w:tcW w:w="1164" w:type="dxa"/>
            <w:tcBorders>
              <w:top w:val="nil"/>
              <w:left w:val="nil"/>
              <w:bottom w:val="single" w:sz="4" w:space="0" w:color="auto"/>
              <w:right w:val="single" w:sz="4" w:space="0" w:color="auto"/>
            </w:tcBorders>
            <w:shd w:val="clear" w:color="000000" w:fill="C6EFCE"/>
            <w:vAlign w:val="center"/>
          </w:tcPr>
          <w:p w14:paraId="48C0ACD6"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2B363E9" w14:textId="77777777" w:rsidR="00CE3BAD" w:rsidRPr="00782BF9" w:rsidRDefault="006B5475">
            <w:pPr>
              <w:pStyle w:val="P68B1DB1-Normal29"/>
              <w:spacing w:after="0" w:line="240" w:lineRule="auto"/>
              <w:rPr>
                <w:noProof/>
                <w:lang w:val="bg-BG"/>
              </w:rPr>
            </w:pPr>
            <w:r w:rsidRPr="00782BF9">
              <w:rPr>
                <w:noProof/>
                <w:lang w:val="bg-BG"/>
              </w:rPr>
              <w:t xml:space="preserve">Влизане в сила на споразуменията за отпускане на безвъзмездни средства </w:t>
            </w:r>
          </w:p>
        </w:tc>
      </w:tr>
      <w:tr w:rsidR="00CE3BAD" w:rsidRPr="00782BF9" w14:paraId="50F16E3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DDA9D39" w14:textId="77777777" w:rsidR="00CE3BAD" w:rsidRPr="00782BF9" w:rsidRDefault="006B5475">
            <w:pPr>
              <w:pStyle w:val="P68B1DB1-Normal29"/>
              <w:spacing w:after="0" w:line="240" w:lineRule="auto"/>
              <w:rPr>
                <w:noProof/>
                <w:lang w:val="bg-BG"/>
              </w:rPr>
            </w:pPr>
            <w:r w:rsidRPr="00782BF9">
              <w:rPr>
                <w:noProof/>
                <w:lang w:val="bg-BG"/>
              </w:rPr>
              <w:t>346</w:t>
            </w:r>
          </w:p>
        </w:tc>
        <w:tc>
          <w:tcPr>
            <w:tcW w:w="3120" w:type="dxa"/>
            <w:tcBorders>
              <w:top w:val="nil"/>
              <w:left w:val="nil"/>
              <w:bottom w:val="single" w:sz="4" w:space="0" w:color="auto"/>
              <w:right w:val="single" w:sz="4" w:space="0" w:color="auto"/>
            </w:tcBorders>
            <w:shd w:val="clear" w:color="000000" w:fill="C6EFCE"/>
            <w:vAlign w:val="center"/>
          </w:tcPr>
          <w:p w14:paraId="66CE4F93" w14:textId="77777777" w:rsidR="00CE3BAD" w:rsidRPr="00782BF9" w:rsidRDefault="006B5475">
            <w:pPr>
              <w:pStyle w:val="P68B1DB1-Normal29"/>
              <w:spacing w:after="0" w:line="240" w:lineRule="auto"/>
              <w:rPr>
                <w:noProof/>
                <w:lang w:val="bg-BG"/>
              </w:rPr>
            </w:pPr>
            <w:r w:rsidRPr="00782BF9">
              <w:rPr>
                <w:noProof/>
                <w:lang w:val="bg-BG"/>
              </w:rPr>
              <w:t>К10.И10: Насърчаване на навлизането на електрически превозни средства с акумулаторни батерии в частния сектор (BEV)</w:t>
            </w:r>
          </w:p>
        </w:tc>
        <w:tc>
          <w:tcPr>
            <w:tcW w:w="1164" w:type="dxa"/>
            <w:tcBorders>
              <w:top w:val="nil"/>
              <w:left w:val="nil"/>
              <w:bottom w:val="single" w:sz="4" w:space="0" w:color="auto"/>
              <w:right w:val="single" w:sz="4" w:space="0" w:color="auto"/>
            </w:tcBorders>
            <w:shd w:val="clear" w:color="000000" w:fill="C6EFCE"/>
            <w:vAlign w:val="center"/>
          </w:tcPr>
          <w:p w14:paraId="13CF994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E377788" w14:textId="77777777" w:rsidR="00CE3BAD" w:rsidRPr="00782BF9" w:rsidRDefault="006B5475">
            <w:pPr>
              <w:pStyle w:val="P68B1DB1-Normal29"/>
              <w:spacing w:after="0" w:line="240" w:lineRule="auto"/>
              <w:rPr>
                <w:noProof/>
                <w:lang w:val="bg-BG"/>
              </w:rPr>
            </w:pPr>
            <w:r w:rsidRPr="00782BF9">
              <w:rPr>
                <w:noProof/>
                <w:lang w:val="bg-BG"/>
              </w:rPr>
              <w:t>Обявяване на покана за представяне на предложения за проекти за закупуване на електрически превозни средства, задвижвани с акумулаторни батерии</w:t>
            </w:r>
          </w:p>
        </w:tc>
      </w:tr>
      <w:tr w:rsidR="00CE3BAD" w:rsidRPr="00782BF9" w14:paraId="3AD0BA5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91E8E65" w14:textId="77777777" w:rsidR="00CE3BAD" w:rsidRPr="00782BF9" w:rsidRDefault="006B5475">
            <w:pPr>
              <w:pStyle w:val="P68B1DB1-Normal29"/>
              <w:spacing w:after="0" w:line="240" w:lineRule="auto"/>
              <w:rPr>
                <w:noProof/>
                <w:lang w:val="bg-BG"/>
              </w:rPr>
            </w:pPr>
            <w:r w:rsidRPr="00782BF9">
              <w:rPr>
                <w:noProof/>
                <w:lang w:val="bg-BG"/>
              </w:rPr>
              <w:t>348</w:t>
            </w:r>
          </w:p>
        </w:tc>
        <w:tc>
          <w:tcPr>
            <w:tcW w:w="3120" w:type="dxa"/>
            <w:tcBorders>
              <w:top w:val="nil"/>
              <w:left w:val="nil"/>
              <w:bottom w:val="single" w:sz="4" w:space="0" w:color="auto"/>
              <w:right w:val="single" w:sz="4" w:space="0" w:color="auto"/>
            </w:tcBorders>
            <w:shd w:val="clear" w:color="000000" w:fill="C6EFCE"/>
            <w:vAlign w:val="center"/>
          </w:tcPr>
          <w:p w14:paraId="0449A50B" w14:textId="77777777" w:rsidR="00CE3BAD" w:rsidRPr="00782BF9" w:rsidRDefault="006B5475">
            <w:pPr>
              <w:pStyle w:val="P68B1DB1-Normal29"/>
              <w:spacing w:after="0" w:line="240" w:lineRule="auto"/>
              <w:rPr>
                <w:noProof/>
                <w:lang w:val="bg-BG"/>
              </w:rPr>
            </w:pPr>
            <w:r w:rsidRPr="00782BF9">
              <w:rPr>
                <w:noProof/>
                <w:lang w:val="bg-BG"/>
              </w:rPr>
              <w:t xml:space="preserve">К10.И11: Подкрепа за проучване на геотермална енергия </w:t>
            </w:r>
          </w:p>
        </w:tc>
        <w:tc>
          <w:tcPr>
            <w:tcW w:w="1164" w:type="dxa"/>
            <w:tcBorders>
              <w:top w:val="nil"/>
              <w:left w:val="nil"/>
              <w:bottom w:val="single" w:sz="4" w:space="0" w:color="auto"/>
              <w:right w:val="single" w:sz="4" w:space="0" w:color="auto"/>
            </w:tcBorders>
            <w:shd w:val="clear" w:color="000000" w:fill="C6EFCE"/>
            <w:vAlign w:val="center"/>
          </w:tcPr>
          <w:p w14:paraId="184D3D23"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62F2CA6" w14:textId="77777777" w:rsidR="00CE3BAD" w:rsidRPr="00782BF9" w:rsidRDefault="006B5475">
            <w:pPr>
              <w:pStyle w:val="P68B1DB1-Normal29"/>
              <w:spacing w:after="0" w:line="240" w:lineRule="auto"/>
              <w:rPr>
                <w:noProof/>
                <w:lang w:val="bg-BG"/>
              </w:rPr>
            </w:pPr>
            <w:r w:rsidRPr="00782BF9">
              <w:rPr>
                <w:noProof/>
                <w:lang w:val="bg-BG"/>
              </w:rPr>
              <w:t>Влизане в сила на споразуменията за отпускане на безвъзмездна финансова помощ за геотермални проучвателни дейности</w:t>
            </w:r>
          </w:p>
        </w:tc>
      </w:tr>
      <w:tr w:rsidR="00CE3BAD" w:rsidRPr="00782BF9" w14:paraId="1FBE3DC1" w14:textId="77777777">
        <w:tblPrEx>
          <w:tblCellMar>
            <w:top w:w="0" w:type="dxa"/>
          </w:tblCellMar>
        </w:tblPrEx>
        <w:trPr>
          <w:trHeight w:val="460"/>
        </w:trPr>
        <w:tc>
          <w:tcPr>
            <w:tcW w:w="5522" w:type="dxa"/>
            <w:gridSpan w:val="3"/>
            <w:tcBorders>
              <w:top w:val="nil"/>
              <w:left w:val="single" w:sz="4" w:space="0" w:color="auto"/>
              <w:bottom w:val="single" w:sz="4" w:space="0" w:color="auto"/>
              <w:right w:val="single" w:sz="4" w:space="0" w:color="auto"/>
            </w:tcBorders>
            <w:shd w:val="clear" w:color="000000" w:fill="C6EFCE"/>
            <w:vAlign w:val="center"/>
          </w:tcPr>
          <w:p w14:paraId="748973DE"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nil"/>
              <w:left w:val="nil"/>
              <w:bottom w:val="single" w:sz="4" w:space="0" w:color="auto"/>
              <w:right w:val="single" w:sz="4" w:space="0" w:color="auto"/>
            </w:tcBorders>
            <w:shd w:val="clear" w:color="000000" w:fill="C6EFCE"/>
            <w:vAlign w:val="center"/>
          </w:tcPr>
          <w:p w14:paraId="582F0ACD" w14:textId="77777777" w:rsidR="00CE3BAD" w:rsidRPr="00782BF9" w:rsidRDefault="006B5475">
            <w:pPr>
              <w:pStyle w:val="P68B1DB1-Normal29"/>
              <w:spacing w:after="0" w:line="240" w:lineRule="auto"/>
              <w:jc w:val="center"/>
              <w:rPr>
                <w:noProof/>
                <w:lang w:val="bg-BG"/>
              </w:rPr>
            </w:pPr>
            <w:r w:rsidRPr="00782BF9">
              <w:rPr>
                <w:noProof/>
                <w:lang w:val="bg-BG"/>
              </w:rPr>
              <w:t>783 660 000 EUR</w:t>
            </w:r>
          </w:p>
        </w:tc>
      </w:tr>
    </w:tbl>
    <w:p w14:paraId="6053E270" w14:textId="77777777" w:rsidR="00CE3BAD" w:rsidRPr="00782BF9" w:rsidRDefault="00CE3BAD">
      <w:pPr>
        <w:spacing w:after="160" w:line="259" w:lineRule="auto"/>
        <w:rPr>
          <w:noProof/>
          <w:lang w:val="bg-BG"/>
        </w:rPr>
      </w:pPr>
    </w:p>
    <w:p w14:paraId="0D22CDEA" w14:textId="77777777" w:rsidR="00CE3BAD" w:rsidRPr="00782BF9" w:rsidRDefault="006B5475">
      <w:pPr>
        <w:pStyle w:val="ListParagraph"/>
        <w:numPr>
          <w:ilvl w:val="1"/>
          <w:numId w:val="52"/>
        </w:numPr>
        <w:spacing w:after="160" w:line="259" w:lineRule="auto"/>
        <w:ind w:left="1440"/>
        <w:rPr>
          <w:noProof/>
          <w:lang w:val="bg-BG"/>
        </w:rPr>
      </w:pPr>
      <w:r w:rsidRPr="00782BF9">
        <w:rPr>
          <w:noProof/>
          <w:lang w:val="bg-BG"/>
        </w:rPr>
        <w:t>Трета вноска (подкрепа под формата на заем):</w:t>
      </w: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1066445C" w14:textId="77777777">
        <w:trPr>
          <w:trHeight w:val="728"/>
          <w:tblHeader/>
        </w:trPr>
        <w:tc>
          <w:tcPr>
            <w:tcW w:w="1238"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0B423AB7"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06D33482"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6F921147"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51ADB785"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78EDAF9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E592522" w14:textId="77777777" w:rsidR="00CE3BAD" w:rsidRPr="00782BF9" w:rsidRDefault="006B5475">
            <w:pPr>
              <w:pStyle w:val="P68B1DB1-Normal29"/>
              <w:spacing w:after="0" w:line="240" w:lineRule="auto"/>
              <w:rPr>
                <w:noProof/>
                <w:lang w:val="bg-BG"/>
              </w:rPr>
            </w:pPr>
            <w:r w:rsidRPr="00782BF9">
              <w:rPr>
                <w:noProof/>
                <w:lang w:val="bg-BG"/>
              </w:rPr>
              <w:t>306</w:t>
            </w:r>
          </w:p>
        </w:tc>
        <w:tc>
          <w:tcPr>
            <w:tcW w:w="3120" w:type="dxa"/>
            <w:tcBorders>
              <w:top w:val="nil"/>
              <w:left w:val="nil"/>
              <w:bottom w:val="single" w:sz="4" w:space="0" w:color="auto"/>
              <w:right w:val="single" w:sz="4" w:space="0" w:color="auto"/>
            </w:tcBorders>
            <w:shd w:val="clear" w:color="000000" w:fill="C6EFCE"/>
            <w:vAlign w:val="center"/>
          </w:tcPr>
          <w:p w14:paraId="7CF26D87"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В.10.I1a: Развитие на цифровите технологии на равнището на системния оператор (заеми)</w:t>
            </w:r>
          </w:p>
        </w:tc>
        <w:tc>
          <w:tcPr>
            <w:tcW w:w="1164" w:type="dxa"/>
            <w:tcBorders>
              <w:top w:val="nil"/>
              <w:left w:val="nil"/>
              <w:bottom w:val="single" w:sz="4" w:space="0" w:color="auto"/>
              <w:right w:val="single" w:sz="4" w:space="0" w:color="auto"/>
            </w:tcBorders>
            <w:shd w:val="clear" w:color="000000" w:fill="C6EFCE"/>
            <w:vAlign w:val="center"/>
          </w:tcPr>
          <w:p w14:paraId="7B60CE9F"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BE3B042" w14:textId="77777777" w:rsidR="00CE3BAD" w:rsidRPr="00782BF9" w:rsidRDefault="006B5475">
            <w:pPr>
              <w:pStyle w:val="P68B1DB1-Normal29"/>
              <w:spacing w:after="0" w:line="240" w:lineRule="auto"/>
              <w:rPr>
                <w:noProof/>
                <w:lang w:val="bg-BG"/>
              </w:rPr>
            </w:pPr>
            <w:r w:rsidRPr="00782BF9">
              <w:rPr>
                <w:noProof/>
                <w:lang w:val="bg-BG"/>
              </w:rPr>
              <w:t>Цифрови разработки, свързани с мрежовата инфраструктура и експлоатацията на електроенергийната мрежа на равнището на системния оператор</w:t>
            </w:r>
          </w:p>
        </w:tc>
      </w:tr>
      <w:tr w:rsidR="00CE3BAD" w:rsidRPr="00782BF9" w14:paraId="624841A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176F97E" w14:textId="77777777" w:rsidR="00CE3BAD" w:rsidRPr="00782BF9" w:rsidRDefault="006B5475">
            <w:pPr>
              <w:pStyle w:val="P68B1DB1-Normal29"/>
              <w:spacing w:after="0" w:line="240" w:lineRule="auto"/>
              <w:rPr>
                <w:noProof/>
                <w:lang w:val="bg-BG"/>
              </w:rPr>
            </w:pPr>
            <w:r w:rsidRPr="00782BF9">
              <w:rPr>
                <w:noProof/>
                <w:lang w:val="bg-BG"/>
              </w:rPr>
              <w:t>310</w:t>
            </w:r>
          </w:p>
        </w:tc>
        <w:tc>
          <w:tcPr>
            <w:tcW w:w="3120" w:type="dxa"/>
            <w:tcBorders>
              <w:top w:val="nil"/>
              <w:left w:val="nil"/>
              <w:bottom w:val="single" w:sz="4" w:space="0" w:color="auto"/>
              <w:right w:val="single" w:sz="4" w:space="0" w:color="auto"/>
            </w:tcBorders>
            <w:shd w:val="clear" w:color="000000" w:fill="C6EFCE"/>
            <w:vAlign w:val="center"/>
          </w:tcPr>
          <w:p w14:paraId="5C4E407F"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C10.I1b: Подобряване на точността на прогнозата за времето (заеми)</w:t>
            </w:r>
          </w:p>
        </w:tc>
        <w:tc>
          <w:tcPr>
            <w:tcW w:w="1164" w:type="dxa"/>
            <w:tcBorders>
              <w:top w:val="nil"/>
              <w:left w:val="nil"/>
              <w:bottom w:val="single" w:sz="4" w:space="0" w:color="auto"/>
              <w:right w:val="single" w:sz="4" w:space="0" w:color="auto"/>
            </w:tcBorders>
            <w:shd w:val="clear" w:color="000000" w:fill="C6EFCE"/>
            <w:vAlign w:val="center"/>
          </w:tcPr>
          <w:p w14:paraId="410D2D4A"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18F51F7" w14:textId="77777777" w:rsidR="00CE3BAD" w:rsidRPr="00782BF9" w:rsidRDefault="006B5475">
            <w:pPr>
              <w:pStyle w:val="P68B1DB1-Normal29"/>
              <w:spacing w:after="0" w:line="240" w:lineRule="auto"/>
              <w:rPr>
                <w:noProof/>
                <w:lang w:val="bg-BG"/>
              </w:rPr>
            </w:pPr>
            <w:r w:rsidRPr="00782BF9">
              <w:rPr>
                <w:noProof/>
                <w:lang w:val="bg-BG"/>
              </w:rPr>
              <w:t xml:space="preserve">Метеорологични станции в експлоатация  </w:t>
            </w:r>
          </w:p>
        </w:tc>
      </w:tr>
      <w:tr w:rsidR="00CE3BAD" w:rsidRPr="00782BF9" w14:paraId="0ABF1C4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90B841B" w14:textId="77777777" w:rsidR="00CE3BAD" w:rsidRPr="00782BF9" w:rsidRDefault="006B5475">
            <w:pPr>
              <w:pStyle w:val="P68B1DB1-Normal29"/>
              <w:spacing w:after="0" w:line="240" w:lineRule="auto"/>
              <w:rPr>
                <w:noProof/>
                <w:lang w:val="bg-BG"/>
              </w:rPr>
            </w:pPr>
            <w:r w:rsidRPr="00782BF9">
              <w:rPr>
                <w:noProof/>
                <w:lang w:val="bg-BG"/>
              </w:rPr>
              <w:t>313</w:t>
            </w:r>
          </w:p>
        </w:tc>
        <w:tc>
          <w:tcPr>
            <w:tcW w:w="3120" w:type="dxa"/>
            <w:tcBorders>
              <w:top w:val="nil"/>
              <w:left w:val="nil"/>
              <w:bottom w:val="single" w:sz="4" w:space="0" w:color="auto"/>
              <w:right w:val="single" w:sz="4" w:space="0" w:color="auto"/>
            </w:tcBorders>
            <w:shd w:val="clear" w:color="000000" w:fill="C6EFCE"/>
            <w:vAlign w:val="center"/>
          </w:tcPr>
          <w:p w14:paraId="19D7AA85"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 xml:space="preserve">C10.I1c: Разширена мярка:  </w:t>
            </w:r>
            <w:r w:rsidRPr="00782BF9">
              <w:rPr>
                <w:noProof/>
                <w:lang w:val="bg-BG"/>
              </w:rPr>
              <w:br/>
              <w:t>Развитие на класическа и интелигентна мрежа за оператора на преносна система и оператора на разпределителна система (заеми)</w:t>
            </w:r>
          </w:p>
        </w:tc>
        <w:tc>
          <w:tcPr>
            <w:tcW w:w="1164" w:type="dxa"/>
            <w:tcBorders>
              <w:top w:val="nil"/>
              <w:left w:val="nil"/>
              <w:bottom w:val="single" w:sz="4" w:space="0" w:color="auto"/>
              <w:right w:val="single" w:sz="4" w:space="0" w:color="auto"/>
            </w:tcBorders>
            <w:shd w:val="clear" w:color="000000" w:fill="C6EFCE"/>
            <w:vAlign w:val="center"/>
          </w:tcPr>
          <w:p w14:paraId="01B57854"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9D5D0FC" w14:textId="77777777" w:rsidR="00CE3BAD" w:rsidRPr="00782BF9" w:rsidRDefault="006B5475">
            <w:pPr>
              <w:pStyle w:val="P68B1DB1-Normal29"/>
              <w:spacing w:after="0" w:line="240" w:lineRule="auto"/>
              <w:rPr>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r>
      <w:tr w:rsidR="00CE3BAD" w:rsidRPr="00782BF9" w14:paraId="29C6744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0ADB520" w14:textId="77777777" w:rsidR="00CE3BAD" w:rsidRPr="00782BF9" w:rsidRDefault="006B5475">
            <w:pPr>
              <w:pStyle w:val="P68B1DB1-Normal29"/>
              <w:spacing w:after="0" w:line="240" w:lineRule="auto"/>
              <w:rPr>
                <w:noProof/>
                <w:lang w:val="bg-BG"/>
              </w:rPr>
            </w:pPr>
            <w:r w:rsidRPr="00782BF9">
              <w:rPr>
                <w:noProof/>
                <w:lang w:val="bg-BG"/>
              </w:rPr>
              <w:t>317</w:t>
            </w:r>
          </w:p>
        </w:tc>
        <w:tc>
          <w:tcPr>
            <w:tcW w:w="3120" w:type="dxa"/>
            <w:tcBorders>
              <w:top w:val="nil"/>
              <w:left w:val="nil"/>
              <w:bottom w:val="single" w:sz="4" w:space="0" w:color="auto"/>
              <w:right w:val="single" w:sz="4" w:space="0" w:color="auto"/>
            </w:tcBorders>
            <w:shd w:val="clear" w:color="000000" w:fill="C6EFCE"/>
            <w:vAlign w:val="center"/>
          </w:tcPr>
          <w:p w14:paraId="030A6FD6"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C10.I1d разширена мярка: Разпространение на интелигентни измервателни уреди (заеми)</w:t>
            </w:r>
          </w:p>
        </w:tc>
        <w:tc>
          <w:tcPr>
            <w:tcW w:w="1164" w:type="dxa"/>
            <w:tcBorders>
              <w:top w:val="nil"/>
              <w:left w:val="nil"/>
              <w:bottom w:val="single" w:sz="4" w:space="0" w:color="auto"/>
              <w:right w:val="single" w:sz="4" w:space="0" w:color="auto"/>
            </w:tcBorders>
            <w:shd w:val="clear" w:color="000000" w:fill="C6EFCE"/>
            <w:vAlign w:val="center"/>
          </w:tcPr>
          <w:p w14:paraId="427104BD"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4CF8FA6" w14:textId="77777777" w:rsidR="00CE3BAD" w:rsidRPr="00782BF9" w:rsidRDefault="006B5475">
            <w:pPr>
              <w:pStyle w:val="P68B1DB1-Normal29"/>
              <w:spacing w:after="0" w:line="240" w:lineRule="auto"/>
              <w:rPr>
                <w:noProof/>
                <w:lang w:val="bg-BG"/>
              </w:rPr>
            </w:pPr>
            <w:r w:rsidRPr="00782BF9">
              <w:rPr>
                <w:noProof/>
                <w:lang w:val="bg-BG"/>
              </w:rPr>
              <w:t>Новоинсталирани интелигентни измервателни уреди</w:t>
            </w:r>
          </w:p>
        </w:tc>
      </w:tr>
      <w:tr w:rsidR="00CE3BAD" w:rsidRPr="00782BF9" w14:paraId="5E670E4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D677846" w14:textId="77777777" w:rsidR="00CE3BAD" w:rsidRPr="00782BF9" w:rsidRDefault="006B5475">
            <w:pPr>
              <w:pStyle w:val="P68B1DB1-Normal29"/>
              <w:spacing w:after="0" w:line="240" w:lineRule="auto"/>
              <w:rPr>
                <w:noProof/>
                <w:lang w:val="bg-BG"/>
              </w:rPr>
            </w:pPr>
            <w:r w:rsidRPr="00782BF9">
              <w:rPr>
                <w:noProof/>
                <w:lang w:val="bg-BG"/>
              </w:rPr>
              <w:t>334</w:t>
            </w:r>
          </w:p>
        </w:tc>
        <w:tc>
          <w:tcPr>
            <w:tcW w:w="3120" w:type="dxa"/>
            <w:tcBorders>
              <w:top w:val="nil"/>
              <w:left w:val="nil"/>
              <w:bottom w:val="single" w:sz="4" w:space="0" w:color="auto"/>
              <w:right w:val="single" w:sz="4" w:space="0" w:color="auto"/>
            </w:tcBorders>
            <w:shd w:val="clear" w:color="000000" w:fill="C6EFCE"/>
            <w:vAlign w:val="center"/>
          </w:tcPr>
          <w:p w14:paraId="457DDCE9" w14:textId="77777777" w:rsidR="00CE3BAD" w:rsidRPr="00782BF9" w:rsidRDefault="006B5475">
            <w:pPr>
              <w:pStyle w:val="P68B1DB1-Normal29"/>
              <w:spacing w:after="0" w:line="240" w:lineRule="auto"/>
              <w:rPr>
                <w:noProof/>
                <w:lang w:val="bg-BG"/>
              </w:rPr>
            </w:pPr>
            <w:r w:rsidRPr="00782BF9">
              <w:rPr>
                <w:noProof/>
                <w:lang w:val="bg-BG"/>
              </w:rPr>
              <w:t>К10.И6: Инвестиции във водород</w:t>
            </w:r>
          </w:p>
        </w:tc>
        <w:tc>
          <w:tcPr>
            <w:tcW w:w="1164" w:type="dxa"/>
            <w:tcBorders>
              <w:top w:val="nil"/>
              <w:left w:val="nil"/>
              <w:bottom w:val="single" w:sz="4" w:space="0" w:color="auto"/>
              <w:right w:val="single" w:sz="4" w:space="0" w:color="auto"/>
            </w:tcBorders>
            <w:shd w:val="clear" w:color="000000" w:fill="C6EFCE"/>
            <w:vAlign w:val="center"/>
          </w:tcPr>
          <w:p w14:paraId="0890BB6D"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37303D7" w14:textId="77777777" w:rsidR="00CE3BAD" w:rsidRPr="00782BF9" w:rsidRDefault="006B5475">
            <w:pPr>
              <w:pStyle w:val="P68B1DB1-Normal29"/>
              <w:spacing w:after="0" w:line="240" w:lineRule="auto"/>
              <w:rPr>
                <w:noProof/>
                <w:lang w:val="bg-BG"/>
              </w:rPr>
            </w:pPr>
            <w:r w:rsidRPr="00782BF9">
              <w:rPr>
                <w:noProof/>
                <w:lang w:val="bg-BG"/>
              </w:rPr>
              <w:t>Разпределение на крайните получатели на превозни средства, работещи с водород</w:t>
            </w:r>
          </w:p>
        </w:tc>
      </w:tr>
      <w:tr w:rsidR="00CE3BAD" w:rsidRPr="00782BF9" w14:paraId="1D358A5A"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29B4BA1" w14:textId="77777777" w:rsidR="00CE3BAD" w:rsidRPr="00782BF9" w:rsidRDefault="006B5475">
            <w:pPr>
              <w:pStyle w:val="P68B1DB1-Normal29"/>
              <w:spacing w:after="0" w:line="240" w:lineRule="auto"/>
              <w:rPr>
                <w:noProof/>
                <w:lang w:val="bg-BG"/>
              </w:rPr>
            </w:pPr>
            <w:r w:rsidRPr="00782BF9">
              <w:rPr>
                <w:noProof/>
                <w:lang w:val="bg-BG"/>
              </w:rPr>
              <w:t>339</w:t>
            </w:r>
          </w:p>
        </w:tc>
        <w:tc>
          <w:tcPr>
            <w:tcW w:w="3120" w:type="dxa"/>
            <w:tcBorders>
              <w:top w:val="nil"/>
              <w:left w:val="nil"/>
              <w:bottom w:val="single" w:sz="4" w:space="0" w:color="auto"/>
              <w:right w:val="single" w:sz="4" w:space="0" w:color="auto"/>
            </w:tcBorders>
            <w:shd w:val="clear" w:color="000000" w:fill="C6EFCE"/>
            <w:vAlign w:val="center"/>
          </w:tcPr>
          <w:p w14:paraId="0AB11BCF" w14:textId="77777777" w:rsidR="00CE3BAD" w:rsidRPr="00782BF9" w:rsidRDefault="006B5475">
            <w:pPr>
              <w:pStyle w:val="P68B1DB1-Normal29"/>
              <w:spacing w:after="0" w:line="240" w:lineRule="auto"/>
              <w:rPr>
                <w:noProof/>
                <w:lang w:val="bg-BG"/>
              </w:rPr>
            </w:pPr>
            <w:r w:rsidRPr="00782BF9">
              <w:rPr>
                <w:noProof/>
                <w:lang w:val="bg-BG"/>
              </w:rPr>
              <w:t>К10.И7: Укрепване на човешките ресурси в зелената икономика</w:t>
            </w:r>
          </w:p>
        </w:tc>
        <w:tc>
          <w:tcPr>
            <w:tcW w:w="1164" w:type="dxa"/>
            <w:tcBorders>
              <w:top w:val="nil"/>
              <w:left w:val="nil"/>
              <w:bottom w:val="single" w:sz="4" w:space="0" w:color="auto"/>
              <w:right w:val="single" w:sz="4" w:space="0" w:color="auto"/>
            </w:tcBorders>
            <w:shd w:val="clear" w:color="000000" w:fill="C6EFCE"/>
            <w:vAlign w:val="center"/>
          </w:tcPr>
          <w:p w14:paraId="47849024"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39A9AE8" w14:textId="77777777" w:rsidR="00CE3BAD" w:rsidRPr="00782BF9" w:rsidRDefault="006B5475">
            <w:pPr>
              <w:pStyle w:val="P68B1DB1-Normal29"/>
              <w:spacing w:after="0" w:line="240" w:lineRule="auto"/>
              <w:rPr>
                <w:noProof/>
                <w:lang w:val="bg-BG"/>
              </w:rPr>
            </w:pPr>
            <w:r w:rsidRPr="00782BF9">
              <w:rPr>
                <w:noProof/>
                <w:lang w:val="bg-BG"/>
              </w:rPr>
              <w:t xml:space="preserve">Брой курсове, за които е разработено ново учебно съдържание за „зелени“ умения </w:t>
            </w:r>
          </w:p>
        </w:tc>
      </w:tr>
      <w:tr w:rsidR="00CE3BAD" w:rsidRPr="00782BF9" w14:paraId="4B1905E9"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A0970E5" w14:textId="77777777" w:rsidR="00CE3BAD" w:rsidRPr="00782BF9" w:rsidRDefault="006B5475">
            <w:pPr>
              <w:pStyle w:val="P68B1DB1-Normal29"/>
              <w:spacing w:after="0" w:line="240" w:lineRule="auto"/>
              <w:rPr>
                <w:noProof/>
                <w:lang w:val="bg-BG"/>
              </w:rPr>
            </w:pPr>
            <w:r w:rsidRPr="00782BF9">
              <w:rPr>
                <w:noProof/>
                <w:lang w:val="bg-BG"/>
              </w:rPr>
              <w:t>365</w:t>
            </w:r>
          </w:p>
        </w:tc>
        <w:tc>
          <w:tcPr>
            <w:tcW w:w="3120" w:type="dxa"/>
            <w:tcBorders>
              <w:top w:val="nil"/>
              <w:left w:val="nil"/>
              <w:bottom w:val="single" w:sz="4" w:space="0" w:color="auto"/>
              <w:right w:val="single" w:sz="4" w:space="0" w:color="auto"/>
            </w:tcBorders>
            <w:shd w:val="clear" w:color="000000" w:fill="C6EFCE"/>
            <w:vAlign w:val="center"/>
          </w:tcPr>
          <w:p w14:paraId="473CBEA2" w14:textId="77777777" w:rsidR="00CE3BAD" w:rsidRPr="00782BF9" w:rsidRDefault="006B5475">
            <w:pPr>
              <w:pStyle w:val="P68B1DB1-Normal29"/>
              <w:spacing w:after="0" w:line="240" w:lineRule="auto"/>
              <w:rPr>
                <w:noProof/>
                <w:lang w:val="bg-BG"/>
              </w:rPr>
            </w:pPr>
            <w:r w:rsidRPr="00782BF9">
              <w:rPr>
                <w:noProof/>
                <w:lang w:val="bg-BG"/>
              </w:rPr>
              <w:t>C1.I5 Създаване на нови детски ясли </w:t>
            </w:r>
          </w:p>
        </w:tc>
        <w:tc>
          <w:tcPr>
            <w:tcW w:w="1164" w:type="dxa"/>
            <w:tcBorders>
              <w:top w:val="nil"/>
              <w:left w:val="nil"/>
              <w:bottom w:val="single" w:sz="4" w:space="0" w:color="auto"/>
              <w:right w:val="single" w:sz="4" w:space="0" w:color="auto"/>
            </w:tcBorders>
            <w:shd w:val="clear" w:color="000000" w:fill="C6EFCE"/>
            <w:vAlign w:val="center"/>
          </w:tcPr>
          <w:p w14:paraId="006A2499" w14:textId="77777777" w:rsidR="00CE3BAD" w:rsidRPr="00782BF9" w:rsidRDefault="006B5475">
            <w:pPr>
              <w:pStyle w:val="P68B1DB1-Normal29"/>
              <w:spacing w:after="0" w:line="240" w:lineRule="auto"/>
              <w:rPr>
                <w:noProof/>
                <w:lang w:val="bg-BG"/>
              </w:rPr>
            </w:pPr>
            <w:r w:rsidRPr="00782BF9">
              <w:rPr>
                <w:noProof/>
                <w:lang w:val="bg-BG"/>
              </w:rPr>
              <w:t>Целеви  </w:t>
            </w:r>
          </w:p>
        </w:tc>
        <w:tc>
          <w:tcPr>
            <w:tcW w:w="3781" w:type="dxa"/>
            <w:tcBorders>
              <w:top w:val="nil"/>
              <w:left w:val="nil"/>
              <w:bottom w:val="single" w:sz="4" w:space="0" w:color="auto"/>
              <w:right w:val="single" w:sz="4" w:space="0" w:color="auto"/>
            </w:tcBorders>
            <w:shd w:val="clear" w:color="000000" w:fill="C6EFCE"/>
            <w:vAlign w:val="center"/>
          </w:tcPr>
          <w:p w14:paraId="030AA999" w14:textId="77777777" w:rsidR="00CE3BAD" w:rsidRPr="00782BF9" w:rsidRDefault="006B5475">
            <w:pPr>
              <w:pStyle w:val="P68B1DB1-Normal29"/>
              <w:spacing w:after="0" w:line="240" w:lineRule="auto"/>
              <w:rPr>
                <w:noProof/>
                <w:lang w:val="bg-BG"/>
              </w:rPr>
            </w:pPr>
            <w:r w:rsidRPr="00782BF9">
              <w:rPr>
                <w:noProof/>
                <w:lang w:val="bg-BG"/>
              </w:rPr>
              <w:t>Брой на допълнителните деца, записани в новосъздадени детски ясли </w:t>
            </w:r>
          </w:p>
        </w:tc>
      </w:tr>
      <w:tr w:rsidR="00CE3BAD" w:rsidRPr="00782BF9" w14:paraId="21F1E758" w14:textId="77777777">
        <w:tblPrEx>
          <w:tblCellMar>
            <w:top w:w="0" w:type="dxa"/>
          </w:tblCellMar>
        </w:tblPrEx>
        <w:trPr>
          <w:trHeight w:val="460"/>
        </w:trPr>
        <w:tc>
          <w:tcPr>
            <w:tcW w:w="5522" w:type="dxa"/>
            <w:gridSpan w:val="3"/>
            <w:tcBorders>
              <w:top w:val="nil"/>
              <w:left w:val="single" w:sz="4" w:space="0" w:color="auto"/>
              <w:bottom w:val="single" w:sz="4" w:space="0" w:color="auto"/>
              <w:right w:val="single" w:sz="4" w:space="0" w:color="auto"/>
            </w:tcBorders>
            <w:shd w:val="clear" w:color="000000" w:fill="C6EFCE"/>
            <w:vAlign w:val="center"/>
          </w:tcPr>
          <w:p w14:paraId="1A048AE2"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nil"/>
              <w:left w:val="nil"/>
              <w:bottom w:val="single" w:sz="4" w:space="0" w:color="auto"/>
              <w:right w:val="single" w:sz="4" w:space="0" w:color="auto"/>
            </w:tcBorders>
            <w:shd w:val="clear" w:color="000000" w:fill="C6EFCE"/>
            <w:vAlign w:val="center"/>
          </w:tcPr>
          <w:p w14:paraId="3B50B30E" w14:textId="77777777" w:rsidR="00CE3BAD" w:rsidRPr="00782BF9" w:rsidRDefault="006B5475">
            <w:pPr>
              <w:pStyle w:val="P68B1DB1-Normal29"/>
              <w:spacing w:after="0" w:line="240" w:lineRule="auto"/>
              <w:jc w:val="center"/>
              <w:rPr>
                <w:noProof/>
                <w:lang w:val="bg-BG"/>
              </w:rPr>
            </w:pPr>
            <w:r w:rsidRPr="00782BF9">
              <w:rPr>
                <w:noProof/>
                <w:lang w:val="bg-BG"/>
              </w:rPr>
              <w:t>666 110 000 EUR</w:t>
            </w:r>
          </w:p>
        </w:tc>
      </w:tr>
    </w:tbl>
    <w:p w14:paraId="5844EAD7" w14:textId="77777777" w:rsidR="00CE3BAD" w:rsidRPr="00782BF9" w:rsidRDefault="00CE3BAD">
      <w:pPr>
        <w:spacing w:after="160" w:line="259" w:lineRule="auto"/>
        <w:rPr>
          <w:noProof/>
          <w:lang w:val="bg-BG"/>
        </w:rPr>
      </w:pPr>
    </w:p>
    <w:p w14:paraId="66F22C12" w14:textId="77777777" w:rsidR="00CE3BAD" w:rsidRPr="00782BF9" w:rsidRDefault="00CE3BAD">
      <w:pPr>
        <w:spacing w:after="160" w:line="259" w:lineRule="auto"/>
        <w:rPr>
          <w:rFonts w:ascii="Times New Roman" w:hAnsi="Times New Roman"/>
          <w:b/>
          <w:noProof/>
          <w:sz w:val="24"/>
          <w:lang w:val="bg-BG"/>
        </w:rPr>
      </w:pPr>
    </w:p>
    <w:p w14:paraId="739192F1" w14:textId="77777777" w:rsidR="00CE3BAD" w:rsidRPr="00782BF9" w:rsidRDefault="006B5475">
      <w:pPr>
        <w:pStyle w:val="ListParagraph"/>
        <w:numPr>
          <w:ilvl w:val="1"/>
          <w:numId w:val="52"/>
        </w:numPr>
        <w:spacing w:after="160" w:line="259" w:lineRule="auto"/>
        <w:ind w:left="1440"/>
        <w:rPr>
          <w:noProof/>
          <w:lang w:val="bg-BG"/>
        </w:rPr>
      </w:pPr>
      <w:r w:rsidRPr="00782BF9">
        <w:rPr>
          <w:noProof/>
          <w:lang w:val="bg-BG"/>
        </w:rPr>
        <w:t xml:space="preserve"> Четвърти транш (подкрепа под формата на заем):</w:t>
      </w:r>
    </w:p>
    <w:tbl>
      <w:tblPr>
        <w:tblW w:w="9303" w:type="dxa"/>
        <w:tblInd w:w="113" w:type="dxa"/>
        <w:tblLayout w:type="fixed"/>
        <w:tblCellMar>
          <w:top w:w="15" w:type="dxa"/>
        </w:tblCellMar>
        <w:tblLook w:val="04A0" w:firstRow="1" w:lastRow="0" w:firstColumn="1" w:lastColumn="0" w:noHBand="0" w:noVBand="1"/>
      </w:tblPr>
      <w:tblGrid>
        <w:gridCol w:w="1238"/>
        <w:gridCol w:w="3120"/>
        <w:gridCol w:w="1164"/>
        <w:gridCol w:w="3781"/>
      </w:tblGrid>
      <w:tr w:rsidR="00CE3BAD" w:rsidRPr="00782BF9" w14:paraId="71CB9CD0" w14:textId="77777777">
        <w:trPr>
          <w:trHeight w:val="728"/>
          <w:tblHeader/>
        </w:trPr>
        <w:tc>
          <w:tcPr>
            <w:tcW w:w="1238"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32BF10AD" w14:textId="77777777" w:rsidR="00CE3BAD" w:rsidRPr="00782BF9" w:rsidRDefault="006B5475">
            <w:pPr>
              <w:pStyle w:val="P68B1DB1-Normal28"/>
              <w:spacing w:after="0" w:line="240" w:lineRule="auto"/>
              <w:jc w:val="center"/>
              <w:rPr>
                <w:noProof/>
                <w:lang w:val="bg-BG"/>
              </w:rPr>
            </w:pPr>
            <w:r w:rsidRPr="00782BF9">
              <w:rPr>
                <w:noProof/>
                <w:lang w:val="bg-BG"/>
              </w:rPr>
              <w:t>Пореден номер</w:t>
            </w:r>
          </w:p>
        </w:tc>
        <w:tc>
          <w:tcPr>
            <w:tcW w:w="3120"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66EF90B1" w14:textId="77777777" w:rsidR="00CE3BAD" w:rsidRPr="00782BF9" w:rsidRDefault="006B5475">
            <w:pPr>
              <w:pStyle w:val="P68B1DB1-Normal28"/>
              <w:spacing w:after="0" w:line="240" w:lineRule="auto"/>
              <w:jc w:val="center"/>
              <w:rPr>
                <w:noProof/>
                <w:lang w:val="bg-BG"/>
              </w:rPr>
            </w:pPr>
            <w:r w:rsidRPr="00782BF9">
              <w:rPr>
                <w:noProof/>
                <w:lang w:val="bg-BG"/>
              </w:rPr>
              <w:t>Свързана мярка (реформа или инвестиции)</w:t>
            </w:r>
          </w:p>
        </w:tc>
        <w:tc>
          <w:tcPr>
            <w:tcW w:w="1164"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0F8EB9F5" w14:textId="77777777" w:rsidR="00CE3BAD" w:rsidRPr="00782BF9" w:rsidRDefault="006B5475">
            <w:pPr>
              <w:pStyle w:val="P68B1DB1-Normal28"/>
              <w:spacing w:after="0" w:line="240" w:lineRule="auto"/>
              <w:jc w:val="center"/>
              <w:rPr>
                <w:noProof/>
                <w:lang w:val="bg-BG"/>
              </w:rPr>
            </w:pPr>
            <w:r w:rsidRPr="00782BF9">
              <w:rPr>
                <w:noProof/>
                <w:lang w:val="bg-BG"/>
              </w:rPr>
              <w:t>Ключов етап/Цел</w:t>
            </w:r>
          </w:p>
        </w:tc>
        <w:tc>
          <w:tcPr>
            <w:tcW w:w="3781" w:type="dxa"/>
            <w:tcBorders>
              <w:top w:val="single" w:sz="4" w:space="0" w:color="auto"/>
              <w:left w:val="single" w:sz="4" w:space="0" w:color="000000"/>
              <w:bottom w:val="single" w:sz="4" w:space="0" w:color="000000"/>
              <w:right w:val="single" w:sz="4" w:space="0" w:color="000000"/>
            </w:tcBorders>
            <w:shd w:val="clear" w:color="000000" w:fill="BDD7EE"/>
            <w:vAlign w:val="center"/>
            <w:hideMark/>
          </w:tcPr>
          <w:p w14:paraId="7180B5CE" w14:textId="77777777" w:rsidR="00CE3BAD" w:rsidRPr="00782BF9" w:rsidRDefault="006B5475">
            <w:pPr>
              <w:pStyle w:val="P68B1DB1-Normal28"/>
              <w:spacing w:after="0" w:line="240" w:lineRule="auto"/>
              <w:jc w:val="center"/>
              <w:rPr>
                <w:noProof/>
                <w:lang w:val="bg-BG"/>
              </w:rPr>
            </w:pPr>
            <w:r w:rsidRPr="00782BF9">
              <w:rPr>
                <w:noProof/>
                <w:lang w:val="bg-BG"/>
              </w:rPr>
              <w:t>Име</w:t>
            </w:r>
          </w:p>
        </w:tc>
      </w:tr>
      <w:tr w:rsidR="00CE3BAD" w:rsidRPr="00782BF9" w14:paraId="6B51899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B4BD6DE" w14:textId="77777777" w:rsidR="00CE3BAD" w:rsidRPr="00782BF9" w:rsidRDefault="006B5475">
            <w:pPr>
              <w:pStyle w:val="P68B1DB1-Normal29"/>
              <w:spacing w:after="0" w:line="240" w:lineRule="auto"/>
              <w:rPr>
                <w:noProof/>
                <w:lang w:val="bg-BG"/>
              </w:rPr>
            </w:pPr>
            <w:r w:rsidRPr="00782BF9">
              <w:rPr>
                <w:noProof/>
                <w:lang w:val="bg-BG"/>
              </w:rPr>
              <w:t>303</w:t>
            </w:r>
          </w:p>
        </w:tc>
        <w:tc>
          <w:tcPr>
            <w:tcW w:w="3120" w:type="dxa"/>
            <w:tcBorders>
              <w:top w:val="nil"/>
              <w:left w:val="nil"/>
              <w:bottom w:val="single" w:sz="4" w:space="0" w:color="auto"/>
              <w:right w:val="single" w:sz="4" w:space="0" w:color="auto"/>
            </w:tcBorders>
            <w:shd w:val="clear" w:color="000000" w:fill="C6EFCE"/>
            <w:vAlign w:val="center"/>
          </w:tcPr>
          <w:p w14:paraId="177ECD81" w14:textId="77777777" w:rsidR="00CE3BAD" w:rsidRPr="00782BF9" w:rsidRDefault="006B5475">
            <w:pPr>
              <w:pStyle w:val="P68B1DB1-Normal29"/>
              <w:spacing w:after="0" w:line="240" w:lineRule="auto"/>
              <w:rPr>
                <w:noProof/>
                <w:lang w:val="bg-BG"/>
              </w:rPr>
            </w:pPr>
            <w:r w:rsidRPr="00782BF9">
              <w:rPr>
                <w:noProof/>
                <w:lang w:val="bg-BG"/>
              </w:rPr>
              <w:t>C10.R13:  Национална стратегия за развитие на „зелени“ умения</w:t>
            </w:r>
          </w:p>
        </w:tc>
        <w:tc>
          <w:tcPr>
            <w:tcW w:w="1164" w:type="dxa"/>
            <w:tcBorders>
              <w:top w:val="nil"/>
              <w:left w:val="nil"/>
              <w:bottom w:val="single" w:sz="4" w:space="0" w:color="auto"/>
              <w:right w:val="single" w:sz="4" w:space="0" w:color="auto"/>
            </w:tcBorders>
            <w:shd w:val="clear" w:color="000000" w:fill="C6EFCE"/>
            <w:vAlign w:val="center"/>
          </w:tcPr>
          <w:p w14:paraId="769E92F2"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C7839E3" w14:textId="77777777" w:rsidR="00CE3BAD" w:rsidRPr="00782BF9" w:rsidRDefault="006B5475">
            <w:pPr>
              <w:pStyle w:val="P68B1DB1-Normal29"/>
              <w:spacing w:after="0" w:line="240" w:lineRule="auto"/>
              <w:rPr>
                <w:noProof/>
                <w:lang w:val="bg-BG"/>
              </w:rPr>
            </w:pPr>
            <w:r w:rsidRPr="00782BF9">
              <w:rPr>
                <w:noProof/>
                <w:lang w:val="bg-BG"/>
              </w:rPr>
              <w:t xml:space="preserve">Доклад за напредъка по изпълнението на националната стратегия за уменията за екологичния преход и свързания с нея план за действие </w:t>
            </w:r>
          </w:p>
        </w:tc>
      </w:tr>
      <w:tr w:rsidR="00CE3BAD" w:rsidRPr="00782BF9" w14:paraId="4924A26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21739D2" w14:textId="77777777" w:rsidR="00CE3BAD" w:rsidRPr="00782BF9" w:rsidRDefault="006B5475">
            <w:pPr>
              <w:pStyle w:val="P68B1DB1-Normal29"/>
              <w:spacing w:after="0" w:line="240" w:lineRule="auto"/>
              <w:rPr>
                <w:noProof/>
                <w:lang w:val="bg-BG"/>
              </w:rPr>
            </w:pPr>
            <w:r w:rsidRPr="00782BF9">
              <w:rPr>
                <w:noProof/>
                <w:lang w:val="bg-BG"/>
              </w:rPr>
              <w:t>307</w:t>
            </w:r>
          </w:p>
        </w:tc>
        <w:tc>
          <w:tcPr>
            <w:tcW w:w="3120" w:type="dxa"/>
            <w:tcBorders>
              <w:top w:val="nil"/>
              <w:left w:val="nil"/>
              <w:bottom w:val="single" w:sz="4" w:space="0" w:color="auto"/>
              <w:right w:val="single" w:sz="4" w:space="0" w:color="auto"/>
            </w:tcBorders>
            <w:shd w:val="clear" w:color="000000" w:fill="C6EFCE"/>
            <w:vAlign w:val="center"/>
          </w:tcPr>
          <w:p w14:paraId="40120555"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В.10.I1a: Развитие на цифровите технологии на равнището на системния оператор (заеми)</w:t>
            </w:r>
          </w:p>
        </w:tc>
        <w:tc>
          <w:tcPr>
            <w:tcW w:w="1164" w:type="dxa"/>
            <w:tcBorders>
              <w:top w:val="nil"/>
              <w:left w:val="nil"/>
              <w:bottom w:val="single" w:sz="4" w:space="0" w:color="auto"/>
              <w:right w:val="single" w:sz="4" w:space="0" w:color="auto"/>
            </w:tcBorders>
            <w:shd w:val="clear" w:color="000000" w:fill="C6EFCE"/>
            <w:vAlign w:val="center"/>
          </w:tcPr>
          <w:p w14:paraId="0E6351C4"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3449569" w14:textId="77777777" w:rsidR="00CE3BAD" w:rsidRPr="00782BF9" w:rsidRDefault="006B5475">
            <w:pPr>
              <w:pStyle w:val="P68B1DB1-Normal29"/>
              <w:spacing w:after="0" w:line="240" w:lineRule="auto"/>
              <w:rPr>
                <w:noProof/>
                <w:lang w:val="bg-BG"/>
              </w:rPr>
            </w:pPr>
            <w:r w:rsidRPr="00782BF9">
              <w:rPr>
                <w:noProof/>
                <w:lang w:val="bg-BG"/>
              </w:rPr>
              <w:t>Цифрови разработки, свързани с мрежовата инфраструктура и експлоатацията на електроенергийната мрежа на равнището на системния оператор</w:t>
            </w:r>
          </w:p>
        </w:tc>
      </w:tr>
      <w:tr w:rsidR="00CE3BAD" w:rsidRPr="00782BF9" w14:paraId="20288D08"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D7636C9" w14:textId="77777777" w:rsidR="00CE3BAD" w:rsidRPr="00782BF9" w:rsidRDefault="006B5475">
            <w:pPr>
              <w:pStyle w:val="P68B1DB1-Normal29"/>
              <w:spacing w:after="0" w:line="240" w:lineRule="auto"/>
              <w:rPr>
                <w:noProof/>
                <w:lang w:val="bg-BG"/>
              </w:rPr>
            </w:pPr>
            <w:r w:rsidRPr="00782BF9">
              <w:rPr>
                <w:noProof/>
                <w:lang w:val="bg-BG"/>
              </w:rPr>
              <w:t>311</w:t>
            </w:r>
          </w:p>
        </w:tc>
        <w:tc>
          <w:tcPr>
            <w:tcW w:w="3120" w:type="dxa"/>
            <w:tcBorders>
              <w:top w:val="nil"/>
              <w:left w:val="nil"/>
              <w:bottom w:val="single" w:sz="4" w:space="0" w:color="auto"/>
              <w:right w:val="single" w:sz="4" w:space="0" w:color="auto"/>
            </w:tcBorders>
            <w:shd w:val="clear" w:color="000000" w:fill="C6EFCE"/>
            <w:vAlign w:val="center"/>
          </w:tcPr>
          <w:p w14:paraId="5B2084CD"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C10.I1b: Подобряване на точността на прогнозата за времето (заеми)</w:t>
            </w:r>
          </w:p>
        </w:tc>
        <w:tc>
          <w:tcPr>
            <w:tcW w:w="1164" w:type="dxa"/>
            <w:tcBorders>
              <w:top w:val="nil"/>
              <w:left w:val="nil"/>
              <w:bottom w:val="single" w:sz="4" w:space="0" w:color="auto"/>
              <w:right w:val="single" w:sz="4" w:space="0" w:color="auto"/>
            </w:tcBorders>
            <w:shd w:val="clear" w:color="000000" w:fill="C6EFCE"/>
            <w:vAlign w:val="center"/>
          </w:tcPr>
          <w:p w14:paraId="099386C4"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BA5BBF4" w14:textId="77777777" w:rsidR="00CE3BAD" w:rsidRPr="00782BF9" w:rsidRDefault="006B5475">
            <w:pPr>
              <w:pStyle w:val="P68B1DB1-Normal29"/>
              <w:spacing w:after="0" w:line="240" w:lineRule="auto"/>
              <w:rPr>
                <w:noProof/>
                <w:lang w:val="bg-BG"/>
              </w:rPr>
            </w:pPr>
            <w:r w:rsidRPr="00782BF9">
              <w:rPr>
                <w:noProof/>
                <w:lang w:val="bg-BG"/>
              </w:rPr>
              <w:t xml:space="preserve">Метеорологични станции в експлоатация  </w:t>
            </w:r>
          </w:p>
        </w:tc>
      </w:tr>
      <w:tr w:rsidR="00CE3BAD" w:rsidRPr="00782BF9" w14:paraId="6A7BC6E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EB73C74" w14:textId="77777777" w:rsidR="00CE3BAD" w:rsidRPr="00782BF9" w:rsidRDefault="006B5475">
            <w:pPr>
              <w:pStyle w:val="P68B1DB1-Normal29"/>
              <w:spacing w:after="0" w:line="240" w:lineRule="auto"/>
              <w:rPr>
                <w:noProof/>
                <w:lang w:val="bg-BG"/>
              </w:rPr>
            </w:pPr>
            <w:r w:rsidRPr="00782BF9">
              <w:rPr>
                <w:noProof/>
                <w:lang w:val="bg-BG"/>
              </w:rPr>
              <w:t>314</w:t>
            </w:r>
          </w:p>
        </w:tc>
        <w:tc>
          <w:tcPr>
            <w:tcW w:w="3120" w:type="dxa"/>
            <w:tcBorders>
              <w:top w:val="nil"/>
              <w:left w:val="nil"/>
              <w:bottom w:val="single" w:sz="4" w:space="0" w:color="auto"/>
              <w:right w:val="single" w:sz="4" w:space="0" w:color="auto"/>
            </w:tcBorders>
            <w:shd w:val="clear" w:color="000000" w:fill="C6EFCE"/>
            <w:vAlign w:val="center"/>
          </w:tcPr>
          <w:p w14:paraId="66971218" w14:textId="77777777" w:rsidR="00CE3BAD" w:rsidRPr="00782BF9" w:rsidRDefault="006B5475">
            <w:pPr>
              <w:pStyle w:val="P68B1DB1-Normal29"/>
              <w:spacing w:after="0" w:line="240" w:lineRule="auto"/>
              <w:rPr>
                <w:noProof/>
                <w:lang w:val="bg-BG"/>
              </w:rPr>
            </w:pPr>
            <w:r w:rsidRPr="00782BF9">
              <w:rPr>
                <w:noProof/>
                <w:lang w:val="bg-BG"/>
              </w:rPr>
              <w:t xml:space="preserve">К10.И1: Развитие и цифровизация на електроенергийната мрежа </w:t>
            </w:r>
            <w:r w:rsidRPr="00782BF9">
              <w:rPr>
                <w:noProof/>
                <w:lang w:val="bg-BG"/>
              </w:rPr>
              <w:br/>
              <w:t>C10.I1c: Разширена мярка: Развитие на класическа и интелигентна мрежа за оператора на преносна система и оператора на разпределителна система (заеми)</w:t>
            </w:r>
          </w:p>
        </w:tc>
        <w:tc>
          <w:tcPr>
            <w:tcW w:w="1164" w:type="dxa"/>
            <w:tcBorders>
              <w:top w:val="nil"/>
              <w:left w:val="nil"/>
              <w:bottom w:val="single" w:sz="4" w:space="0" w:color="auto"/>
              <w:right w:val="single" w:sz="4" w:space="0" w:color="auto"/>
            </w:tcBorders>
            <w:shd w:val="clear" w:color="000000" w:fill="C6EFCE"/>
            <w:vAlign w:val="center"/>
          </w:tcPr>
          <w:p w14:paraId="4C9E0865"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5B4F730" w14:textId="77777777" w:rsidR="00CE3BAD" w:rsidRPr="00782BF9" w:rsidRDefault="006B5475">
            <w:pPr>
              <w:pStyle w:val="P68B1DB1-Normal29"/>
              <w:spacing w:after="0" w:line="240" w:lineRule="auto"/>
              <w:rPr>
                <w:noProof/>
                <w:lang w:val="bg-BG"/>
              </w:rPr>
            </w:pPr>
            <w:r w:rsidRPr="00782BF9">
              <w:rPr>
                <w:noProof/>
                <w:lang w:val="bg-BG"/>
              </w:rPr>
              <w:t>Увеличаване на капацитета на електроцентралите, използващи възобновяеми енергийни източници, които могат да бъдат интегрирани в електроенергийната мрежа в резултат на подобрената мрежа (кумулативно, MW)</w:t>
            </w:r>
          </w:p>
        </w:tc>
      </w:tr>
      <w:tr w:rsidR="00CE3BAD" w:rsidRPr="00782BF9" w14:paraId="6602C00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989626F" w14:textId="77777777" w:rsidR="00CE3BAD" w:rsidRPr="00782BF9" w:rsidRDefault="006B5475">
            <w:pPr>
              <w:pStyle w:val="P68B1DB1-Normal29"/>
              <w:spacing w:after="0" w:line="240" w:lineRule="auto"/>
              <w:rPr>
                <w:noProof/>
                <w:lang w:val="bg-BG"/>
              </w:rPr>
            </w:pPr>
            <w:r w:rsidRPr="00782BF9">
              <w:rPr>
                <w:noProof/>
                <w:lang w:val="bg-BG"/>
              </w:rPr>
              <w:t>318</w:t>
            </w:r>
          </w:p>
        </w:tc>
        <w:tc>
          <w:tcPr>
            <w:tcW w:w="3120" w:type="dxa"/>
            <w:tcBorders>
              <w:top w:val="nil"/>
              <w:left w:val="nil"/>
              <w:bottom w:val="single" w:sz="4" w:space="0" w:color="auto"/>
              <w:right w:val="single" w:sz="4" w:space="0" w:color="auto"/>
            </w:tcBorders>
            <w:shd w:val="clear" w:color="000000" w:fill="C6EFCE"/>
            <w:vAlign w:val="center"/>
          </w:tcPr>
          <w:p w14:paraId="1691F4C0" w14:textId="77777777" w:rsidR="00CE3BAD" w:rsidRPr="00782BF9" w:rsidRDefault="006B5475">
            <w:pPr>
              <w:pStyle w:val="P68B1DB1-Normal29"/>
              <w:spacing w:after="0" w:line="240" w:lineRule="auto"/>
              <w:rPr>
                <w:noProof/>
                <w:lang w:val="bg-BG"/>
              </w:rPr>
            </w:pPr>
            <w:r w:rsidRPr="00782BF9">
              <w:rPr>
                <w:noProof/>
                <w:lang w:val="bg-BG"/>
              </w:rPr>
              <w:t>К10.И1: Развитие и цифровизация на електроенергийната мрежа</w:t>
            </w:r>
            <w:r w:rsidRPr="00782BF9">
              <w:rPr>
                <w:noProof/>
                <w:lang w:val="bg-BG"/>
              </w:rPr>
              <w:br/>
              <w:t>C10.I1d разширена мярка: Разпространение на интелигентни измервателни уреди</w:t>
            </w:r>
          </w:p>
        </w:tc>
        <w:tc>
          <w:tcPr>
            <w:tcW w:w="1164" w:type="dxa"/>
            <w:tcBorders>
              <w:top w:val="nil"/>
              <w:left w:val="nil"/>
              <w:bottom w:val="single" w:sz="4" w:space="0" w:color="auto"/>
              <w:right w:val="single" w:sz="4" w:space="0" w:color="auto"/>
            </w:tcBorders>
            <w:shd w:val="clear" w:color="000000" w:fill="C6EFCE"/>
            <w:vAlign w:val="center"/>
          </w:tcPr>
          <w:p w14:paraId="7867149B"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258E7A9E" w14:textId="77777777" w:rsidR="00CE3BAD" w:rsidRPr="00782BF9" w:rsidRDefault="006B5475">
            <w:pPr>
              <w:pStyle w:val="P68B1DB1-Normal29"/>
              <w:spacing w:after="0" w:line="240" w:lineRule="auto"/>
              <w:rPr>
                <w:noProof/>
                <w:lang w:val="bg-BG"/>
              </w:rPr>
            </w:pPr>
            <w:r w:rsidRPr="00782BF9">
              <w:rPr>
                <w:noProof/>
                <w:lang w:val="bg-BG"/>
              </w:rPr>
              <w:t>Новоинсталирани интелигентни измервателни уреди</w:t>
            </w:r>
          </w:p>
        </w:tc>
      </w:tr>
      <w:tr w:rsidR="00CE3BAD" w:rsidRPr="00782BF9" w14:paraId="03C60DE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28EF64A" w14:textId="77777777" w:rsidR="00CE3BAD" w:rsidRPr="00782BF9" w:rsidRDefault="006B5475">
            <w:pPr>
              <w:pStyle w:val="P68B1DB1-Normal29"/>
              <w:spacing w:after="0" w:line="240" w:lineRule="auto"/>
              <w:rPr>
                <w:noProof/>
                <w:lang w:val="bg-BG"/>
              </w:rPr>
            </w:pPr>
            <w:r w:rsidRPr="00782BF9">
              <w:rPr>
                <w:noProof/>
                <w:lang w:val="bg-BG"/>
              </w:rPr>
              <w:t>321</w:t>
            </w:r>
          </w:p>
        </w:tc>
        <w:tc>
          <w:tcPr>
            <w:tcW w:w="3120" w:type="dxa"/>
            <w:tcBorders>
              <w:top w:val="nil"/>
              <w:left w:val="nil"/>
              <w:bottom w:val="single" w:sz="4" w:space="0" w:color="auto"/>
              <w:right w:val="single" w:sz="4" w:space="0" w:color="auto"/>
            </w:tcBorders>
            <w:shd w:val="clear" w:color="000000" w:fill="C6EFCE"/>
            <w:vAlign w:val="center"/>
          </w:tcPr>
          <w:p w14:paraId="118B2B82" w14:textId="77777777" w:rsidR="00CE3BAD" w:rsidRPr="00782BF9" w:rsidRDefault="006B5475">
            <w:pPr>
              <w:pStyle w:val="P68B1DB1-Normal29"/>
              <w:spacing w:after="0" w:line="240" w:lineRule="auto"/>
              <w:rPr>
                <w:noProof/>
                <w:lang w:val="bg-BG"/>
              </w:rPr>
            </w:pPr>
            <w:r w:rsidRPr="00782BF9">
              <w:rPr>
                <w:noProof/>
                <w:lang w:val="bg-BG"/>
              </w:rPr>
              <w:t>К10.И2: Екологизиране на промишлените, научните и технологичните и логистичните паркове за енергийни цели</w:t>
            </w:r>
          </w:p>
        </w:tc>
        <w:tc>
          <w:tcPr>
            <w:tcW w:w="1164" w:type="dxa"/>
            <w:tcBorders>
              <w:top w:val="nil"/>
              <w:left w:val="nil"/>
              <w:bottom w:val="single" w:sz="4" w:space="0" w:color="auto"/>
              <w:right w:val="single" w:sz="4" w:space="0" w:color="auto"/>
            </w:tcBorders>
            <w:shd w:val="clear" w:color="000000" w:fill="C6EFCE"/>
            <w:vAlign w:val="center"/>
          </w:tcPr>
          <w:p w14:paraId="2310DDAA"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9148884" w14:textId="77777777" w:rsidR="00CE3BAD" w:rsidRPr="00782BF9" w:rsidRDefault="006B5475">
            <w:pPr>
              <w:pStyle w:val="P68B1DB1-Normal29"/>
              <w:spacing w:after="0" w:line="240" w:lineRule="auto"/>
              <w:rPr>
                <w:noProof/>
                <w:lang w:val="bg-BG"/>
              </w:rPr>
            </w:pPr>
            <w:r w:rsidRPr="00782BF9">
              <w:rPr>
                <w:noProof/>
                <w:lang w:val="bg-BG"/>
              </w:rPr>
              <w:t>Инсталиран капацитет на системите за възобновяема енергия</w:t>
            </w:r>
          </w:p>
        </w:tc>
      </w:tr>
      <w:tr w:rsidR="00CE3BAD" w:rsidRPr="00782BF9" w14:paraId="0BD959B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0109B4E" w14:textId="77777777" w:rsidR="00CE3BAD" w:rsidRPr="00782BF9" w:rsidRDefault="006B5475">
            <w:pPr>
              <w:pStyle w:val="P68B1DB1-Normal29"/>
              <w:spacing w:after="0" w:line="240" w:lineRule="auto"/>
              <w:rPr>
                <w:noProof/>
                <w:lang w:val="bg-BG"/>
              </w:rPr>
            </w:pPr>
            <w:r w:rsidRPr="00782BF9">
              <w:rPr>
                <w:noProof/>
                <w:lang w:val="bg-BG"/>
              </w:rPr>
              <w:t>322</w:t>
            </w:r>
          </w:p>
        </w:tc>
        <w:tc>
          <w:tcPr>
            <w:tcW w:w="3120" w:type="dxa"/>
            <w:tcBorders>
              <w:top w:val="nil"/>
              <w:left w:val="nil"/>
              <w:bottom w:val="single" w:sz="4" w:space="0" w:color="auto"/>
              <w:right w:val="single" w:sz="4" w:space="0" w:color="auto"/>
            </w:tcBorders>
            <w:shd w:val="clear" w:color="000000" w:fill="C6EFCE"/>
            <w:vAlign w:val="center"/>
          </w:tcPr>
          <w:p w14:paraId="7822DC3E" w14:textId="77777777" w:rsidR="00CE3BAD" w:rsidRPr="00782BF9" w:rsidRDefault="006B5475">
            <w:pPr>
              <w:pStyle w:val="P68B1DB1-Normal29"/>
              <w:spacing w:after="0" w:line="240" w:lineRule="auto"/>
              <w:rPr>
                <w:noProof/>
                <w:lang w:val="bg-BG"/>
              </w:rPr>
            </w:pPr>
            <w:r w:rsidRPr="00782BF9">
              <w:rPr>
                <w:noProof/>
                <w:lang w:val="bg-BG"/>
              </w:rPr>
              <w:t>К10.И2: Екологизиране на промишлените, научните и технологичните и логистичните паркове за енергийни цели</w:t>
            </w:r>
          </w:p>
        </w:tc>
        <w:tc>
          <w:tcPr>
            <w:tcW w:w="1164" w:type="dxa"/>
            <w:tcBorders>
              <w:top w:val="nil"/>
              <w:left w:val="nil"/>
              <w:bottom w:val="single" w:sz="4" w:space="0" w:color="auto"/>
              <w:right w:val="single" w:sz="4" w:space="0" w:color="auto"/>
            </w:tcBorders>
            <w:shd w:val="clear" w:color="000000" w:fill="C6EFCE"/>
            <w:vAlign w:val="center"/>
          </w:tcPr>
          <w:p w14:paraId="6C683FB7"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6613FCC" w14:textId="77777777" w:rsidR="00CE3BAD" w:rsidRPr="00782BF9" w:rsidRDefault="006B5475">
            <w:pPr>
              <w:pStyle w:val="P68B1DB1-Normal29"/>
              <w:spacing w:after="0" w:line="240" w:lineRule="auto"/>
              <w:rPr>
                <w:noProof/>
                <w:lang w:val="bg-BG"/>
              </w:rPr>
            </w:pPr>
            <w:r w:rsidRPr="00782BF9">
              <w:rPr>
                <w:noProof/>
                <w:lang w:val="bg-BG"/>
              </w:rPr>
              <w:t>Брой на оперативно свързаните микромрежови мрежи</w:t>
            </w:r>
          </w:p>
        </w:tc>
      </w:tr>
      <w:tr w:rsidR="00CE3BAD" w:rsidRPr="00782BF9" w14:paraId="07D4F9DF"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C547F67" w14:textId="77777777" w:rsidR="00CE3BAD" w:rsidRPr="00782BF9" w:rsidRDefault="006B5475">
            <w:pPr>
              <w:pStyle w:val="P68B1DB1-Normal29"/>
              <w:spacing w:after="0" w:line="240" w:lineRule="auto"/>
              <w:rPr>
                <w:noProof/>
                <w:lang w:val="bg-BG"/>
              </w:rPr>
            </w:pPr>
            <w:r w:rsidRPr="00782BF9">
              <w:rPr>
                <w:noProof/>
                <w:lang w:val="bg-BG"/>
              </w:rPr>
              <w:t>323</w:t>
            </w:r>
          </w:p>
        </w:tc>
        <w:tc>
          <w:tcPr>
            <w:tcW w:w="3120" w:type="dxa"/>
            <w:tcBorders>
              <w:top w:val="nil"/>
              <w:left w:val="nil"/>
              <w:bottom w:val="single" w:sz="4" w:space="0" w:color="auto"/>
              <w:right w:val="single" w:sz="4" w:space="0" w:color="auto"/>
            </w:tcBorders>
            <w:shd w:val="clear" w:color="000000" w:fill="C6EFCE"/>
            <w:vAlign w:val="center"/>
          </w:tcPr>
          <w:p w14:paraId="40A860CB" w14:textId="77777777" w:rsidR="00CE3BAD" w:rsidRPr="00782BF9" w:rsidRDefault="006B5475">
            <w:pPr>
              <w:pStyle w:val="P68B1DB1-Normal29"/>
              <w:spacing w:after="0" w:line="240" w:lineRule="auto"/>
              <w:rPr>
                <w:noProof/>
                <w:lang w:val="bg-BG"/>
              </w:rPr>
            </w:pPr>
            <w:r w:rsidRPr="00782BF9">
              <w:rPr>
                <w:noProof/>
                <w:lang w:val="bg-BG"/>
              </w:rPr>
              <w:t>К10.И2: Екологизиране на промишлените, научните и технологичните и логистичните паркове за енергийни цели</w:t>
            </w:r>
          </w:p>
        </w:tc>
        <w:tc>
          <w:tcPr>
            <w:tcW w:w="1164" w:type="dxa"/>
            <w:tcBorders>
              <w:top w:val="nil"/>
              <w:left w:val="nil"/>
              <w:bottom w:val="single" w:sz="4" w:space="0" w:color="auto"/>
              <w:right w:val="single" w:sz="4" w:space="0" w:color="auto"/>
            </w:tcBorders>
            <w:shd w:val="clear" w:color="000000" w:fill="C6EFCE"/>
            <w:vAlign w:val="center"/>
          </w:tcPr>
          <w:p w14:paraId="1696257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926FD6D" w14:textId="77777777" w:rsidR="00CE3BAD" w:rsidRPr="00782BF9" w:rsidRDefault="006B5475">
            <w:pPr>
              <w:pStyle w:val="P68B1DB1-Normal29"/>
              <w:spacing w:after="0" w:line="240" w:lineRule="auto"/>
              <w:rPr>
                <w:noProof/>
                <w:lang w:val="bg-BG"/>
              </w:rPr>
            </w:pPr>
            <w:r w:rsidRPr="00782BF9">
              <w:rPr>
                <w:noProof/>
                <w:lang w:val="bg-BG"/>
              </w:rPr>
              <w:t>Мощност на инсталираните термопомпи</w:t>
            </w:r>
          </w:p>
        </w:tc>
      </w:tr>
      <w:tr w:rsidR="00CE3BAD" w:rsidRPr="00782BF9" w14:paraId="44BB32D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0828721" w14:textId="77777777" w:rsidR="00CE3BAD" w:rsidRPr="00782BF9" w:rsidRDefault="006B5475">
            <w:pPr>
              <w:pStyle w:val="P68B1DB1-Normal29"/>
              <w:spacing w:after="0" w:line="240" w:lineRule="auto"/>
              <w:rPr>
                <w:noProof/>
                <w:lang w:val="bg-BG"/>
              </w:rPr>
            </w:pPr>
            <w:r w:rsidRPr="00782BF9">
              <w:rPr>
                <w:noProof/>
                <w:lang w:val="bg-BG"/>
              </w:rPr>
              <w:t>326</w:t>
            </w:r>
          </w:p>
        </w:tc>
        <w:tc>
          <w:tcPr>
            <w:tcW w:w="3120" w:type="dxa"/>
            <w:tcBorders>
              <w:top w:val="nil"/>
              <w:left w:val="nil"/>
              <w:bottom w:val="single" w:sz="4" w:space="0" w:color="auto"/>
              <w:right w:val="single" w:sz="4" w:space="0" w:color="auto"/>
            </w:tcBorders>
            <w:shd w:val="clear" w:color="000000" w:fill="C6EFCE"/>
            <w:vAlign w:val="center"/>
          </w:tcPr>
          <w:p w14:paraId="7A86A96B" w14:textId="77777777" w:rsidR="00CE3BAD" w:rsidRPr="00782BF9" w:rsidRDefault="006B5475">
            <w:pPr>
              <w:pStyle w:val="P68B1DB1-Normal29"/>
              <w:spacing w:after="0" w:line="240" w:lineRule="auto"/>
              <w:rPr>
                <w:noProof/>
                <w:lang w:val="bg-BG"/>
              </w:rPr>
            </w:pPr>
            <w:r w:rsidRPr="00782BF9">
              <w:rPr>
                <w:noProof/>
                <w:lang w:val="bg-BG"/>
              </w:rPr>
              <w:t>К10.И3: Изграждане на производствен капацитет на зелената икономика</w:t>
            </w:r>
          </w:p>
        </w:tc>
        <w:tc>
          <w:tcPr>
            <w:tcW w:w="1164" w:type="dxa"/>
            <w:tcBorders>
              <w:top w:val="nil"/>
              <w:left w:val="nil"/>
              <w:bottom w:val="single" w:sz="4" w:space="0" w:color="auto"/>
              <w:right w:val="single" w:sz="4" w:space="0" w:color="auto"/>
            </w:tcBorders>
            <w:shd w:val="clear" w:color="000000" w:fill="C6EFCE"/>
            <w:vAlign w:val="center"/>
          </w:tcPr>
          <w:p w14:paraId="1B1E631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7CB1395" w14:textId="77777777" w:rsidR="00CE3BAD" w:rsidRPr="00782BF9" w:rsidRDefault="006B5475">
            <w:pPr>
              <w:pStyle w:val="P68B1DB1-Normal29"/>
              <w:spacing w:after="0" w:line="240" w:lineRule="auto"/>
              <w:rPr>
                <w:noProof/>
                <w:lang w:val="bg-BG"/>
              </w:rPr>
            </w:pPr>
            <w:r w:rsidRPr="00782BF9">
              <w:rPr>
                <w:noProof/>
                <w:lang w:val="bg-BG"/>
              </w:rPr>
              <w:t>Въвеждане в експлоатация на всички проекти</w:t>
            </w:r>
          </w:p>
        </w:tc>
      </w:tr>
      <w:tr w:rsidR="00CE3BAD" w:rsidRPr="00782BF9" w14:paraId="7F287501"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C9B2C50" w14:textId="77777777" w:rsidR="00CE3BAD" w:rsidRPr="00782BF9" w:rsidRDefault="006B5475">
            <w:pPr>
              <w:pStyle w:val="P68B1DB1-Normal29"/>
              <w:spacing w:after="0" w:line="240" w:lineRule="auto"/>
              <w:rPr>
                <w:noProof/>
                <w:lang w:val="bg-BG"/>
              </w:rPr>
            </w:pPr>
            <w:r w:rsidRPr="00782BF9">
              <w:rPr>
                <w:noProof/>
                <w:lang w:val="bg-BG"/>
              </w:rPr>
              <w:t>329</w:t>
            </w:r>
          </w:p>
        </w:tc>
        <w:tc>
          <w:tcPr>
            <w:tcW w:w="3120" w:type="dxa"/>
            <w:tcBorders>
              <w:top w:val="nil"/>
              <w:left w:val="nil"/>
              <w:bottom w:val="single" w:sz="4" w:space="0" w:color="auto"/>
              <w:right w:val="single" w:sz="4" w:space="0" w:color="auto"/>
            </w:tcBorders>
            <w:shd w:val="clear" w:color="000000" w:fill="C6EFCE"/>
            <w:vAlign w:val="center"/>
          </w:tcPr>
          <w:p w14:paraId="47FFE5B5" w14:textId="77777777" w:rsidR="00CE3BAD" w:rsidRPr="00782BF9" w:rsidRDefault="006B5475">
            <w:pPr>
              <w:pStyle w:val="P68B1DB1-Normal29"/>
              <w:spacing w:after="0" w:line="240" w:lineRule="auto"/>
              <w:rPr>
                <w:noProof/>
                <w:lang w:val="bg-BG"/>
              </w:rPr>
            </w:pPr>
            <w:r w:rsidRPr="00782BF9">
              <w:rPr>
                <w:noProof/>
                <w:lang w:val="bg-BG"/>
              </w:rPr>
              <w:t>К10.И4: Прилагане на екологосъобразни технологии за декарбонизация на промишлеността</w:t>
            </w:r>
          </w:p>
        </w:tc>
        <w:tc>
          <w:tcPr>
            <w:tcW w:w="1164" w:type="dxa"/>
            <w:tcBorders>
              <w:top w:val="nil"/>
              <w:left w:val="nil"/>
              <w:bottom w:val="single" w:sz="4" w:space="0" w:color="auto"/>
              <w:right w:val="single" w:sz="4" w:space="0" w:color="auto"/>
            </w:tcBorders>
            <w:shd w:val="clear" w:color="000000" w:fill="C6EFCE"/>
            <w:vAlign w:val="center"/>
          </w:tcPr>
          <w:p w14:paraId="3F1C392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38C881CD" w14:textId="77777777" w:rsidR="00CE3BAD" w:rsidRPr="00782BF9" w:rsidRDefault="006B5475">
            <w:pPr>
              <w:pStyle w:val="P68B1DB1-Normal29"/>
              <w:spacing w:after="0" w:line="240" w:lineRule="auto"/>
              <w:rPr>
                <w:noProof/>
                <w:lang w:val="bg-BG"/>
              </w:rPr>
            </w:pPr>
            <w:r w:rsidRPr="00782BF9">
              <w:rPr>
                <w:noProof/>
                <w:lang w:val="bg-BG"/>
              </w:rPr>
              <w:t>Въвеждане в експлоатация на всички проекти за декарбонизация</w:t>
            </w:r>
          </w:p>
        </w:tc>
      </w:tr>
      <w:tr w:rsidR="00CE3BAD" w:rsidRPr="00782BF9" w14:paraId="44DE3F5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E1D97E8" w14:textId="77777777" w:rsidR="00CE3BAD" w:rsidRPr="00782BF9" w:rsidRDefault="006B5475">
            <w:pPr>
              <w:pStyle w:val="P68B1DB1-Normal29"/>
              <w:spacing w:after="0" w:line="240" w:lineRule="auto"/>
              <w:rPr>
                <w:noProof/>
                <w:lang w:val="bg-BG"/>
              </w:rPr>
            </w:pPr>
            <w:r w:rsidRPr="00782BF9">
              <w:rPr>
                <w:noProof/>
                <w:lang w:val="bg-BG"/>
              </w:rPr>
              <w:t>333</w:t>
            </w:r>
          </w:p>
        </w:tc>
        <w:tc>
          <w:tcPr>
            <w:tcW w:w="3120" w:type="dxa"/>
            <w:tcBorders>
              <w:top w:val="nil"/>
              <w:left w:val="nil"/>
              <w:bottom w:val="single" w:sz="4" w:space="0" w:color="auto"/>
              <w:right w:val="single" w:sz="4" w:space="0" w:color="auto"/>
            </w:tcBorders>
            <w:shd w:val="clear" w:color="000000" w:fill="C6EFCE"/>
            <w:vAlign w:val="center"/>
          </w:tcPr>
          <w:p w14:paraId="60597286" w14:textId="77777777" w:rsidR="00CE3BAD" w:rsidRPr="00782BF9" w:rsidRDefault="006B5475">
            <w:pPr>
              <w:pStyle w:val="P68B1DB1-Normal29"/>
              <w:spacing w:after="0" w:line="240" w:lineRule="auto"/>
              <w:rPr>
                <w:noProof/>
                <w:lang w:val="bg-BG"/>
              </w:rPr>
            </w:pPr>
            <w:r w:rsidRPr="00782BF9">
              <w:rPr>
                <w:noProof/>
                <w:lang w:val="bg-BG"/>
              </w:rPr>
              <w:t>К10.И5: Цифровизация на енергийните дружества</w:t>
            </w:r>
          </w:p>
        </w:tc>
        <w:tc>
          <w:tcPr>
            <w:tcW w:w="1164" w:type="dxa"/>
            <w:tcBorders>
              <w:top w:val="nil"/>
              <w:left w:val="nil"/>
              <w:bottom w:val="single" w:sz="4" w:space="0" w:color="auto"/>
              <w:right w:val="single" w:sz="4" w:space="0" w:color="auto"/>
            </w:tcBorders>
            <w:shd w:val="clear" w:color="000000" w:fill="C6EFCE"/>
            <w:vAlign w:val="center"/>
          </w:tcPr>
          <w:p w14:paraId="628B775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1B6D22D6" w14:textId="77777777" w:rsidR="00CE3BAD" w:rsidRPr="00782BF9" w:rsidRDefault="006B5475">
            <w:pPr>
              <w:pStyle w:val="P68B1DB1-Normal29"/>
              <w:spacing w:after="0" w:line="240" w:lineRule="auto"/>
              <w:rPr>
                <w:noProof/>
                <w:lang w:val="bg-BG"/>
              </w:rPr>
            </w:pPr>
            <w:r w:rsidRPr="00782BF9">
              <w:rPr>
                <w:noProof/>
                <w:lang w:val="bg-BG"/>
              </w:rPr>
              <w:t>Цифрови решения в подкрепа на функционирането на енергийните системи и услуги, въведени в експлоатация</w:t>
            </w:r>
          </w:p>
        </w:tc>
      </w:tr>
      <w:tr w:rsidR="00CE3BAD" w:rsidRPr="00782BF9" w14:paraId="015A1AB7"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D31A18A" w14:textId="77777777" w:rsidR="00CE3BAD" w:rsidRPr="00782BF9" w:rsidRDefault="006B5475">
            <w:pPr>
              <w:pStyle w:val="P68B1DB1-Normal29"/>
              <w:spacing w:after="0" w:line="240" w:lineRule="auto"/>
              <w:rPr>
                <w:noProof/>
                <w:lang w:val="bg-BG"/>
              </w:rPr>
            </w:pPr>
            <w:r w:rsidRPr="00782BF9">
              <w:rPr>
                <w:noProof/>
                <w:lang w:val="bg-BG"/>
              </w:rPr>
              <w:t>335</w:t>
            </w:r>
          </w:p>
        </w:tc>
        <w:tc>
          <w:tcPr>
            <w:tcW w:w="3120" w:type="dxa"/>
            <w:tcBorders>
              <w:top w:val="nil"/>
              <w:left w:val="nil"/>
              <w:bottom w:val="single" w:sz="4" w:space="0" w:color="auto"/>
              <w:right w:val="single" w:sz="4" w:space="0" w:color="auto"/>
            </w:tcBorders>
            <w:shd w:val="clear" w:color="000000" w:fill="C6EFCE"/>
            <w:vAlign w:val="center"/>
          </w:tcPr>
          <w:p w14:paraId="140EDAF1" w14:textId="77777777" w:rsidR="00CE3BAD" w:rsidRPr="00782BF9" w:rsidRDefault="006B5475">
            <w:pPr>
              <w:pStyle w:val="P68B1DB1-Normal29"/>
              <w:spacing w:after="0" w:line="240" w:lineRule="auto"/>
              <w:rPr>
                <w:noProof/>
                <w:lang w:val="bg-BG"/>
              </w:rPr>
            </w:pPr>
            <w:r w:rsidRPr="00782BF9">
              <w:rPr>
                <w:noProof/>
                <w:lang w:val="bg-BG"/>
              </w:rPr>
              <w:t>К10.И6: Инвестиции във водород</w:t>
            </w:r>
          </w:p>
        </w:tc>
        <w:tc>
          <w:tcPr>
            <w:tcW w:w="1164" w:type="dxa"/>
            <w:tcBorders>
              <w:top w:val="nil"/>
              <w:left w:val="nil"/>
              <w:bottom w:val="single" w:sz="4" w:space="0" w:color="auto"/>
              <w:right w:val="single" w:sz="4" w:space="0" w:color="auto"/>
            </w:tcBorders>
            <w:shd w:val="clear" w:color="000000" w:fill="C6EFCE"/>
            <w:vAlign w:val="center"/>
          </w:tcPr>
          <w:p w14:paraId="18F1FEAF"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6C43CB8" w14:textId="77777777" w:rsidR="00CE3BAD" w:rsidRPr="00782BF9" w:rsidRDefault="006B5475">
            <w:pPr>
              <w:pStyle w:val="P68B1DB1-Normal29"/>
              <w:spacing w:after="0" w:line="240" w:lineRule="auto"/>
              <w:rPr>
                <w:noProof/>
                <w:lang w:val="bg-BG"/>
              </w:rPr>
            </w:pPr>
            <w:r w:rsidRPr="00782BF9">
              <w:rPr>
                <w:noProof/>
                <w:lang w:val="bg-BG"/>
              </w:rPr>
              <w:t>Разпределение на крайните получатели на превозни средства, работещи с водород</w:t>
            </w:r>
          </w:p>
        </w:tc>
      </w:tr>
      <w:tr w:rsidR="00CE3BAD" w:rsidRPr="00782BF9" w14:paraId="7A4E857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8BF96F9" w14:textId="77777777" w:rsidR="00CE3BAD" w:rsidRPr="00782BF9" w:rsidRDefault="006B5475">
            <w:pPr>
              <w:pStyle w:val="P68B1DB1-Normal29"/>
              <w:spacing w:after="0" w:line="240" w:lineRule="auto"/>
              <w:rPr>
                <w:noProof/>
                <w:lang w:val="bg-BG"/>
              </w:rPr>
            </w:pPr>
            <w:r w:rsidRPr="00782BF9">
              <w:rPr>
                <w:noProof/>
                <w:lang w:val="bg-BG"/>
              </w:rPr>
              <w:t>336</w:t>
            </w:r>
          </w:p>
        </w:tc>
        <w:tc>
          <w:tcPr>
            <w:tcW w:w="3120" w:type="dxa"/>
            <w:tcBorders>
              <w:top w:val="nil"/>
              <w:left w:val="nil"/>
              <w:bottom w:val="single" w:sz="4" w:space="0" w:color="auto"/>
              <w:right w:val="single" w:sz="4" w:space="0" w:color="auto"/>
            </w:tcBorders>
            <w:shd w:val="clear" w:color="000000" w:fill="C6EFCE"/>
            <w:vAlign w:val="center"/>
          </w:tcPr>
          <w:p w14:paraId="690FCD03" w14:textId="77777777" w:rsidR="00CE3BAD" w:rsidRPr="00782BF9" w:rsidRDefault="006B5475">
            <w:pPr>
              <w:pStyle w:val="P68B1DB1-Normal29"/>
              <w:spacing w:after="0" w:line="240" w:lineRule="auto"/>
              <w:rPr>
                <w:noProof/>
                <w:lang w:val="bg-BG"/>
              </w:rPr>
            </w:pPr>
            <w:r w:rsidRPr="00782BF9">
              <w:rPr>
                <w:noProof/>
                <w:lang w:val="bg-BG"/>
              </w:rPr>
              <w:t>К10.И6: Инвестиции във водород</w:t>
            </w:r>
          </w:p>
        </w:tc>
        <w:tc>
          <w:tcPr>
            <w:tcW w:w="1164" w:type="dxa"/>
            <w:tcBorders>
              <w:top w:val="nil"/>
              <w:left w:val="nil"/>
              <w:bottom w:val="single" w:sz="4" w:space="0" w:color="auto"/>
              <w:right w:val="single" w:sz="4" w:space="0" w:color="auto"/>
            </w:tcBorders>
            <w:shd w:val="clear" w:color="000000" w:fill="C6EFCE"/>
            <w:vAlign w:val="center"/>
          </w:tcPr>
          <w:p w14:paraId="1E38C987"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39806EE" w14:textId="77777777" w:rsidR="00CE3BAD" w:rsidRPr="00782BF9" w:rsidRDefault="006B5475">
            <w:pPr>
              <w:pStyle w:val="P68B1DB1-Normal29"/>
              <w:spacing w:after="0" w:line="240" w:lineRule="auto"/>
              <w:rPr>
                <w:noProof/>
                <w:lang w:val="bg-BG"/>
              </w:rPr>
            </w:pPr>
            <w:r w:rsidRPr="00782BF9">
              <w:rPr>
                <w:noProof/>
                <w:lang w:val="bg-BG"/>
              </w:rPr>
              <w:t xml:space="preserve">Въвеждане в експлоатация на нови станции за презареждане с водород </w:t>
            </w:r>
          </w:p>
        </w:tc>
      </w:tr>
      <w:tr w:rsidR="00CE3BAD" w:rsidRPr="00782BF9" w14:paraId="019D483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16412FC" w14:textId="77777777" w:rsidR="00CE3BAD" w:rsidRPr="00782BF9" w:rsidRDefault="006B5475">
            <w:pPr>
              <w:pStyle w:val="P68B1DB1-Normal29"/>
              <w:spacing w:after="0" w:line="240" w:lineRule="auto"/>
              <w:rPr>
                <w:noProof/>
                <w:lang w:val="bg-BG"/>
              </w:rPr>
            </w:pPr>
            <w:r w:rsidRPr="00782BF9">
              <w:rPr>
                <w:noProof/>
                <w:lang w:val="bg-BG"/>
              </w:rPr>
              <w:t>337</w:t>
            </w:r>
          </w:p>
        </w:tc>
        <w:tc>
          <w:tcPr>
            <w:tcW w:w="3120" w:type="dxa"/>
            <w:tcBorders>
              <w:top w:val="nil"/>
              <w:left w:val="nil"/>
              <w:bottom w:val="single" w:sz="4" w:space="0" w:color="auto"/>
              <w:right w:val="single" w:sz="4" w:space="0" w:color="auto"/>
            </w:tcBorders>
            <w:shd w:val="clear" w:color="000000" w:fill="C6EFCE"/>
            <w:vAlign w:val="center"/>
          </w:tcPr>
          <w:p w14:paraId="673909B6" w14:textId="77777777" w:rsidR="00CE3BAD" w:rsidRPr="00782BF9" w:rsidRDefault="006B5475">
            <w:pPr>
              <w:pStyle w:val="P68B1DB1-Normal29"/>
              <w:spacing w:after="0" w:line="240" w:lineRule="auto"/>
              <w:rPr>
                <w:noProof/>
                <w:lang w:val="bg-BG"/>
              </w:rPr>
            </w:pPr>
            <w:r w:rsidRPr="00782BF9">
              <w:rPr>
                <w:noProof/>
                <w:lang w:val="bg-BG"/>
              </w:rPr>
              <w:t>К10.И6: Инвестиции във водород</w:t>
            </w:r>
          </w:p>
        </w:tc>
        <w:tc>
          <w:tcPr>
            <w:tcW w:w="1164" w:type="dxa"/>
            <w:tcBorders>
              <w:top w:val="nil"/>
              <w:left w:val="nil"/>
              <w:bottom w:val="single" w:sz="4" w:space="0" w:color="auto"/>
              <w:right w:val="single" w:sz="4" w:space="0" w:color="auto"/>
            </w:tcBorders>
            <w:shd w:val="clear" w:color="000000" w:fill="C6EFCE"/>
            <w:vAlign w:val="center"/>
          </w:tcPr>
          <w:p w14:paraId="123685DA"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0B9C3E7" w14:textId="77777777" w:rsidR="00CE3BAD" w:rsidRPr="00782BF9" w:rsidRDefault="006B5475">
            <w:pPr>
              <w:pStyle w:val="P68B1DB1-Normal29"/>
              <w:spacing w:after="0" w:line="240" w:lineRule="auto"/>
              <w:rPr>
                <w:noProof/>
                <w:lang w:val="bg-BG"/>
              </w:rPr>
            </w:pPr>
            <w:r w:rsidRPr="00782BF9">
              <w:rPr>
                <w:noProof/>
                <w:lang w:val="bg-BG"/>
              </w:rPr>
              <w:t>Въвеждане в експлоатация на капацитета на електролизьора</w:t>
            </w:r>
          </w:p>
        </w:tc>
      </w:tr>
      <w:tr w:rsidR="00CE3BAD" w:rsidRPr="00782BF9" w14:paraId="302987E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9E92567" w14:textId="77777777" w:rsidR="00CE3BAD" w:rsidRPr="00782BF9" w:rsidRDefault="006B5475">
            <w:pPr>
              <w:pStyle w:val="P68B1DB1-Normal29"/>
              <w:spacing w:after="0" w:line="240" w:lineRule="auto"/>
              <w:rPr>
                <w:noProof/>
                <w:lang w:val="bg-BG"/>
              </w:rPr>
            </w:pPr>
            <w:r w:rsidRPr="00782BF9">
              <w:rPr>
                <w:noProof/>
                <w:lang w:val="bg-BG"/>
              </w:rPr>
              <w:t>340</w:t>
            </w:r>
          </w:p>
        </w:tc>
        <w:tc>
          <w:tcPr>
            <w:tcW w:w="3120" w:type="dxa"/>
            <w:tcBorders>
              <w:top w:val="nil"/>
              <w:left w:val="nil"/>
              <w:bottom w:val="single" w:sz="4" w:space="0" w:color="auto"/>
              <w:right w:val="single" w:sz="4" w:space="0" w:color="auto"/>
            </w:tcBorders>
            <w:shd w:val="clear" w:color="000000" w:fill="C6EFCE"/>
            <w:vAlign w:val="center"/>
          </w:tcPr>
          <w:p w14:paraId="504CA0B5" w14:textId="77777777" w:rsidR="00CE3BAD" w:rsidRPr="00782BF9" w:rsidRDefault="006B5475">
            <w:pPr>
              <w:pStyle w:val="P68B1DB1-Normal29"/>
              <w:spacing w:after="0" w:line="240" w:lineRule="auto"/>
              <w:rPr>
                <w:noProof/>
                <w:lang w:val="bg-BG"/>
              </w:rPr>
            </w:pPr>
            <w:r w:rsidRPr="00782BF9">
              <w:rPr>
                <w:noProof/>
                <w:lang w:val="bg-BG"/>
              </w:rPr>
              <w:t>К10.И7: Укрепване на човешките ресурси в зелената икономика</w:t>
            </w:r>
          </w:p>
        </w:tc>
        <w:tc>
          <w:tcPr>
            <w:tcW w:w="1164" w:type="dxa"/>
            <w:tcBorders>
              <w:top w:val="nil"/>
              <w:left w:val="nil"/>
              <w:bottom w:val="single" w:sz="4" w:space="0" w:color="auto"/>
              <w:right w:val="single" w:sz="4" w:space="0" w:color="auto"/>
            </w:tcBorders>
            <w:shd w:val="clear" w:color="000000" w:fill="C6EFCE"/>
            <w:vAlign w:val="center"/>
          </w:tcPr>
          <w:p w14:paraId="26BE1F4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66C1B429" w14:textId="77777777" w:rsidR="00CE3BAD" w:rsidRPr="00782BF9" w:rsidRDefault="006B5475">
            <w:pPr>
              <w:pStyle w:val="P68B1DB1-Normal29"/>
              <w:spacing w:after="0" w:line="240" w:lineRule="auto"/>
              <w:rPr>
                <w:noProof/>
                <w:lang w:val="bg-BG"/>
              </w:rPr>
            </w:pPr>
            <w:r w:rsidRPr="00782BF9">
              <w:rPr>
                <w:noProof/>
                <w:lang w:val="bg-BG"/>
              </w:rPr>
              <w:t>Брой на специалистите, получили сертификат за микроквалификации за зелени умения</w:t>
            </w:r>
          </w:p>
        </w:tc>
      </w:tr>
      <w:tr w:rsidR="00CE3BAD" w:rsidRPr="00782BF9" w14:paraId="76180EA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444F57D3" w14:textId="77777777" w:rsidR="00CE3BAD" w:rsidRPr="00782BF9" w:rsidRDefault="006B5475">
            <w:pPr>
              <w:pStyle w:val="P68B1DB1-Normal29"/>
              <w:spacing w:after="0" w:line="240" w:lineRule="auto"/>
              <w:rPr>
                <w:noProof/>
                <w:lang w:val="bg-BG"/>
              </w:rPr>
            </w:pPr>
            <w:r w:rsidRPr="00782BF9">
              <w:rPr>
                <w:noProof/>
                <w:lang w:val="bg-BG"/>
              </w:rPr>
              <w:t>343</w:t>
            </w:r>
          </w:p>
        </w:tc>
        <w:tc>
          <w:tcPr>
            <w:tcW w:w="3120" w:type="dxa"/>
            <w:tcBorders>
              <w:top w:val="nil"/>
              <w:left w:val="nil"/>
              <w:bottom w:val="single" w:sz="4" w:space="0" w:color="auto"/>
              <w:right w:val="single" w:sz="4" w:space="0" w:color="auto"/>
            </w:tcBorders>
            <w:shd w:val="clear" w:color="000000" w:fill="C6EFCE"/>
            <w:vAlign w:val="center"/>
          </w:tcPr>
          <w:p w14:paraId="32E90841" w14:textId="77777777" w:rsidR="00CE3BAD" w:rsidRPr="00782BF9" w:rsidRDefault="006B5475">
            <w:pPr>
              <w:pStyle w:val="P68B1DB1-Normal29"/>
              <w:spacing w:after="0" w:line="240" w:lineRule="auto"/>
              <w:rPr>
                <w:noProof/>
                <w:lang w:val="bg-BG"/>
              </w:rPr>
            </w:pPr>
            <w:r w:rsidRPr="00782BF9">
              <w:rPr>
                <w:noProof/>
                <w:lang w:val="bg-BG"/>
              </w:rPr>
              <w:t>К10.И8: Инвестиции в енергийна ефективност в обществени сгради</w:t>
            </w:r>
          </w:p>
        </w:tc>
        <w:tc>
          <w:tcPr>
            <w:tcW w:w="1164" w:type="dxa"/>
            <w:tcBorders>
              <w:top w:val="nil"/>
              <w:left w:val="nil"/>
              <w:bottom w:val="single" w:sz="4" w:space="0" w:color="auto"/>
              <w:right w:val="single" w:sz="4" w:space="0" w:color="auto"/>
            </w:tcBorders>
            <w:shd w:val="clear" w:color="000000" w:fill="C6EFCE"/>
            <w:vAlign w:val="center"/>
          </w:tcPr>
          <w:p w14:paraId="30EE6DD8"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5F8D534" w14:textId="77777777" w:rsidR="00CE3BAD" w:rsidRPr="00782BF9" w:rsidRDefault="006B5475">
            <w:pPr>
              <w:pStyle w:val="P68B1DB1-Normal29"/>
              <w:spacing w:after="0" w:line="240" w:lineRule="auto"/>
              <w:rPr>
                <w:noProof/>
                <w:lang w:val="bg-BG"/>
              </w:rPr>
            </w:pPr>
            <w:r w:rsidRPr="00782BF9">
              <w:rPr>
                <w:noProof/>
                <w:lang w:val="bg-BG"/>
              </w:rPr>
              <w:t xml:space="preserve">Разгъната застроена площ на обществени сгради, които са се възползвали от подобряване на енергийната ефективност </w:t>
            </w:r>
          </w:p>
        </w:tc>
      </w:tr>
      <w:tr w:rsidR="00CE3BAD" w:rsidRPr="00782BF9" w14:paraId="60BE0145"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3F6B938" w14:textId="77777777" w:rsidR="00CE3BAD" w:rsidRPr="00782BF9" w:rsidRDefault="006B5475">
            <w:pPr>
              <w:pStyle w:val="P68B1DB1-Normal29"/>
              <w:spacing w:after="0" w:line="240" w:lineRule="auto"/>
              <w:rPr>
                <w:noProof/>
                <w:lang w:val="bg-BG"/>
              </w:rPr>
            </w:pPr>
            <w:r w:rsidRPr="00782BF9">
              <w:rPr>
                <w:noProof/>
                <w:lang w:val="bg-BG"/>
              </w:rPr>
              <w:t>344</w:t>
            </w:r>
          </w:p>
        </w:tc>
        <w:tc>
          <w:tcPr>
            <w:tcW w:w="3120" w:type="dxa"/>
            <w:tcBorders>
              <w:top w:val="nil"/>
              <w:left w:val="nil"/>
              <w:bottom w:val="single" w:sz="4" w:space="0" w:color="auto"/>
              <w:right w:val="single" w:sz="4" w:space="0" w:color="auto"/>
            </w:tcBorders>
            <w:shd w:val="clear" w:color="000000" w:fill="C6EFCE"/>
            <w:vAlign w:val="center"/>
          </w:tcPr>
          <w:p w14:paraId="7B2C54C2" w14:textId="77777777" w:rsidR="00CE3BAD" w:rsidRPr="00782BF9" w:rsidRDefault="006B5475">
            <w:pPr>
              <w:pStyle w:val="P68B1DB1-Normal29"/>
              <w:spacing w:after="0" w:line="240" w:lineRule="auto"/>
              <w:rPr>
                <w:noProof/>
                <w:lang w:val="bg-BG"/>
              </w:rPr>
            </w:pPr>
            <w:r w:rsidRPr="00782BF9">
              <w:rPr>
                <w:noProof/>
                <w:lang w:val="bg-BG"/>
              </w:rPr>
              <w:t>К10.И9: Електрификация на железопътни участъци</w:t>
            </w:r>
          </w:p>
        </w:tc>
        <w:tc>
          <w:tcPr>
            <w:tcW w:w="1164" w:type="dxa"/>
            <w:tcBorders>
              <w:top w:val="nil"/>
              <w:left w:val="nil"/>
              <w:bottom w:val="single" w:sz="4" w:space="0" w:color="auto"/>
              <w:right w:val="single" w:sz="4" w:space="0" w:color="auto"/>
            </w:tcBorders>
            <w:shd w:val="clear" w:color="000000" w:fill="C6EFCE"/>
            <w:vAlign w:val="center"/>
          </w:tcPr>
          <w:p w14:paraId="6EBC984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5429C02B" w14:textId="77777777" w:rsidR="00CE3BAD" w:rsidRPr="00782BF9" w:rsidRDefault="006B5475">
            <w:pPr>
              <w:pStyle w:val="P68B1DB1-Normal29"/>
              <w:spacing w:after="0" w:line="240" w:lineRule="auto"/>
              <w:rPr>
                <w:noProof/>
                <w:lang w:val="bg-BG"/>
              </w:rPr>
            </w:pPr>
            <w:r w:rsidRPr="00782BF9">
              <w:rPr>
                <w:noProof/>
                <w:lang w:val="bg-BG"/>
              </w:rPr>
              <w:t>Приключване на електрификацията на железопътната линия за отсечка „Сегед-Рьоске — граница на страната“ и свързване на железопътни линии 136 и 140</w:t>
            </w:r>
          </w:p>
        </w:tc>
      </w:tr>
      <w:tr w:rsidR="00CE3BAD" w:rsidRPr="00782BF9" w14:paraId="35DE17DD"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4439120" w14:textId="77777777" w:rsidR="00CE3BAD" w:rsidRPr="00782BF9" w:rsidRDefault="006B5475">
            <w:pPr>
              <w:pStyle w:val="P68B1DB1-Normal29"/>
              <w:spacing w:after="0" w:line="240" w:lineRule="auto"/>
              <w:rPr>
                <w:noProof/>
                <w:lang w:val="bg-BG"/>
              </w:rPr>
            </w:pPr>
            <w:r w:rsidRPr="00782BF9">
              <w:rPr>
                <w:noProof/>
                <w:lang w:val="bg-BG"/>
              </w:rPr>
              <w:t>345</w:t>
            </w:r>
          </w:p>
        </w:tc>
        <w:tc>
          <w:tcPr>
            <w:tcW w:w="3120" w:type="dxa"/>
            <w:tcBorders>
              <w:top w:val="nil"/>
              <w:left w:val="nil"/>
              <w:bottom w:val="single" w:sz="4" w:space="0" w:color="auto"/>
              <w:right w:val="single" w:sz="4" w:space="0" w:color="auto"/>
            </w:tcBorders>
            <w:shd w:val="clear" w:color="000000" w:fill="C6EFCE"/>
            <w:vAlign w:val="center"/>
          </w:tcPr>
          <w:p w14:paraId="5F236964" w14:textId="77777777" w:rsidR="00CE3BAD" w:rsidRPr="00782BF9" w:rsidRDefault="006B5475">
            <w:pPr>
              <w:pStyle w:val="P68B1DB1-Normal29"/>
              <w:spacing w:after="0" w:line="240" w:lineRule="auto"/>
              <w:rPr>
                <w:noProof/>
                <w:lang w:val="bg-BG"/>
              </w:rPr>
            </w:pPr>
            <w:r w:rsidRPr="00782BF9">
              <w:rPr>
                <w:noProof/>
                <w:lang w:val="bg-BG"/>
              </w:rPr>
              <w:t xml:space="preserve"> К10.И9: Електрификация на железопътни участъци</w:t>
            </w:r>
          </w:p>
        </w:tc>
        <w:tc>
          <w:tcPr>
            <w:tcW w:w="1164" w:type="dxa"/>
            <w:tcBorders>
              <w:top w:val="nil"/>
              <w:left w:val="nil"/>
              <w:bottom w:val="single" w:sz="4" w:space="0" w:color="auto"/>
              <w:right w:val="single" w:sz="4" w:space="0" w:color="auto"/>
            </w:tcBorders>
            <w:shd w:val="clear" w:color="000000" w:fill="C6EFCE"/>
            <w:vAlign w:val="center"/>
          </w:tcPr>
          <w:p w14:paraId="6C8F0967"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66899B9" w14:textId="77777777" w:rsidR="00CE3BAD" w:rsidRPr="00782BF9" w:rsidRDefault="006B5475">
            <w:pPr>
              <w:pStyle w:val="P68B1DB1-Normal29"/>
              <w:spacing w:after="0" w:line="240" w:lineRule="auto"/>
              <w:rPr>
                <w:noProof/>
                <w:lang w:val="bg-BG"/>
              </w:rPr>
            </w:pPr>
            <w:r w:rsidRPr="00782BF9">
              <w:rPr>
                <w:noProof/>
                <w:lang w:val="bg-BG"/>
              </w:rPr>
              <w:t xml:space="preserve">Изграждане или реконструкция на електрически подстанции за железопътна мрежа </w:t>
            </w:r>
          </w:p>
        </w:tc>
      </w:tr>
      <w:tr w:rsidR="00CE3BAD" w:rsidRPr="00782BF9" w14:paraId="0F4F645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244641F8" w14:textId="77777777" w:rsidR="00CE3BAD" w:rsidRPr="00782BF9" w:rsidRDefault="006B5475">
            <w:pPr>
              <w:pStyle w:val="P68B1DB1-Normal29"/>
              <w:spacing w:after="0" w:line="240" w:lineRule="auto"/>
              <w:rPr>
                <w:noProof/>
                <w:lang w:val="bg-BG"/>
              </w:rPr>
            </w:pPr>
            <w:r w:rsidRPr="00782BF9">
              <w:rPr>
                <w:noProof/>
                <w:lang w:val="bg-BG"/>
              </w:rPr>
              <w:t>347</w:t>
            </w:r>
          </w:p>
        </w:tc>
        <w:tc>
          <w:tcPr>
            <w:tcW w:w="3120" w:type="dxa"/>
            <w:tcBorders>
              <w:top w:val="nil"/>
              <w:left w:val="nil"/>
              <w:bottom w:val="single" w:sz="4" w:space="0" w:color="auto"/>
              <w:right w:val="single" w:sz="4" w:space="0" w:color="auto"/>
            </w:tcBorders>
            <w:shd w:val="clear" w:color="000000" w:fill="C6EFCE"/>
            <w:vAlign w:val="center"/>
          </w:tcPr>
          <w:p w14:paraId="365D81EA" w14:textId="77777777" w:rsidR="00CE3BAD" w:rsidRPr="00782BF9" w:rsidRDefault="006B5475">
            <w:pPr>
              <w:pStyle w:val="P68B1DB1-Normal29"/>
              <w:spacing w:after="0" w:line="240" w:lineRule="auto"/>
              <w:rPr>
                <w:noProof/>
                <w:lang w:val="bg-BG"/>
              </w:rPr>
            </w:pPr>
            <w:r w:rsidRPr="00782BF9">
              <w:rPr>
                <w:noProof/>
                <w:lang w:val="bg-BG"/>
              </w:rPr>
              <w:t>К10.И10: Насърчаване на навлизането на електрически превозни средства с акумулаторни батерии в частния сектор (BEV)</w:t>
            </w:r>
          </w:p>
        </w:tc>
        <w:tc>
          <w:tcPr>
            <w:tcW w:w="1164" w:type="dxa"/>
            <w:tcBorders>
              <w:top w:val="nil"/>
              <w:left w:val="nil"/>
              <w:bottom w:val="single" w:sz="4" w:space="0" w:color="auto"/>
              <w:right w:val="single" w:sz="4" w:space="0" w:color="auto"/>
            </w:tcBorders>
            <w:shd w:val="clear" w:color="000000" w:fill="C6EFCE"/>
            <w:vAlign w:val="center"/>
          </w:tcPr>
          <w:p w14:paraId="3C4DB80A"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C9A1CCC" w14:textId="77777777" w:rsidR="00CE3BAD" w:rsidRPr="00782BF9" w:rsidRDefault="006B5475">
            <w:pPr>
              <w:pStyle w:val="P68B1DB1-Normal29"/>
              <w:spacing w:after="0" w:line="240" w:lineRule="auto"/>
              <w:rPr>
                <w:noProof/>
                <w:lang w:val="bg-BG"/>
              </w:rPr>
            </w:pPr>
            <w:r w:rsidRPr="00782BF9">
              <w:rPr>
                <w:noProof/>
                <w:lang w:val="bg-BG"/>
              </w:rPr>
              <w:t>Електрически превозни средства, задвижвани с акумулаторни батерии, закупени и пуснати в експлоатация</w:t>
            </w:r>
          </w:p>
        </w:tc>
      </w:tr>
      <w:tr w:rsidR="00CE3BAD" w:rsidRPr="00782BF9" w14:paraId="1C94E24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3C8900D" w14:textId="40DCA5D6" w:rsidR="00CE3BAD" w:rsidRPr="00782BF9" w:rsidRDefault="006B5475">
            <w:pPr>
              <w:pStyle w:val="P68B1DB1-Normal29"/>
              <w:spacing w:after="0" w:line="240" w:lineRule="auto"/>
              <w:rPr>
                <w:noProof/>
                <w:lang w:val="bg-BG"/>
              </w:rPr>
            </w:pPr>
            <w:r w:rsidRPr="00782BF9">
              <w:rPr>
                <w:noProof/>
                <w:lang w:val="bg-BG"/>
              </w:rPr>
              <w:t>349</w:t>
            </w:r>
          </w:p>
        </w:tc>
        <w:tc>
          <w:tcPr>
            <w:tcW w:w="3120" w:type="dxa"/>
            <w:tcBorders>
              <w:top w:val="nil"/>
              <w:left w:val="nil"/>
              <w:bottom w:val="single" w:sz="4" w:space="0" w:color="auto"/>
              <w:right w:val="single" w:sz="4" w:space="0" w:color="auto"/>
            </w:tcBorders>
            <w:shd w:val="clear" w:color="000000" w:fill="C6EFCE"/>
            <w:vAlign w:val="center"/>
          </w:tcPr>
          <w:p w14:paraId="704B42FF" w14:textId="68895140" w:rsidR="00CE3BAD" w:rsidRPr="00782BF9" w:rsidRDefault="006B5475">
            <w:pPr>
              <w:pStyle w:val="P68B1DB1-Normal29"/>
              <w:spacing w:after="0" w:line="240" w:lineRule="auto"/>
              <w:rPr>
                <w:noProof/>
                <w:lang w:val="bg-BG"/>
              </w:rPr>
            </w:pPr>
            <w:r w:rsidRPr="00782BF9">
              <w:rPr>
                <w:noProof/>
                <w:lang w:val="bg-BG"/>
              </w:rPr>
              <w:t>К10.И11: Подкрепа за проучване на геотермална енергия</w:t>
            </w:r>
          </w:p>
        </w:tc>
        <w:tc>
          <w:tcPr>
            <w:tcW w:w="1164" w:type="dxa"/>
            <w:tcBorders>
              <w:top w:val="nil"/>
              <w:left w:val="nil"/>
              <w:bottom w:val="single" w:sz="4" w:space="0" w:color="auto"/>
              <w:right w:val="single" w:sz="4" w:space="0" w:color="auto"/>
            </w:tcBorders>
            <w:shd w:val="clear" w:color="000000" w:fill="C6EFCE"/>
            <w:vAlign w:val="center"/>
          </w:tcPr>
          <w:p w14:paraId="12562FA5" w14:textId="7E7CDF51"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F6E7BED" w14:textId="1DD10A30" w:rsidR="00CE3BAD" w:rsidRPr="00782BF9" w:rsidRDefault="006B5475">
            <w:pPr>
              <w:pStyle w:val="P68B1DB1-Normal29"/>
              <w:spacing w:after="0" w:line="240" w:lineRule="auto"/>
              <w:rPr>
                <w:noProof/>
                <w:lang w:val="bg-BG"/>
              </w:rPr>
            </w:pPr>
            <w:r w:rsidRPr="00782BF9">
              <w:rPr>
                <w:noProof/>
                <w:lang w:val="bg-BG"/>
              </w:rPr>
              <w:t>Брой завършени геотермални проучвателни дейности</w:t>
            </w:r>
          </w:p>
        </w:tc>
      </w:tr>
      <w:tr w:rsidR="00CE3BAD" w:rsidRPr="00782BF9" w14:paraId="18AE7994"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6BA8E73" w14:textId="77777777" w:rsidR="00CE3BAD" w:rsidRPr="00782BF9" w:rsidRDefault="006B5475">
            <w:pPr>
              <w:pStyle w:val="P68B1DB1-Normal29"/>
              <w:spacing w:after="0" w:line="240" w:lineRule="auto"/>
              <w:rPr>
                <w:noProof/>
                <w:lang w:val="bg-BG"/>
              </w:rPr>
            </w:pPr>
            <w:r w:rsidRPr="00782BF9">
              <w:rPr>
                <w:noProof/>
                <w:lang w:val="bg-BG"/>
              </w:rPr>
              <w:t>351</w:t>
            </w:r>
          </w:p>
        </w:tc>
        <w:tc>
          <w:tcPr>
            <w:tcW w:w="3120" w:type="dxa"/>
            <w:tcBorders>
              <w:top w:val="nil"/>
              <w:left w:val="nil"/>
              <w:bottom w:val="single" w:sz="4" w:space="0" w:color="auto"/>
              <w:right w:val="single" w:sz="4" w:space="0" w:color="auto"/>
            </w:tcBorders>
            <w:shd w:val="clear" w:color="000000" w:fill="C6EFCE"/>
            <w:vAlign w:val="center"/>
          </w:tcPr>
          <w:p w14:paraId="0DF78987" w14:textId="77777777" w:rsidR="00CE3BAD" w:rsidRPr="00782BF9" w:rsidRDefault="006B5475">
            <w:pPr>
              <w:pStyle w:val="P68B1DB1-Normal29"/>
              <w:spacing w:after="0" w:line="240" w:lineRule="auto"/>
              <w:rPr>
                <w:noProof/>
                <w:lang w:val="bg-BG"/>
              </w:rPr>
            </w:pPr>
            <w:r w:rsidRPr="00782BF9">
              <w:rPr>
                <w:noProof/>
                <w:lang w:val="bg-BG"/>
              </w:rPr>
              <w:t>К10.И12: Създаване на финансов инструмент за подобряване на енергийната ефективност на дружествата</w:t>
            </w:r>
          </w:p>
        </w:tc>
        <w:tc>
          <w:tcPr>
            <w:tcW w:w="1164" w:type="dxa"/>
            <w:tcBorders>
              <w:top w:val="nil"/>
              <w:left w:val="nil"/>
              <w:bottom w:val="single" w:sz="4" w:space="0" w:color="auto"/>
              <w:right w:val="single" w:sz="4" w:space="0" w:color="auto"/>
            </w:tcBorders>
            <w:shd w:val="clear" w:color="000000" w:fill="C6EFCE"/>
            <w:vAlign w:val="center"/>
          </w:tcPr>
          <w:p w14:paraId="6C63B8E9"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48B9BDAD" w14:textId="77777777" w:rsidR="00CE3BAD" w:rsidRPr="00782BF9" w:rsidRDefault="006B5475">
            <w:pPr>
              <w:pStyle w:val="P68B1DB1-Normal29"/>
              <w:spacing w:after="0" w:line="240" w:lineRule="auto"/>
              <w:rPr>
                <w:noProof/>
                <w:lang w:val="bg-BG"/>
              </w:rPr>
            </w:pPr>
            <w:r w:rsidRPr="00782BF9">
              <w:rPr>
                <w:noProof/>
                <w:lang w:val="bg-BG"/>
              </w:rPr>
              <w:t>Правни споразумения, подписани с крайните бенефициери</w:t>
            </w:r>
          </w:p>
        </w:tc>
      </w:tr>
      <w:tr w:rsidR="00CE3BAD" w:rsidRPr="00782BF9" w14:paraId="2D7F847C"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87AF389" w14:textId="77777777" w:rsidR="00CE3BAD" w:rsidRPr="00782BF9" w:rsidRDefault="006B5475">
            <w:pPr>
              <w:pStyle w:val="P68B1DB1-Normal29"/>
              <w:spacing w:after="0" w:line="240" w:lineRule="auto"/>
              <w:rPr>
                <w:noProof/>
                <w:lang w:val="bg-BG"/>
              </w:rPr>
            </w:pPr>
            <w:r w:rsidRPr="00782BF9">
              <w:rPr>
                <w:noProof/>
                <w:lang w:val="bg-BG"/>
              </w:rPr>
              <w:t>352</w:t>
            </w:r>
          </w:p>
        </w:tc>
        <w:tc>
          <w:tcPr>
            <w:tcW w:w="3120" w:type="dxa"/>
            <w:tcBorders>
              <w:top w:val="nil"/>
              <w:left w:val="nil"/>
              <w:bottom w:val="single" w:sz="4" w:space="0" w:color="auto"/>
              <w:right w:val="single" w:sz="4" w:space="0" w:color="auto"/>
            </w:tcBorders>
            <w:shd w:val="clear" w:color="000000" w:fill="C6EFCE"/>
            <w:vAlign w:val="center"/>
          </w:tcPr>
          <w:p w14:paraId="1FDDC7A2" w14:textId="77777777" w:rsidR="00CE3BAD" w:rsidRPr="00782BF9" w:rsidRDefault="006B5475">
            <w:pPr>
              <w:pStyle w:val="P68B1DB1-Normal29"/>
              <w:spacing w:after="0" w:line="240" w:lineRule="auto"/>
              <w:rPr>
                <w:noProof/>
                <w:lang w:val="bg-BG"/>
              </w:rPr>
            </w:pPr>
            <w:r w:rsidRPr="00782BF9">
              <w:rPr>
                <w:noProof/>
                <w:lang w:val="bg-BG"/>
              </w:rPr>
              <w:t>К10.И12: Създаване на финансов инструмент за подобряване на енергийната ефективност на дружествата</w:t>
            </w:r>
          </w:p>
        </w:tc>
        <w:tc>
          <w:tcPr>
            <w:tcW w:w="1164" w:type="dxa"/>
            <w:tcBorders>
              <w:top w:val="nil"/>
              <w:left w:val="nil"/>
              <w:bottom w:val="single" w:sz="4" w:space="0" w:color="auto"/>
              <w:right w:val="single" w:sz="4" w:space="0" w:color="auto"/>
            </w:tcBorders>
            <w:shd w:val="clear" w:color="000000" w:fill="C6EFCE"/>
            <w:vAlign w:val="center"/>
          </w:tcPr>
          <w:p w14:paraId="1A4044E1"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2E9F39F7" w14:textId="77777777" w:rsidR="00CE3BAD" w:rsidRPr="00782BF9" w:rsidRDefault="006B5475">
            <w:pPr>
              <w:pStyle w:val="P68B1DB1-Normal29"/>
              <w:spacing w:after="0" w:line="240" w:lineRule="auto"/>
              <w:rPr>
                <w:noProof/>
                <w:lang w:val="bg-BG"/>
              </w:rPr>
            </w:pPr>
            <w:r w:rsidRPr="00782BF9">
              <w:rPr>
                <w:noProof/>
                <w:lang w:val="bg-BG"/>
              </w:rPr>
              <w:t>MFB е завършила инвестицията</w:t>
            </w:r>
          </w:p>
        </w:tc>
      </w:tr>
      <w:tr w:rsidR="00CE3BAD" w:rsidRPr="00782BF9" w14:paraId="323CBBC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00A5507" w14:textId="77777777" w:rsidR="00CE3BAD" w:rsidRPr="00782BF9" w:rsidRDefault="006B5475">
            <w:pPr>
              <w:pStyle w:val="P68B1DB1-Normal29"/>
              <w:spacing w:after="0" w:line="240" w:lineRule="auto"/>
              <w:rPr>
                <w:noProof/>
                <w:lang w:val="bg-BG"/>
              </w:rPr>
            </w:pPr>
            <w:r w:rsidRPr="00782BF9">
              <w:rPr>
                <w:noProof/>
                <w:lang w:val="bg-BG"/>
              </w:rPr>
              <w:t>354</w:t>
            </w:r>
          </w:p>
        </w:tc>
        <w:tc>
          <w:tcPr>
            <w:tcW w:w="3120" w:type="dxa"/>
            <w:tcBorders>
              <w:top w:val="nil"/>
              <w:left w:val="nil"/>
              <w:bottom w:val="single" w:sz="4" w:space="0" w:color="auto"/>
              <w:right w:val="single" w:sz="4" w:space="0" w:color="auto"/>
            </w:tcBorders>
            <w:shd w:val="clear" w:color="000000" w:fill="C6EFCE"/>
            <w:vAlign w:val="center"/>
          </w:tcPr>
          <w:p w14:paraId="776CA80F" w14:textId="77777777" w:rsidR="00CE3BAD" w:rsidRPr="00782BF9" w:rsidRDefault="006B5475">
            <w:pPr>
              <w:pStyle w:val="P68B1DB1-Normal29"/>
              <w:spacing w:after="0" w:line="240" w:lineRule="auto"/>
              <w:rPr>
                <w:noProof/>
                <w:lang w:val="bg-BG"/>
              </w:rPr>
            </w:pPr>
            <w:r w:rsidRPr="00782BF9">
              <w:rPr>
                <w:noProof/>
                <w:lang w:val="bg-BG"/>
              </w:rPr>
              <w:t>К10.И13: Създаване на финансов инструмент за подобряване на енергийната ефективност на жилищните сгради и справяне с енергийната бедност</w:t>
            </w:r>
          </w:p>
        </w:tc>
        <w:tc>
          <w:tcPr>
            <w:tcW w:w="1164" w:type="dxa"/>
            <w:tcBorders>
              <w:top w:val="nil"/>
              <w:left w:val="nil"/>
              <w:bottom w:val="single" w:sz="4" w:space="0" w:color="auto"/>
              <w:right w:val="single" w:sz="4" w:space="0" w:color="auto"/>
            </w:tcBorders>
            <w:shd w:val="clear" w:color="000000" w:fill="C6EFCE"/>
            <w:vAlign w:val="center"/>
          </w:tcPr>
          <w:p w14:paraId="1E784256"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06958C87" w14:textId="77777777" w:rsidR="00CE3BAD" w:rsidRPr="00782BF9" w:rsidRDefault="006B5475">
            <w:pPr>
              <w:pStyle w:val="P68B1DB1-Normal29"/>
              <w:spacing w:after="0" w:line="240" w:lineRule="auto"/>
              <w:rPr>
                <w:noProof/>
                <w:lang w:val="bg-BG"/>
              </w:rPr>
            </w:pPr>
            <w:r w:rsidRPr="00782BF9">
              <w:rPr>
                <w:noProof/>
                <w:lang w:val="bg-BG"/>
              </w:rPr>
              <w:t>Правни споразумения, подписани с крайните бенефициери</w:t>
            </w:r>
          </w:p>
        </w:tc>
      </w:tr>
      <w:tr w:rsidR="00CE3BAD" w:rsidRPr="00782BF9" w14:paraId="3914818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5EFBDB77" w14:textId="77777777" w:rsidR="00CE3BAD" w:rsidRPr="00782BF9" w:rsidRDefault="006B5475">
            <w:pPr>
              <w:pStyle w:val="P68B1DB1-Normal29"/>
              <w:spacing w:after="0" w:line="240" w:lineRule="auto"/>
              <w:rPr>
                <w:noProof/>
                <w:lang w:val="bg-BG"/>
              </w:rPr>
            </w:pPr>
            <w:r w:rsidRPr="00782BF9">
              <w:rPr>
                <w:noProof/>
                <w:lang w:val="bg-BG"/>
              </w:rPr>
              <w:t>355</w:t>
            </w:r>
          </w:p>
        </w:tc>
        <w:tc>
          <w:tcPr>
            <w:tcW w:w="3120" w:type="dxa"/>
            <w:tcBorders>
              <w:top w:val="nil"/>
              <w:left w:val="nil"/>
              <w:bottom w:val="single" w:sz="4" w:space="0" w:color="auto"/>
              <w:right w:val="single" w:sz="4" w:space="0" w:color="auto"/>
            </w:tcBorders>
            <w:shd w:val="clear" w:color="000000" w:fill="C6EFCE"/>
            <w:vAlign w:val="center"/>
          </w:tcPr>
          <w:p w14:paraId="7F1F43D6" w14:textId="77777777" w:rsidR="00CE3BAD" w:rsidRPr="00782BF9" w:rsidRDefault="006B5475">
            <w:pPr>
              <w:pStyle w:val="P68B1DB1-Normal29"/>
              <w:spacing w:after="0" w:line="240" w:lineRule="auto"/>
              <w:rPr>
                <w:noProof/>
                <w:lang w:val="bg-BG"/>
              </w:rPr>
            </w:pPr>
            <w:r w:rsidRPr="00782BF9">
              <w:rPr>
                <w:noProof/>
                <w:lang w:val="bg-BG"/>
              </w:rPr>
              <w:t>К10.И13: Създаване на финансов инструмент за подобряване на енергийната ефективност на жилищните сгради и справяне с енергийната бедност</w:t>
            </w:r>
          </w:p>
        </w:tc>
        <w:tc>
          <w:tcPr>
            <w:tcW w:w="1164" w:type="dxa"/>
            <w:tcBorders>
              <w:top w:val="nil"/>
              <w:left w:val="nil"/>
              <w:bottom w:val="single" w:sz="4" w:space="0" w:color="auto"/>
              <w:right w:val="single" w:sz="4" w:space="0" w:color="auto"/>
            </w:tcBorders>
            <w:shd w:val="clear" w:color="000000" w:fill="C6EFCE"/>
            <w:vAlign w:val="center"/>
          </w:tcPr>
          <w:p w14:paraId="6D7A6040"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0ACB6CAB" w14:textId="77777777" w:rsidR="00CE3BAD" w:rsidRPr="00782BF9" w:rsidRDefault="006B5475">
            <w:pPr>
              <w:pStyle w:val="P68B1DB1-Normal29"/>
              <w:spacing w:after="0" w:line="240" w:lineRule="auto"/>
              <w:rPr>
                <w:noProof/>
                <w:lang w:val="bg-BG"/>
              </w:rPr>
            </w:pPr>
            <w:r w:rsidRPr="00782BF9">
              <w:rPr>
                <w:noProof/>
                <w:lang w:val="bg-BG"/>
              </w:rPr>
              <w:t>MFB е завършила инвестицията</w:t>
            </w:r>
          </w:p>
        </w:tc>
      </w:tr>
      <w:tr w:rsidR="00CE3BAD" w:rsidRPr="00782BF9" w14:paraId="16BE1F3E"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62B94A91" w14:textId="77777777" w:rsidR="00CE3BAD" w:rsidRPr="00782BF9" w:rsidRDefault="006B5475">
            <w:pPr>
              <w:pStyle w:val="P68B1DB1-Normal29"/>
              <w:spacing w:after="0" w:line="240" w:lineRule="auto"/>
              <w:rPr>
                <w:noProof/>
                <w:lang w:val="bg-BG"/>
              </w:rPr>
            </w:pPr>
            <w:r w:rsidRPr="00782BF9">
              <w:rPr>
                <w:noProof/>
                <w:lang w:val="bg-BG"/>
              </w:rPr>
              <w:t>357</w:t>
            </w:r>
          </w:p>
        </w:tc>
        <w:tc>
          <w:tcPr>
            <w:tcW w:w="3120" w:type="dxa"/>
            <w:tcBorders>
              <w:top w:val="nil"/>
              <w:left w:val="nil"/>
              <w:bottom w:val="single" w:sz="4" w:space="0" w:color="auto"/>
              <w:right w:val="single" w:sz="4" w:space="0" w:color="auto"/>
            </w:tcBorders>
            <w:shd w:val="clear" w:color="000000" w:fill="C6EFCE"/>
            <w:vAlign w:val="center"/>
          </w:tcPr>
          <w:p w14:paraId="796E7D8E" w14:textId="77777777" w:rsidR="00CE3BAD" w:rsidRPr="00782BF9" w:rsidRDefault="006B5475">
            <w:pPr>
              <w:pStyle w:val="P68B1DB1-Normal29"/>
              <w:spacing w:after="0" w:line="240" w:lineRule="auto"/>
              <w:rPr>
                <w:noProof/>
                <w:lang w:val="bg-BG"/>
              </w:rPr>
            </w:pPr>
            <w:r w:rsidRPr="00782BF9">
              <w:rPr>
                <w:noProof/>
                <w:lang w:val="bg-BG"/>
              </w:rPr>
              <w:t>К10.И14: Създаване на финансов инструмент за увеличаване на разгръщането на зарядни станции за електрически превозни средства (ЕПС)</w:t>
            </w:r>
          </w:p>
        </w:tc>
        <w:tc>
          <w:tcPr>
            <w:tcW w:w="1164" w:type="dxa"/>
            <w:tcBorders>
              <w:top w:val="nil"/>
              <w:left w:val="nil"/>
              <w:bottom w:val="single" w:sz="4" w:space="0" w:color="auto"/>
              <w:right w:val="single" w:sz="4" w:space="0" w:color="auto"/>
            </w:tcBorders>
            <w:shd w:val="clear" w:color="000000" w:fill="C6EFCE"/>
            <w:vAlign w:val="center"/>
          </w:tcPr>
          <w:p w14:paraId="1ED3AB78"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3965F03D" w14:textId="77777777" w:rsidR="00CE3BAD" w:rsidRPr="00782BF9" w:rsidRDefault="006B5475">
            <w:pPr>
              <w:pStyle w:val="P68B1DB1-Normal29"/>
              <w:spacing w:after="0" w:line="240" w:lineRule="auto"/>
              <w:rPr>
                <w:noProof/>
                <w:lang w:val="bg-BG"/>
              </w:rPr>
            </w:pPr>
            <w:r w:rsidRPr="00782BF9">
              <w:rPr>
                <w:noProof/>
                <w:lang w:val="bg-BG"/>
              </w:rPr>
              <w:t>Правни споразумения, подписани с крайните бенефициери</w:t>
            </w:r>
          </w:p>
        </w:tc>
      </w:tr>
      <w:tr w:rsidR="00CE3BAD" w:rsidRPr="00782BF9" w14:paraId="22830E70"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6C14127" w14:textId="77777777" w:rsidR="00CE3BAD" w:rsidRPr="00782BF9" w:rsidRDefault="006B5475">
            <w:pPr>
              <w:pStyle w:val="P68B1DB1-Normal29"/>
              <w:spacing w:after="0" w:line="240" w:lineRule="auto"/>
              <w:rPr>
                <w:noProof/>
                <w:lang w:val="bg-BG"/>
              </w:rPr>
            </w:pPr>
            <w:r w:rsidRPr="00782BF9">
              <w:rPr>
                <w:noProof/>
                <w:lang w:val="bg-BG"/>
              </w:rPr>
              <w:t>358</w:t>
            </w:r>
          </w:p>
        </w:tc>
        <w:tc>
          <w:tcPr>
            <w:tcW w:w="3120" w:type="dxa"/>
            <w:tcBorders>
              <w:top w:val="nil"/>
              <w:left w:val="nil"/>
              <w:bottom w:val="single" w:sz="4" w:space="0" w:color="auto"/>
              <w:right w:val="single" w:sz="4" w:space="0" w:color="auto"/>
            </w:tcBorders>
            <w:shd w:val="clear" w:color="000000" w:fill="C6EFCE"/>
            <w:vAlign w:val="center"/>
          </w:tcPr>
          <w:p w14:paraId="0EED2E6B" w14:textId="77777777" w:rsidR="00CE3BAD" w:rsidRPr="00782BF9" w:rsidRDefault="006B5475">
            <w:pPr>
              <w:pStyle w:val="P68B1DB1-Normal29"/>
              <w:spacing w:after="0" w:line="240" w:lineRule="auto"/>
              <w:rPr>
                <w:noProof/>
                <w:lang w:val="bg-BG"/>
              </w:rPr>
            </w:pPr>
            <w:r w:rsidRPr="00782BF9">
              <w:rPr>
                <w:noProof/>
                <w:lang w:val="bg-BG"/>
              </w:rPr>
              <w:t>К10.И14: Създаване на финансов инструмент за увеличаване на разгръщането на зарядни станции за електрически превозни средства (ЕПС)</w:t>
            </w:r>
          </w:p>
        </w:tc>
        <w:tc>
          <w:tcPr>
            <w:tcW w:w="1164" w:type="dxa"/>
            <w:tcBorders>
              <w:top w:val="nil"/>
              <w:left w:val="nil"/>
              <w:bottom w:val="single" w:sz="4" w:space="0" w:color="auto"/>
              <w:right w:val="single" w:sz="4" w:space="0" w:color="auto"/>
            </w:tcBorders>
            <w:shd w:val="clear" w:color="000000" w:fill="C6EFCE"/>
            <w:vAlign w:val="center"/>
          </w:tcPr>
          <w:p w14:paraId="3C1A69A8"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5C542101" w14:textId="77777777" w:rsidR="00CE3BAD" w:rsidRPr="00782BF9" w:rsidRDefault="006B5475">
            <w:pPr>
              <w:pStyle w:val="P68B1DB1-Normal29"/>
              <w:spacing w:after="0" w:line="240" w:lineRule="auto"/>
              <w:rPr>
                <w:noProof/>
                <w:lang w:val="bg-BG"/>
              </w:rPr>
            </w:pPr>
            <w:r w:rsidRPr="00782BF9">
              <w:rPr>
                <w:noProof/>
                <w:lang w:val="bg-BG"/>
              </w:rPr>
              <w:t>MFB е завършила инвестицията</w:t>
            </w:r>
          </w:p>
        </w:tc>
      </w:tr>
      <w:tr w:rsidR="00CE3BAD" w:rsidRPr="00782BF9" w14:paraId="5BCAAAB3"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18CDA7D2" w14:textId="77777777" w:rsidR="00CE3BAD" w:rsidRPr="00782BF9" w:rsidRDefault="006B5475">
            <w:pPr>
              <w:pStyle w:val="P68B1DB1-Normal29"/>
              <w:spacing w:after="0" w:line="240" w:lineRule="auto"/>
              <w:rPr>
                <w:noProof/>
                <w:lang w:val="bg-BG"/>
              </w:rPr>
            </w:pPr>
            <w:r w:rsidRPr="00782BF9">
              <w:rPr>
                <w:noProof/>
                <w:lang w:val="bg-BG"/>
              </w:rPr>
              <w:t>360</w:t>
            </w:r>
          </w:p>
        </w:tc>
        <w:tc>
          <w:tcPr>
            <w:tcW w:w="3120" w:type="dxa"/>
            <w:tcBorders>
              <w:top w:val="nil"/>
              <w:left w:val="nil"/>
              <w:bottom w:val="single" w:sz="4" w:space="0" w:color="auto"/>
              <w:right w:val="single" w:sz="4" w:space="0" w:color="auto"/>
            </w:tcBorders>
            <w:shd w:val="clear" w:color="000000" w:fill="C6EFCE"/>
            <w:vAlign w:val="center"/>
          </w:tcPr>
          <w:p w14:paraId="24ABE18E" w14:textId="77777777" w:rsidR="00CE3BAD" w:rsidRPr="00782BF9" w:rsidRDefault="006B5475">
            <w:pPr>
              <w:pStyle w:val="P68B1DB1-Normal29"/>
              <w:spacing w:after="0" w:line="240" w:lineRule="auto"/>
              <w:rPr>
                <w:noProof/>
                <w:lang w:val="bg-BG"/>
              </w:rPr>
            </w:pPr>
            <w:r w:rsidRPr="00782BF9">
              <w:rPr>
                <w:noProof/>
                <w:lang w:val="bg-BG"/>
              </w:rPr>
              <w:t>К10.И15: Създаване на финансов инструмент за подпомагане на закупуването на задвижвани с акумулаторни батерии електрически превозни средства от доставчиците на автомобилни паркове</w:t>
            </w:r>
          </w:p>
        </w:tc>
        <w:tc>
          <w:tcPr>
            <w:tcW w:w="1164" w:type="dxa"/>
            <w:tcBorders>
              <w:top w:val="nil"/>
              <w:left w:val="nil"/>
              <w:bottom w:val="single" w:sz="4" w:space="0" w:color="auto"/>
              <w:right w:val="single" w:sz="4" w:space="0" w:color="auto"/>
            </w:tcBorders>
            <w:shd w:val="clear" w:color="000000" w:fill="C6EFCE"/>
            <w:vAlign w:val="center"/>
          </w:tcPr>
          <w:p w14:paraId="70F8DC40"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16267106" w14:textId="77777777" w:rsidR="00CE3BAD" w:rsidRPr="00782BF9" w:rsidRDefault="006B5475">
            <w:pPr>
              <w:pStyle w:val="P68B1DB1-Normal29"/>
              <w:spacing w:after="0" w:line="240" w:lineRule="auto"/>
              <w:rPr>
                <w:noProof/>
                <w:lang w:val="bg-BG"/>
              </w:rPr>
            </w:pPr>
            <w:r w:rsidRPr="00782BF9">
              <w:rPr>
                <w:noProof/>
                <w:lang w:val="bg-BG"/>
              </w:rPr>
              <w:t>Правни споразумения, подписани с крайните бенефициери</w:t>
            </w:r>
          </w:p>
        </w:tc>
      </w:tr>
      <w:tr w:rsidR="00CE3BAD" w:rsidRPr="00782BF9" w14:paraId="5E1DBB7B"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090385B9" w14:textId="77777777" w:rsidR="00CE3BAD" w:rsidRPr="00782BF9" w:rsidRDefault="006B5475">
            <w:pPr>
              <w:pStyle w:val="P68B1DB1-Normal29"/>
              <w:spacing w:after="0" w:line="240" w:lineRule="auto"/>
              <w:rPr>
                <w:noProof/>
                <w:lang w:val="bg-BG"/>
              </w:rPr>
            </w:pPr>
            <w:r w:rsidRPr="00782BF9">
              <w:rPr>
                <w:noProof/>
                <w:lang w:val="bg-BG"/>
              </w:rPr>
              <w:t>361</w:t>
            </w:r>
          </w:p>
        </w:tc>
        <w:tc>
          <w:tcPr>
            <w:tcW w:w="3120" w:type="dxa"/>
            <w:tcBorders>
              <w:top w:val="nil"/>
              <w:left w:val="nil"/>
              <w:bottom w:val="single" w:sz="4" w:space="0" w:color="auto"/>
              <w:right w:val="single" w:sz="4" w:space="0" w:color="auto"/>
            </w:tcBorders>
            <w:shd w:val="clear" w:color="000000" w:fill="C6EFCE"/>
            <w:vAlign w:val="center"/>
          </w:tcPr>
          <w:p w14:paraId="672DC4E0" w14:textId="77777777" w:rsidR="00CE3BAD" w:rsidRPr="00782BF9" w:rsidRDefault="006B5475">
            <w:pPr>
              <w:pStyle w:val="P68B1DB1-Normal29"/>
              <w:spacing w:after="0" w:line="240" w:lineRule="auto"/>
              <w:rPr>
                <w:noProof/>
                <w:lang w:val="bg-BG"/>
              </w:rPr>
            </w:pPr>
            <w:r w:rsidRPr="00782BF9">
              <w:rPr>
                <w:noProof/>
                <w:lang w:val="bg-BG"/>
              </w:rPr>
              <w:t>К10.И15: Създаване на финансов инструмент за подпомагане на закупуването на задвижвани с акумулаторни батерии електрически превозни средства от доставчиците на автомобилни паркове</w:t>
            </w:r>
          </w:p>
        </w:tc>
        <w:tc>
          <w:tcPr>
            <w:tcW w:w="1164" w:type="dxa"/>
            <w:tcBorders>
              <w:top w:val="nil"/>
              <w:left w:val="nil"/>
              <w:bottom w:val="single" w:sz="4" w:space="0" w:color="auto"/>
              <w:right w:val="single" w:sz="4" w:space="0" w:color="auto"/>
            </w:tcBorders>
            <w:shd w:val="clear" w:color="000000" w:fill="C6EFCE"/>
            <w:vAlign w:val="center"/>
          </w:tcPr>
          <w:p w14:paraId="61E6A7D4"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68C163C7" w14:textId="77777777" w:rsidR="00CE3BAD" w:rsidRPr="00782BF9" w:rsidRDefault="006B5475">
            <w:pPr>
              <w:pStyle w:val="P68B1DB1-Normal29"/>
              <w:spacing w:after="0" w:line="240" w:lineRule="auto"/>
              <w:rPr>
                <w:noProof/>
                <w:lang w:val="bg-BG"/>
              </w:rPr>
            </w:pPr>
            <w:r w:rsidRPr="00782BF9">
              <w:rPr>
                <w:noProof/>
                <w:lang w:val="bg-BG"/>
              </w:rPr>
              <w:t>MFB е завършила инвестицията</w:t>
            </w:r>
          </w:p>
        </w:tc>
      </w:tr>
      <w:tr w:rsidR="00CE3BAD" w:rsidRPr="00782BF9" w14:paraId="2F8AC3F2"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35AE56FE" w14:textId="77777777" w:rsidR="00CE3BAD" w:rsidRPr="00782BF9" w:rsidRDefault="006B5475">
            <w:pPr>
              <w:pStyle w:val="P68B1DB1-Normal29"/>
              <w:spacing w:after="0" w:line="240" w:lineRule="auto"/>
              <w:rPr>
                <w:noProof/>
                <w:lang w:val="bg-BG"/>
              </w:rPr>
            </w:pPr>
            <w:r w:rsidRPr="00782BF9">
              <w:rPr>
                <w:noProof/>
                <w:lang w:val="bg-BG"/>
              </w:rPr>
              <w:t>363</w:t>
            </w:r>
          </w:p>
        </w:tc>
        <w:tc>
          <w:tcPr>
            <w:tcW w:w="3120" w:type="dxa"/>
            <w:tcBorders>
              <w:top w:val="nil"/>
              <w:left w:val="nil"/>
              <w:bottom w:val="single" w:sz="4" w:space="0" w:color="auto"/>
              <w:right w:val="single" w:sz="4" w:space="0" w:color="auto"/>
            </w:tcBorders>
            <w:shd w:val="clear" w:color="000000" w:fill="C6EFCE"/>
            <w:vAlign w:val="center"/>
          </w:tcPr>
          <w:p w14:paraId="7C4C2B08" w14:textId="77777777" w:rsidR="00CE3BAD" w:rsidRPr="00782BF9" w:rsidRDefault="006B5475">
            <w:pPr>
              <w:pStyle w:val="P68B1DB1-Normal29"/>
              <w:spacing w:after="0" w:line="240" w:lineRule="auto"/>
              <w:rPr>
                <w:noProof/>
                <w:lang w:val="bg-BG"/>
              </w:rPr>
            </w:pPr>
            <w:r w:rsidRPr="00782BF9">
              <w:rPr>
                <w:noProof/>
                <w:lang w:val="bg-BG"/>
              </w:rPr>
              <w:t>К10.И16: Създаване на финансов инструмент за подпомагане на проучванията и експлоатацията на геотермална енергия</w:t>
            </w:r>
          </w:p>
        </w:tc>
        <w:tc>
          <w:tcPr>
            <w:tcW w:w="1164" w:type="dxa"/>
            <w:tcBorders>
              <w:top w:val="nil"/>
              <w:left w:val="nil"/>
              <w:bottom w:val="single" w:sz="4" w:space="0" w:color="auto"/>
              <w:right w:val="single" w:sz="4" w:space="0" w:color="auto"/>
            </w:tcBorders>
            <w:shd w:val="clear" w:color="000000" w:fill="C6EFCE"/>
            <w:vAlign w:val="center"/>
          </w:tcPr>
          <w:p w14:paraId="111BCD2B" w14:textId="77777777" w:rsidR="00CE3BAD" w:rsidRPr="00782BF9" w:rsidRDefault="006B5475">
            <w:pPr>
              <w:pStyle w:val="P68B1DB1-Normal29"/>
              <w:spacing w:after="0" w:line="240" w:lineRule="auto"/>
              <w:rPr>
                <w:noProof/>
                <w:lang w:val="bg-BG"/>
              </w:rPr>
            </w:pPr>
            <w:r w:rsidRPr="00782BF9">
              <w:rPr>
                <w:noProof/>
                <w:lang w:val="bg-BG"/>
              </w:rPr>
              <w:t>Целеви</w:t>
            </w:r>
          </w:p>
        </w:tc>
        <w:tc>
          <w:tcPr>
            <w:tcW w:w="3781" w:type="dxa"/>
            <w:tcBorders>
              <w:top w:val="nil"/>
              <w:left w:val="nil"/>
              <w:bottom w:val="single" w:sz="4" w:space="0" w:color="auto"/>
              <w:right w:val="single" w:sz="4" w:space="0" w:color="auto"/>
            </w:tcBorders>
            <w:shd w:val="clear" w:color="000000" w:fill="C6EFCE"/>
            <w:vAlign w:val="center"/>
          </w:tcPr>
          <w:p w14:paraId="729A9674" w14:textId="77777777" w:rsidR="00CE3BAD" w:rsidRPr="00782BF9" w:rsidRDefault="006B5475">
            <w:pPr>
              <w:pStyle w:val="P68B1DB1-Normal29"/>
              <w:spacing w:after="0" w:line="240" w:lineRule="auto"/>
              <w:rPr>
                <w:noProof/>
                <w:lang w:val="bg-BG"/>
              </w:rPr>
            </w:pPr>
            <w:r w:rsidRPr="00782BF9">
              <w:rPr>
                <w:noProof/>
                <w:lang w:val="bg-BG"/>
              </w:rPr>
              <w:t>Правни споразумения, подписани с крайните бенефициери</w:t>
            </w:r>
          </w:p>
        </w:tc>
      </w:tr>
      <w:tr w:rsidR="00CE3BAD" w:rsidRPr="00782BF9" w14:paraId="5EA60CB6" w14:textId="77777777">
        <w:tblPrEx>
          <w:tblCellMar>
            <w:top w:w="0" w:type="dxa"/>
          </w:tblCellMar>
        </w:tblPrEx>
        <w:trPr>
          <w:trHeight w:val="460"/>
        </w:trPr>
        <w:tc>
          <w:tcPr>
            <w:tcW w:w="1238" w:type="dxa"/>
            <w:tcBorders>
              <w:top w:val="nil"/>
              <w:left w:val="single" w:sz="4" w:space="0" w:color="auto"/>
              <w:bottom w:val="single" w:sz="4" w:space="0" w:color="auto"/>
              <w:right w:val="single" w:sz="4" w:space="0" w:color="auto"/>
            </w:tcBorders>
            <w:shd w:val="clear" w:color="000000" w:fill="C6EFCE"/>
            <w:vAlign w:val="center"/>
          </w:tcPr>
          <w:p w14:paraId="798BF2A7" w14:textId="77777777" w:rsidR="00CE3BAD" w:rsidRPr="00782BF9" w:rsidRDefault="006B5475">
            <w:pPr>
              <w:pStyle w:val="P68B1DB1-Normal29"/>
              <w:spacing w:after="0" w:line="240" w:lineRule="auto"/>
              <w:rPr>
                <w:noProof/>
                <w:lang w:val="bg-BG"/>
              </w:rPr>
            </w:pPr>
            <w:r w:rsidRPr="00782BF9">
              <w:rPr>
                <w:noProof/>
                <w:lang w:val="bg-BG"/>
              </w:rPr>
              <w:t>364</w:t>
            </w:r>
          </w:p>
        </w:tc>
        <w:tc>
          <w:tcPr>
            <w:tcW w:w="3120" w:type="dxa"/>
            <w:tcBorders>
              <w:top w:val="nil"/>
              <w:left w:val="nil"/>
              <w:bottom w:val="single" w:sz="4" w:space="0" w:color="auto"/>
              <w:right w:val="single" w:sz="4" w:space="0" w:color="auto"/>
            </w:tcBorders>
            <w:shd w:val="clear" w:color="000000" w:fill="C6EFCE"/>
            <w:vAlign w:val="center"/>
          </w:tcPr>
          <w:p w14:paraId="08E8E569" w14:textId="77777777" w:rsidR="00CE3BAD" w:rsidRPr="00782BF9" w:rsidRDefault="006B5475">
            <w:pPr>
              <w:pStyle w:val="P68B1DB1-Normal29"/>
              <w:spacing w:after="0" w:line="240" w:lineRule="auto"/>
              <w:rPr>
                <w:noProof/>
                <w:lang w:val="bg-BG"/>
              </w:rPr>
            </w:pPr>
            <w:r w:rsidRPr="00782BF9">
              <w:rPr>
                <w:noProof/>
                <w:lang w:val="bg-BG"/>
              </w:rPr>
              <w:t>К10.И16: Създаване на финансов инструмент за подпомагане на проучванията и експлоатацията на геотермална енергия</w:t>
            </w:r>
          </w:p>
        </w:tc>
        <w:tc>
          <w:tcPr>
            <w:tcW w:w="1164" w:type="dxa"/>
            <w:tcBorders>
              <w:top w:val="nil"/>
              <w:left w:val="nil"/>
              <w:bottom w:val="single" w:sz="4" w:space="0" w:color="auto"/>
              <w:right w:val="single" w:sz="4" w:space="0" w:color="auto"/>
            </w:tcBorders>
            <w:shd w:val="clear" w:color="000000" w:fill="C6EFCE"/>
            <w:vAlign w:val="center"/>
          </w:tcPr>
          <w:p w14:paraId="69B5A09E" w14:textId="77777777" w:rsidR="00CE3BAD" w:rsidRPr="00782BF9" w:rsidRDefault="006B5475">
            <w:pPr>
              <w:pStyle w:val="P68B1DB1-Normal29"/>
              <w:spacing w:after="0" w:line="240" w:lineRule="auto"/>
              <w:rPr>
                <w:noProof/>
                <w:lang w:val="bg-BG"/>
              </w:rPr>
            </w:pPr>
            <w:r w:rsidRPr="00782BF9">
              <w:rPr>
                <w:noProof/>
                <w:lang w:val="bg-BG"/>
              </w:rPr>
              <w:t>Ключов етап</w:t>
            </w:r>
          </w:p>
        </w:tc>
        <w:tc>
          <w:tcPr>
            <w:tcW w:w="3781" w:type="dxa"/>
            <w:tcBorders>
              <w:top w:val="nil"/>
              <w:left w:val="nil"/>
              <w:bottom w:val="single" w:sz="4" w:space="0" w:color="auto"/>
              <w:right w:val="single" w:sz="4" w:space="0" w:color="auto"/>
            </w:tcBorders>
            <w:shd w:val="clear" w:color="000000" w:fill="C6EFCE"/>
            <w:vAlign w:val="center"/>
          </w:tcPr>
          <w:p w14:paraId="77DFC56E" w14:textId="77777777" w:rsidR="00CE3BAD" w:rsidRPr="00782BF9" w:rsidRDefault="006B5475">
            <w:pPr>
              <w:pStyle w:val="P68B1DB1-Normal29"/>
              <w:spacing w:after="0" w:line="240" w:lineRule="auto"/>
              <w:rPr>
                <w:noProof/>
                <w:lang w:val="bg-BG"/>
              </w:rPr>
            </w:pPr>
            <w:r w:rsidRPr="00782BF9">
              <w:rPr>
                <w:noProof/>
                <w:lang w:val="bg-BG"/>
              </w:rPr>
              <w:t>MFB е завършила инвестицията</w:t>
            </w:r>
          </w:p>
        </w:tc>
      </w:tr>
      <w:tr w:rsidR="00CE3BAD" w:rsidRPr="00782BF9" w14:paraId="15CED619" w14:textId="77777777">
        <w:tblPrEx>
          <w:tblCellMar>
            <w:top w:w="0" w:type="dxa"/>
          </w:tblCellMar>
        </w:tblPrEx>
        <w:trPr>
          <w:trHeight w:val="460"/>
        </w:trPr>
        <w:tc>
          <w:tcPr>
            <w:tcW w:w="5522" w:type="dxa"/>
            <w:gridSpan w:val="3"/>
            <w:tcBorders>
              <w:top w:val="nil"/>
              <w:left w:val="single" w:sz="4" w:space="0" w:color="auto"/>
              <w:bottom w:val="single" w:sz="4" w:space="0" w:color="auto"/>
              <w:right w:val="single" w:sz="4" w:space="0" w:color="auto"/>
            </w:tcBorders>
            <w:shd w:val="clear" w:color="000000" w:fill="C6EFCE"/>
            <w:vAlign w:val="center"/>
          </w:tcPr>
          <w:p w14:paraId="234296C8" w14:textId="77777777" w:rsidR="00CE3BAD" w:rsidRPr="00782BF9" w:rsidRDefault="006B5475">
            <w:pPr>
              <w:pStyle w:val="P68B1DB1-Normal29"/>
              <w:spacing w:after="0" w:line="240" w:lineRule="auto"/>
              <w:jc w:val="center"/>
              <w:rPr>
                <w:noProof/>
                <w:lang w:val="bg-BG"/>
              </w:rPr>
            </w:pPr>
            <w:r w:rsidRPr="00782BF9">
              <w:rPr>
                <w:noProof/>
                <w:lang w:val="bg-BG"/>
              </w:rPr>
              <w:t>Размер на вноската</w:t>
            </w:r>
          </w:p>
        </w:tc>
        <w:tc>
          <w:tcPr>
            <w:tcW w:w="3781" w:type="dxa"/>
            <w:tcBorders>
              <w:top w:val="nil"/>
              <w:left w:val="nil"/>
              <w:bottom w:val="single" w:sz="4" w:space="0" w:color="auto"/>
              <w:right w:val="single" w:sz="4" w:space="0" w:color="auto"/>
            </w:tcBorders>
            <w:shd w:val="clear" w:color="000000" w:fill="C6EFCE"/>
            <w:vAlign w:val="center"/>
          </w:tcPr>
          <w:p w14:paraId="4C9F4960" w14:textId="77777777" w:rsidR="00CE3BAD" w:rsidRPr="00782BF9" w:rsidRDefault="006B5475">
            <w:pPr>
              <w:pStyle w:val="P68B1DB1-Normal29"/>
              <w:spacing w:after="0" w:line="240" w:lineRule="auto"/>
              <w:jc w:val="center"/>
              <w:rPr>
                <w:noProof/>
                <w:lang w:val="bg-BG"/>
              </w:rPr>
            </w:pPr>
            <w:r w:rsidRPr="00782BF9">
              <w:rPr>
                <w:noProof/>
                <w:lang w:val="bg-BG"/>
              </w:rPr>
              <w:t>1 371 413 481 EUR</w:t>
            </w:r>
          </w:p>
        </w:tc>
      </w:tr>
    </w:tbl>
    <w:p w14:paraId="3AF837FA" w14:textId="77777777" w:rsidR="00CE3BAD" w:rsidRPr="00782BF9" w:rsidRDefault="00CE3BAD">
      <w:pPr>
        <w:spacing w:after="160" w:line="259" w:lineRule="auto"/>
        <w:rPr>
          <w:rFonts w:ascii="Times New Roman" w:hAnsi="Times New Roman"/>
          <w:b/>
          <w:noProof/>
          <w:sz w:val="24"/>
          <w:lang w:val="bg-BG"/>
        </w:rPr>
      </w:pPr>
    </w:p>
    <w:p w14:paraId="1450C78A" w14:textId="77777777" w:rsidR="00CE3BAD" w:rsidRPr="00782BF9" w:rsidRDefault="006B5475">
      <w:pPr>
        <w:spacing w:after="160" w:line="259" w:lineRule="auto"/>
        <w:rPr>
          <w:rFonts w:ascii="Times New Roman" w:hAnsi="Times New Roman"/>
          <w:b/>
          <w:noProof/>
          <w:sz w:val="24"/>
          <w:lang w:val="bg-BG"/>
        </w:rPr>
      </w:pPr>
      <w:r w:rsidRPr="00782BF9">
        <w:rPr>
          <w:noProof/>
          <w:lang w:val="bg-BG"/>
        </w:rPr>
        <w:br w:type="page"/>
      </w:r>
    </w:p>
    <w:p w14:paraId="2BD13299" w14:textId="06E4D875" w:rsidR="00CE3BAD" w:rsidRPr="00782BF9" w:rsidRDefault="006B5475">
      <w:pPr>
        <w:pStyle w:val="P68B1DB1-Normal2"/>
        <w:spacing w:after="0" w:line="240" w:lineRule="auto"/>
        <w:textAlignment w:val="baseline"/>
        <w:rPr>
          <w:rFonts w:eastAsia="Times New Roman" w:cs="Times New Roman"/>
          <w:noProof/>
          <w:lang w:val="bg-BG"/>
        </w:rPr>
      </w:pPr>
      <w:r w:rsidRPr="00782BF9">
        <w:rPr>
          <w:noProof/>
          <w:lang w:val="bg-BG"/>
        </w:rPr>
        <w:t>РАЗДЕЛ 3: ДОПЪЛНИТЕЛНИ РАЗПОРЕДБИ</w:t>
      </w:r>
    </w:p>
    <w:p w14:paraId="138EE30A" w14:textId="77777777" w:rsidR="00CE3BAD" w:rsidRPr="00782BF9" w:rsidRDefault="00CE3BAD">
      <w:pPr>
        <w:spacing w:after="0" w:line="240" w:lineRule="auto"/>
        <w:textAlignment w:val="baseline"/>
        <w:rPr>
          <w:rFonts w:ascii="Times New Roman" w:eastAsia="Times New Roman" w:hAnsi="Times New Roman" w:cs="Times New Roman"/>
          <w:noProof/>
          <w:sz w:val="24"/>
          <w:lang w:val="bg-BG"/>
        </w:rPr>
      </w:pPr>
    </w:p>
    <w:p w14:paraId="6BA8A6BC" w14:textId="042ED31A" w:rsidR="00CE3BAD" w:rsidRPr="00782BF9" w:rsidRDefault="006B5475">
      <w:pPr>
        <w:pStyle w:val="P68B1DB1-NumPar131"/>
        <w:numPr>
          <w:ilvl w:val="0"/>
          <w:numId w:val="25"/>
        </w:numPr>
        <w:rPr>
          <w:noProof/>
          <w:lang w:val="bg-BG"/>
        </w:rPr>
      </w:pPr>
      <w:r w:rsidRPr="00782BF9">
        <w:rPr>
          <w:noProof/>
          <w:lang w:val="bg-BG"/>
        </w:rPr>
        <w:t>Механизми за мониторинг и изпълнение на плана за възстановяване и устойчивост</w:t>
      </w:r>
    </w:p>
    <w:p w14:paraId="239C7C62" w14:textId="5CF8CD18" w:rsidR="00CE3BAD" w:rsidRPr="00782BF9" w:rsidRDefault="006B5475">
      <w:pPr>
        <w:pStyle w:val="P68B1DB1-Normal4"/>
        <w:jc w:val="both"/>
        <w:rPr>
          <w:rFonts w:eastAsia="Times New Roman" w:cs="Times New Roman"/>
          <w:noProof/>
          <w:lang w:val="bg-BG"/>
        </w:rPr>
      </w:pPr>
      <w:r w:rsidRPr="00782BF9">
        <w:rPr>
          <w:noProof/>
          <w:lang w:val="bg-BG"/>
        </w:rPr>
        <w:t>Договореностите, определени по-долу, заедно със съответните мерки, посочени в компонент 9 (Управление и публична администрация)</w:t>
      </w:r>
      <w:r w:rsidRPr="00782BF9">
        <w:rPr>
          <w:noProof/>
          <w:lang w:val="bg-BG"/>
        </w:rPr>
        <w:footnoteReference w:id="37"/>
      </w:r>
      <w:r w:rsidRPr="00782BF9">
        <w:rPr>
          <w:noProof/>
          <w:lang w:val="bg-BG"/>
        </w:rPr>
        <w:t xml:space="preserve">, представляват унгарската система за контрол и одит в рамките на плана за възстановяване и устойчивост. Всеки от тези елементи е неразделна част от унгарската система за контрол и одит, чието прилагане и непрекъснато спазване са необходими, за да се гарантира спазването на член 22 от Регламент (ЕС) 2021/241. Заедно изпълнението и непрекъснатото спазване на тези елементи гарантират, че мерките за мониторинг и изпълнение на плана за възстановяване и устойчивост включват мерките, необходими за гарантиране на защитата на финансовите интереси на Съюза. </w:t>
      </w:r>
    </w:p>
    <w:p w14:paraId="369974F1" w14:textId="77777777" w:rsidR="00CE3BAD" w:rsidRPr="00782BF9" w:rsidRDefault="006B5475">
      <w:pPr>
        <w:pStyle w:val="P68B1DB1-Normal4"/>
        <w:jc w:val="both"/>
        <w:rPr>
          <w:rFonts w:eastAsia="Times New Roman" w:cs="Times New Roman"/>
          <w:noProof/>
          <w:lang w:val="bg-BG"/>
        </w:rPr>
      </w:pPr>
      <w:r w:rsidRPr="00782BF9">
        <w:rPr>
          <w:noProof/>
          <w:lang w:val="bg-BG"/>
        </w:rPr>
        <w:t>Мониторингът и изпълнението на плана за възстановяване и устойчивост на Унгария се извършват в съответствие със следните договорености:</w:t>
      </w:r>
    </w:p>
    <w:p w14:paraId="3828177F" w14:textId="14F4815F" w:rsidR="00CE3BAD" w:rsidRPr="00782BF9" w:rsidRDefault="006B5475">
      <w:pPr>
        <w:pStyle w:val="P68B1DB1-Normal4"/>
        <w:jc w:val="both"/>
        <w:rPr>
          <w:rFonts w:eastAsia="Times New Roman" w:cs="Times New Roman"/>
          <w:noProof/>
          <w:lang w:val="bg-BG"/>
        </w:rPr>
      </w:pPr>
      <w:r w:rsidRPr="00782BF9">
        <w:rPr>
          <w:noProof/>
          <w:lang w:val="bg-BG"/>
        </w:rPr>
        <w:t>Правителствено постановление 373/2022 (IX. 30.) се определят ролите и отговорностите на органите, участващи в изпълнението, одита и контрола на унгарския план за възстановяване и устойчивост. Влизането в сила на настоящото правителствено постановление, описано в реформа C9.R19, е отразено в конкретен ключов етап, който трябва да бъде изпълнен преди подаването на първото искане за плащане по плана за възстановяване и устойчивост.</w:t>
      </w:r>
    </w:p>
    <w:p w14:paraId="751A23B9" w14:textId="3D742DC1" w:rsidR="00CE3BAD" w:rsidRPr="00782BF9" w:rsidRDefault="006B5475">
      <w:pPr>
        <w:jc w:val="both"/>
        <w:rPr>
          <w:rFonts w:ascii="Times New Roman" w:eastAsia="Times New Roman" w:hAnsi="Times New Roman" w:cs="Times New Roman"/>
          <w:noProof/>
          <w:sz w:val="24"/>
          <w:lang w:val="bg-BG"/>
        </w:rPr>
      </w:pPr>
      <w:r w:rsidRPr="00093EBD">
        <w:rPr>
          <w:rFonts w:ascii="Times New Roman" w:hAnsi="Times New Roman"/>
          <w:noProof/>
          <w:sz w:val="24"/>
          <w:lang w:val="bg-BG"/>
        </w:rPr>
        <w:t>Процесът</w:t>
      </w:r>
      <w:r w:rsidRPr="00782BF9">
        <w:rPr>
          <w:rFonts w:ascii="Times New Roman" w:hAnsi="Times New Roman"/>
          <w:noProof/>
          <w:sz w:val="24"/>
          <w:lang w:val="bg-BG"/>
        </w:rPr>
        <w:t xml:space="preserve">на изпълнение, мониторинг и докладване на унгарския план за възстановяване и устойчивост се осигурява от националния орган (заместник-държавен секретариат на министъра, отговарящ за изпълнението на подкрепата от Съюза). Това включва функционирането на системата за мониторинг (включително с помощта на ИТ система за мониторинг), наблюдението на напредъка по изпълнението на различните мерки и гарантирането на надеждността и достоверността на данните в информационната система за мониторинг. Националният орган е също така отговорният орган, който проверява дали ключовите етапи и целите, определени в плана за възстановяване и устойчивост, са изпълнени. Националният орган отговаря за изготвянето и подаването на исканията за плащане по плана за възстановяване и устойчивост, както и за гарантирането на тяхната достоверност и подписването на декларацията за управлението. Той действа и като единна връзка между унгарските органи и Комисията. Националният орган отговаря за създаването и функционирането на вътрешна система за управление и контрол с цел ефективно предотвратяване и откриване на нередности и за предприемане на подходящи корективни действия при спазване на принципите на добро финансово управление и защита на финансовите интереси на Съюза, за въвеждане на ефективни мерки за борба с измамите и за борба с корупцията, като се вземат предвид установените рискове, и за извършване (на място и по документи) на първо ниво на контрол на изпълнението. </w:t>
      </w:r>
    </w:p>
    <w:p w14:paraId="06D96014" w14:textId="44CA9B3A" w:rsidR="00CE3BAD" w:rsidRPr="00782BF9" w:rsidRDefault="006B5475">
      <w:pPr>
        <w:jc w:val="both"/>
        <w:rPr>
          <w:rFonts w:ascii="Times New Roman" w:eastAsia="Times New Roman" w:hAnsi="Times New Roman" w:cs="Times New Roman"/>
          <w:noProof/>
          <w:sz w:val="24"/>
          <w:lang w:val="bg-BG"/>
        </w:rPr>
      </w:pPr>
      <w:r w:rsidRPr="00782BF9">
        <w:rPr>
          <w:rFonts w:ascii="Times New Roman" w:hAnsi="Times New Roman"/>
          <w:noProof/>
          <w:sz w:val="24"/>
          <w:lang w:val="bg-BG"/>
        </w:rPr>
        <w:t>Секторното изпълнение на специфичните мерки</w:t>
      </w:r>
      <w:r w:rsidRPr="00782BF9">
        <w:rPr>
          <w:rStyle w:val="FootnoteReference"/>
          <w:rFonts w:ascii="Times New Roman" w:eastAsia="Times New Roman" w:hAnsi="Times New Roman" w:cs="Times New Roman"/>
          <w:noProof/>
          <w:sz w:val="24"/>
          <w:lang w:val="bg-BG"/>
        </w:rPr>
        <w:footnoteReference w:id="38"/>
      </w:r>
      <w:r w:rsidRPr="00782BF9">
        <w:rPr>
          <w:rFonts w:ascii="Times New Roman" w:hAnsi="Times New Roman"/>
          <w:noProof/>
          <w:sz w:val="24"/>
          <w:lang w:val="bg-BG"/>
        </w:rPr>
        <w:t xml:space="preserve"> от плана се контролира от отговорните ресорни министерства, чиито служби подпомагат наблюдението на напредъка на мерките и поддържат тясно сътрудничество с националния орган.</w:t>
      </w:r>
    </w:p>
    <w:p w14:paraId="5C479A15" w14:textId="2113831C" w:rsidR="00CE3BAD" w:rsidRPr="00782BF9" w:rsidRDefault="006B5475">
      <w:pPr>
        <w:pStyle w:val="P68B1DB1-Normal4"/>
        <w:jc w:val="both"/>
        <w:rPr>
          <w:rFonts w:eastAsia="Times New Roman" w:cs="Times New Roman"/>
          <w:noProof/>
          <w:lang w:val="bg-BG"/>
        </w:rPr>
      </w:pPr>
      <w:r w:rsidRPr="00782BF9">
        <w:rPr>
          <w:noProof/>
          <w:lang w:val="bg-BG"/>
        </w:rPr>
        <w:t>Националният орган се подпомага в процеса на изпълнение и мониторинг на плана от изпълнителните органи, които функционират чрез писмени договори под надзора и отговорността на националния орган. Когато задачите по изпълнението на националния орган са делегирани на изпълнителни органи, работата на изпълнителните органи се контролира отблизо от националния орган, който предоставя методологична подкрепа и насоки на изпълнителните органи. По-специално се гарантира, че изпълнителните органи разполагат с достатъчно ресурси и подходящ професионален опит, за да изпълняват ефективно възложените им задачи. Изпълнителните органи разполагат с ефективни механизми за вътрешен контрол. Изпълнителните органи изпълняват контролните функции на националния орган по отношение на компонентите и мерките, за чието изпълнение носят отговорност.</w:t>
      </w:r>
    </w:p>
    <w:p w14:paraId="41EF0806" w14:textId="12F7B8A3" w:rsidR="00CE3BAD" w:rsidRPr="00782BF9" w:rsidRDefault="006B5475">
      <w:pPr>
        <w:pStyle w:val="P68B1DB1-Normal4"/>
        <w:jc w:val="both"/>
        <w:rPr>
          <w:rFonts w:eastAsia="Times New Roman" w:cs="Times New Roman"/>
          <w:noProof/>
          <w:lang w:val="bg-BG"/>
        </w:rPr>
      </w:pPr>
      <w:r w:rsidRPr="00782BF9">
        <w:rPr>
          <w:noProof/>
          <w:lang w:val="bg-BG"/>
        </w:rPr>
        <w:t xml:space="preserve">За да се гарантира ефективното предотвратяване и разкриване на сериозни нередности, като измами, корупция, конфликт на интереси и двойно финансиране, националният орган и изпълнителните органи систематично използват всички функции на инструмента за измерване на риска Arachne, когато изпълняват и контролират изпълнението на плана за възстановяване и устойчивост. </w:t>
      </w:r>
    </w:p>
    <w:p w14:paraId="0A139358" w14:textId="77777777" w:rsidR="00CE3BAD" w:rsidRPr="00782BF9" w:rsidRDefault="006B5475">
      <w:pPr>
        <w:pStyle w:val="P68B1DB1-Normal4"/>
        <w:jc w:val="both"/>
        <w:rPr>
          <w:rFonts w:eastAsia="Times New Roman" w:cs="Times New Roman"/>
          <w:noProof/>
          <w:lang w:val="bg-BG"/>
        </w:rPr>
      </w:pPr>
      <w:r w:rsidRPr="00782BF9">
        <w:rPr>
          <w:noProof/>
          <w:lang w:val="bg-BG"/>
        </w:rPr>
        <w:t>Преди подаването на първото искане за плащане по плана за възстановяване и устойчивост се създава нова Дирекция за вътрешен одит и почтеност (DIAI) към министерството, отговарящо за изпълнението на подкрепата от Съюза, за да се засили ефективното предотвратяване и разкриване на конфликти на интереси. DIAI отговаря за извършването на редовни проверки на достоверността на декларациите за конфликт на интереси от служители на всички равнища, участващи в изпълнението и контрола на плана.</w:t>
      </w:r>
    </w:p>
    <w:p w14:paraId="2C083D2F" w14:textId="77777777" w:rsidR="00CE3BAD" w:rsidRPr="00782BF9" w:rsidRDefault="006B5475">
      <w:pPr>
        <w:pStyle w:val="P68B1DB1-Normal4"/>
        <w:jc w:val="both"/>
        <w:rPr>
          <w:rFonts w:eastAsia="Times New Roman" w:cs="Times New Roman"/>
          <w:noProof/>
          <w:lang w:val="bg-BG"/>
        </w:rPr>
      </w:pPr>
      <w:r w:rsidRPr="00782BF9">
        <w:rPr>
          <w:noProof/>
          <w:lang w:val="bg-BG"/>
        </w:rPr>
        <w:t>Генерална дирекция „Одит на средствата от ЕС“ (EUTAF), в ролята си на одитен орган, изпълнява одитните задачи, свързани с изпълнението на плана. Унгария предоставя необходимите финансови и човешки ресурси на EUTAF, за да запази своята независимост и да ѝ даде възможност да изпълнява задачите си.</w:t>
      </w:r>
    </w:p>
    <w:p w14:paraId="531FFFFA" w14:textId="77777777" w:rsidR="00CE3BAD" w:rsidRPr="00782BF9" w:rsidRDefault="006B5475">
      <w:pPr>
        <w:pStyle w:val="P68B1DB1-Normal4"/>
        <w:jc w:val="both"/>
        <w:rPr>
          <w:noProof/>
          <w:lang w:val="bg-BG"/>
        </w:rPr>
      </w:pPr>
      <w:r w:rsidRPr="00782BF9">
        <w:rPr>
          <w:noProof/>
          <w:lang w:val="bg-BG"/>
        </w:rPr>
        <w:t>EUTAF изготвя стратегия за одит в съответствие с международно приетите одитни стандарти. Тази стратегия определя метода и честотата на одитите. Тя се въвежда достатъчно рано за извършване на одитите, които се включват в обобщението на одита, представено заедно с първото искане за плащане. Одитната стратегия дава приоритет на одитната работа, като се започне с одит на структурата на системите, насочен към адекватността на процесите (правни и институционални), създаването и функционирането на информационните системи и наличността и качеството на човешкия капацитет. Този одит се извършва преди подаването на първото искане за плащане. По-нататъшните одити на системите, които трябва да бъдат извършени в началото на изпълнението, се отнасят до прилагането на Arachne за контрол, извършван от националния орган и изпълнителните органи, както и до системен одит на DIAI.</w:t>
      </w:r>
    </w:p>
    <w:p w14:paraId="0DABF3BD" w14:textId="77777777" w:rsidR="00CE3BAD" w:rsidRPr="00782BF9" w:rsidRDefault="006B5475">
      <w:pPr>
        <w:pStyle w:val="P68B1DB1-Normal4"/>
        <w:jc w:val="both"/>
        <w:rPr>
          <w:rFonts w:eastAsia="Times New Roman" w:cs="Times New Roman"/>
          <w:noProof/>
          <w:lang w:val="bg-BG"/>
        </w:rPr>
      </w:pPr>
      <w:r w:rsidRPr="00782BF9">
        <w:rPr>
          <w:noProof/>
          <w:lang w:val="bg-BG"/>
        </w:rPr>
        <w:t>EUTAF извършва одити на системите и съществени проверки. Одитите на системите се извършват въз основа на оценка на риска с подходяща честота и разглеждат функционирането на системата, създадена за изпълнението на плана за възстановяване и устойчивост. Съществените проверки се съсредоточават върху напредъка към постигането на ключовите етапи и целите и включват проверка на изпълнението на условията за добро финансово управление. EUTAF предоставя одитно становище за всяко искане за плащане, подадено до Комисията, въз основа на резултатите от одитната си дейност както от одитите на системите, така и от съществените проверки.</w:t>
      </w:r>
    </w:p>
    <w:p w14:paraId="18B24BF1" w14:textId="77777777" w:rsidR="00CE3BAD" w:rsidRPr="00782BF9" w:rsidRDefault="006B5475">
      <w:pPr>
        <w:pStyle w:val="P68B1DB1-Normal4"/>
        <w:jc w:val="both"/>
        <w:rPr>
          <w:rFonts w:eastAsia="Times New Roman" w:cs="Times New Roman"/>
          <w:noProof/>
          <w:lang w:val="bg-BG"/>
        </w:rPr>
      </w:pPr>
      <w:r w:rsidRPr="00782BF9">
        <w:rPr>
          <w:noProof/>
          <w:lang w:val="bg-BG"/>
        </w:rPr>
        <w:t>Освен това чрез законодателен акт се създава мониторингов комитет, съставен от съответните заинтересовани страни и социални партньори, участващи в изпълнението на плана за възстановяване и устойчивост. Мониторинговият комитет упражнява надзор върху ефективното изпълнение на плана за възстановяване и устойчивост. Законодателният акт включва разпоредба, с която се въвежда правно изискване за консултация с мониторинговия комитет по време на изпълнението на плана за възстановяване и устойчивост. </w:t>
      </w:r>
    </w:p>
    <w:p w14:paraId="0B180B76" w14:textId="77777777" w:rsidR="00CE3BAD" w:rsidRPr="00782BF9" w:rsidRDefault="00CE3BAD">
      <w:pPr>
        <w:pStyle w:val="ListParagraph"/>
        <w:spacing w:after="0" w:line="240" w:lineRule="auto"/>
        <w:ind w:left="1080"/>
        <w:jc w:val="both"/>
        <w:textAlignment w:val="baseline"/>
        <w:rPr>
          <w:rFonts w:eastAsia="Times New Roman" w:cs="Times New Roman"/>
          <w:noProof/>
          <w:lang w:val="bg-BG"/>
        </w:rPr>
      </w:pPr>
    </w:p>
    <w:p w14:paraId="347C561B" w14:textId="77777777" w:rsidR="00CE3BAD" w:rsidRPr="00782BF9" w:rsidRDefault="006B5475">
      <w:pPr>
        <w:pStyle w:val="P68B1DB1-NumPar131"/>
        <w:numPr>
          <w:ilvl w:val="0"/>
          <w:numId w:val="25"/>
        </w:numPr>
        <w:rPr>
          <w:noProof/>
          <w:lang w:val="bg-BG"/>
        </w:rPr>
      </w:pPr>
      <w:r w:rsidRPr="00782BF9">
        <w:rPr>
          <w:noProof/>
          <w:lang w:val="bg-BG"/>
        </w:rPr>
        <w:t>Административни механизми за предоставяне на пълен достъп на Комисията до основните данни</w:t>
      </w:r>
    </w:p>
    <w:p w14:paraId="2100120B" w14:textId="77777777" w:rsidR="00CE3BAD" w:rsidRPr="00782BF9" w:rsidRDefault="006B5475">
      <w:pPr>
        <w:pStyle w:val="P68B1DB1-Normal4"/>
        <w:jc w:val="both"/>
        <w:rPr>
          <w:rFonts w:eastAsia="Times New Roman" w:cs="Times New Roman"/>
          <w:noProof/>
          <w:lang w:val="bg-BG"/>
        </w:rPr>
      </w:pPr>
      <w:r w:rsidRPr="00782BF9">
        <w:rPr>
          <w:noProof/>
          <w:lang w:val="bg-BG"/>
        </w:rPr>
        <w:t>За да осигури пълен достъп на Комисията до съответните основни данни, Унгария трябва да разполага със следните механизми:</w:t>
      </w:r>
    </w:p>
    <w:p w14:paraId="1AC0E75F" w14:textId="77777777" w:rsidR="00CE3BAD" w:rsidRPr="00782BF9" w:rsidRDefault="006B5475">
      <w:pPr>
        <w:pStyle w:val="ListParagraph"/>
        <w:numPr>
          <w:ilvl w:val="0"/>
          <w:numId w:val="26"/>
        </w:numPr>
        <w:jc w:val="both"/>
        <w:rPr>
          <w:rFonts w:eastAsia="Times New Roman" w:cs="Times New Roman"/>
          <w:noProof/>
          <w:lang w:val="bg-BG"/>
        </w:rPr>
      </w:pPr>
      <w:r w:rsidRPr="00782BF9">
        <w:rPr>
          <w:noProof/>
          <w:lang w:val="bg-BG"/>
        </w:rPr>
        <w:t xml:space="preserve">Цялата информация, свързана с изпълнението и мониторинга на плана, се съхранява в ИТ система за мониторинг, която се разработва за изпълнението на плана за възстановяване и устойчивост. </w:t>
      </w:r>
    </w:p>
    <w:p w14:paraId="7578E3E7" w14:textId="77777777" w:rsidR="00CE3BAD" w:rsidRPr="00782BF9" w:rsidRDefault="006B5475">
      <w:pPr>
        <w:pStyle w:val="ListParagraph"/>
        <w:numPr>
          <w:ilvl w:val="0"/>
          <w:numId w:val="26"/>
        </w:numPr>
        <w:jc w:val="both"/>
        <w:rPr>
          <w:rFonts w:eastAsia="Times New Roman" w:cs="Times New Roman"/>
          <w:noProof/>
          <w:lang w:val="bg-BG"/>
        </w:rPr>
      </w:pPr>
      <w:r w:rsidRPr="00782BF9">
        <w:rPr>
          <w:noProof/>
          <w:lang w:val="bg-BG"/>
        </w:rPr>
        <w:t>Националният орган отговаря за мониторинга и оценката на изпълнението на плана и изпълнението на ключовите етапи и целите, както и за предоставянето на Комисията на събраните при поискване данни. Той координира докладването на ключовите етапи и целите, съответните показатели, но също така и качествена финансова информация и други данни, като например относно крайните получатели. Той отговаря също така за функционирането на информационната система за мониторинг, за наблюдението на напредъка по изпълнението на различните мерки, като гарантира надеждността и достоверността на данните в системата за мониторинг. Кодирането на данните се извършва с помощта на информационна система, наречена</w:t>
      </w:r>
      <w:r w:rsidRPr="00782BF9">
        <w:rPr>
          <w:noProof/>
          <w:lang w:val="bg-BG"/>
        </w:rPr>
        <w:footnoteReference w:id="39"/>
      </w:r>
      <w:r w:rsidRPr="00782BF9">
        <w:rPr>
          <w:noProof/>
          <w:lang w:val="bg-BG"/>
        </w:rPr>
        <w:t xml:space="preserve"> FAIR-EUPR, чрез която всички институции, отговарящи за изпълнението на реформите и инвестициите, са задължени да докладват на националния орган. </w:t>
      </w:r>
    </w:p>
    <w:p w14:paraId="39CBFE31" w14:textId="77777777" w:rsidR="00CE3BAD" w:rsidRPr="00782BF9" w:rsidRDefault="006B5475">
      <w:pPr>
        <w:pStyle w:val="ListParagraph"/>
        <w:numPr>
          <w:ilvl w:val="0"/>
          <w:numId w:val="26"/>
        </w:numPr>
        <w:jc w:val="both"/>
        <w:rPr>
          <w:rFonts w:eastAsia="Times New Roman" w:cs="Times New Roman"/>
          <w:noProof/>
          <w:lang w:val="bg-BG"/>
        </w:rPr>
      </w:pPr>
      <w:r w:rsidRPr="00782BF9">
        <w:rPr>
          <w:noProof/>
          <w:lang w:val="bg-BG"/>
        </w:rPr>
        <w:t>Одитният орган (EUTAF) потвърждава в одитен доклад с одитно становище без резерви, преди подаването на първото искане за плащане, че функционалностите на информационната система за мониторинг са на разположение за изпълнение на изискванията за събиране, съхранение и предоставяне на данни, свързани с изпълнението на плана за възстановяване и устойчивост, както и че системата е напълно функционална и функционира.</w:t>
      </w:r>
    </w:p>
    <w:p w14:paraId="61E37F95" w14:textId="77777777" w:rsidR="00CE3BAD" w:rsidRPr="00782BF9" w:rsidRDefault="006B5475">
      <w:pPr>
        <w:pStyle w:val="P68B1DB1-Normal4"/>
        <w:jc w:val="both"/>
        <w:rPr>
          <w:rFonts w:eastAsia="Times New Roman" w:cs="Times New Roman"/>
          <w:noProof/>
          <w:lang w:val="bg-BG"/>
        </w:rPr>
      </w:pPr>
      <w:r w:rsidRPr="00782BF9">
        <w:rPr>
          <w:noProof/>
          <w:lang w:val="bg-BG"/>
        </w:rPr>
        <w:t>В съответствие с член 24, параграф 2 от Регламент (ЕС) 2021/241 след приключване на съответните договорени ключови етапи и цели в раздел 2.1 от настоящото приложение Унгария представя на Комисията надлежно обосновано искане за плащане на финансовото участие. Унгария гарантира, че при поискване Комисията има пълен достъп до съответните основни данни, които подкрепят надлежната обосновка на исканията за плащане, както за оценката на искането за плащане в съответствие с член 24, параграф 3 от Регламент (ЕС) 2021/241, така и за целите на одита и контрола.</w:t>
      </w:r>
    </w:p>
    <w:p w14:paraId="6FA2528A" w14:textId="77777777" w:rsidR="00CE3BAD" w:rsidRPr="00782BF9" w:rsidRDefault="006B5475">
      <w:pPr>
        <w:pStyle w:val="P68B1DB1-Normal4"/>
        <w:jc w:val="both"/>
        <w:rPr>
          <w:rFonts w:eastAsia="Times New Roman" w:cs="Times New Roman"/>
          <w:noProof/>
          <w:lang w:val="bg-BG"/>
        </w:rPr>
      </w:pPr>
      <w:r w:rsidRPr="00782BF9">
        <w:rPr>
          <w:noProof/>
          <w:lang w:val="bg-BG"/>
        </w:rPr>
        <w:t>Когато ключовите етапи или целите се отнасят до изготвянето на доклади, основните данни, включително всички данни, използвани в подкрепа на изявленията в тези доклади, се предоставят на Комисията при поискване, по-специално по време на оценката на тези ключови етапи или цели.</w:t>
      </w:r>
    </w:p>
    <w:p w14:paraId="22EB1E2D" w14:textId="76CB4788" w:rsidR="00CE3BAD" w:rsidRPr="00782BF9" w:rsidRDefault="00CE3BAD">
      <w:pPr>
        <w:jc w:val="both"/>
        <w:rPr>
          <w:rFonts w:ascii="Times New Roman" w:eastAsia="Times New Roman" w:hAnsi="Times New Roman" w:cs="Times New Roman"/>
          <w:noProof/>
          <w:sz w:val="24"/>
          <w:lang w:val="bg-BG"/>
        </w:rPr>
      </w:pPr>
    </w:p>
    <w:p w14:paraId="1FA4D859" w14:textId="77F76421" w:rsidR="00CE3BAD" w:rsidRPr="00782BF9" w:rsidRDefault="00CE3BAD">
      <w:pPr>
        <w:jc w:val="both"/>
        <w:rPr>
          <w:noProof/>
          <w:lang w:val="bg-BG"/>
        </w:rPr>
      </w:pPr>
    </w:p>
    <w:sectPr w:rsidR="00CE3BAD" w:rsidRPr="00782BF9">
      <w:headerReference w:type="even" r:id="rId171"/>
      <w:headerReference w:type="default" r:id="rId172"/>
      <w:footerReference w:type="even" r:id="rId173"/>
      <w:footerReference w:type="default" r:id="rId174"/>
      <w:headerReference w:type="first" r:id="rId175"/>
      <w:footerReference w:type="first" r:id="rId17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A57D7" w14:textId="77777777" w:rsidR="009447EB" w:rsidRDefault="009447EB">
      <w:pPr>
        <w:spacing w:after="0" w:line="240" w:lineRule="auto"/>
      </w:pPr>
      <w:r>
        <w:separator/>
      </w:r>
    </w:p>
  </w:endnote>
  <w:endnote w:type="continuationSeparator" w:id="0">
    <w:p w14:paraId="0A854B2E" w14:textId="77777777" w:rsidR="009447EB" w:rsidRDefault="009447EB">
      <w:pPr>
        <w:spacing w:after="0" w:line="240" w:lineRule="auto"/>
      </w:pPr>
      <w:r>
        <w:continuationSeparator/>
      </w:r>
    </w:p>
  </w:endnote>
  <w:endnote w:type="continuationNotice" w:id="1">
    <w:p w14:paraId="7A44B88C" w14:textId="77777777" w:rsidR="009447EB" w:rsidRDefault="00944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EC Square Sans Pro">
    <w:altName w:val="Calibri"/>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445A" w14:textId="20E18313" w:rsidR="00594986" w:rsidRPr="005D5FB5" w:rsidRDefault="00594986" w:rsidP="005D5F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DAF7" w14:textId="77777777" w:rsidR="00CE3BAD" w:rsidRDefault="00CE3BA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531668"/>
      <w:docPartObj>
        <w:docPartGallery w:val="Page Numbers (Bottom of Page)"/>
        <w:docPartUnique/>
      </w:docPartObj>
    </w:sdtPr>
    <w:sdtEndPr>
      <w:rPr>
        <w:noProof/>
      </w:rPr>
    </w:sdtEndPr>
    <w:sdtContent>
      <w:p w14:paraId="022876F1" w14:textId="1C67AE2C" w:rsidR="00CE3BAD" w:rsidRDefault="006B5475">
        <w:pPr>
          <w:pStyle w:val="Footer"/>
          <w:jc w:val="center"/>
        </w:pPr>
        <w:r>
          <w:fldChar w:fldCharType="begin"/>
        </w:r>
        <w:r>
          <w:instrText xml:space="preserve"> PAGE   \* MERGEFORMAT </w:instrText>
        </w:r>
        <w:r>
          <w:fldChar w:fldCharType="separate"/>
        </w:r>
        <w:r w:rsidR="00DC4301">
          <w:rPr>
            <w:noProof/>
          </w:rPr>
          <w:t>24</w:t>
        </w:r>
        <w:r>
          <w:fldChar w:fldCharType="end"/>
        </w:r>
      </w:p>
    </w:sdtContent>
  </w:sdt>
  <w:p w14:paraId="4863914B" w14:textId="77777777" w:rsidR="00CE3BAD" w:rsidRDefault="00CE3BAD">
    <w:pPr>
      <w:pStyle w:val="Footer"/>
      <w:rPr>
        <w:rFonts w:ascii="Times New Roman" w:hAnsi="Times New Roman" w:cs="Times New Roman"/>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4F3B" w14:textId="77777777" w:rsidR="00CE3BAD" w:rsidRDefault="00CE3BA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24DE" w14:textId="77777777" w:rsidR="00CE3BAD" w:rsidRDefault="00CE3BA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088932"/>
      <w:docPartObj>
        <w:docPartGallery w:val="Page Numbers (Bottom of Page)"/>
        <w:docPartUnique/>
      </w:docPartObj>
    </w:sdtPr>
    <w:sdtEndPr>
      <w:rPr>
        <w:noProof/>
      </w:rPr>
    </w:sdtEndPr>
    <w:sdtContent>
      <w:p w14:paraId="6A201653" w14:textId="7A66A462" w:rsidR="00CE3BAD" w:rsidRDefault="006B5475">
        <w:pPr>
          <w:pStyle w:val="Footer"/>
          <w:jc w:val="center"/>
        </w:pPr>
        <w:r>
          <w:fldChar w:fldCharType="begin"/>
        </w:r>
        <w:r>
          <w:instrText xml:space="preserve"> PAGE   \* MERGEFORMAT </w:instrText>
        </w:r>
        <w:r>
          <w:fldChar w:fldCharType="separate"/>
        </w:r>
        <w:r w:rsidR="00DC4301">
          <w:rPr>
            <w:noProof/>
          </w:rPr>
          <w:t>25</w:t>
        </w:r>
        <w:r>
          <w:fldChar w:fldCharType="end"/>
        </w:r>
      </w:p>
    </w:sdtContent>
  </w:sdt>
  <w:p w14:paraId="2A7D9797" w14:textId="77777777" w:rsidR="00CE3BAD" w:rsidRDefault="00CE3BAD">
    <w:pPr>
      <w:pStyle w:val="Footer"/>
      <w:rPr>
        <w:rFonts w:ascii="Times New Roman" w:hAnsi="Times New Roman" w:cs="Times New Roman"/>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734E" w14:textId="77777777" w:rsidR="00CE3BAD" w:rsidRDefault="00CE3B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6973" w14:textId="77777777" w:rsidR="00CE3BAD" w:rsidRDefault="00CE3B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855472"/>
      <w:docPartObj>
        <w:docPartGallery w:val="Page Numbers (Bottom of Page)"/>
        <w:docPartUnique/>
      </w:docPartObj>
    </w:sdtPr>
    <w:sdtEndPr>
      <w:rPr>
        <w:noProof/>
      </w:rPr>
    </w:sdtEndPr>
    <w:sdtContent>
      <w:p w14:paraId="077AEEC5" w14:textId="4E2024AE" w:rsidR="00CE3BAD" w:rsidRDefault="006B5475">
        <w:pPr>
          <w:pStyle w:val="Footer"/>
          <w:jc w:val="center"/>
        </w:pPr>
        <w:r>
          <w:fldChar w:fldCharType="begin"/>
        </w:r>
        <w:r>
          <w:instrText xml:space="preserve"> PAGE   \* MERGEFORMAT </w:instrText>
        </w:r>
        <w:r>
          <w:fldChar w:fldCharType="separate"/>
        </w:r>
        <w:r w:rsidR="00DC4301">
          <w:rPr>
            <w:noProof/>
          </w:rPr>
          <w:t>30</w:t>
        </w:r>
        <w:r>
          <w:fldChar w:fldCharType="end"/>
        </w:r>
      </w:p>
    </w:sdtContent>
  </w:sdt>
  <w:p w14:paraId="500B2DAF" w14:textId="77777777" w:rsidR="00CE3BAD" w:rsidRDefault="00CE3BAD">
    <w:pPr>
      <w:pStyle w:val="Footer"/>
      <w:rPr>
        <w:rFonts w:ascii="Times New Roman" w:hAnsi="Times New Roman" w:cs="Times New Roman"/>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C47EB" w14:textId="77777777" w:rsidR="00CE3BAD" w:rsidRDefault="00CE3BA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40C8" w14:textId="77777777" w:rsidR="00CE3BAD" w:rsidRDefault="00CE3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A3EBF" w14:textId="49996D49" w:rsidR="00594986" w:rsidRPr="005D5FB5" w:rsidRDefault="005D5FB5" w:rsidP="005D5FB5">
    <w:pPr>
      <w:pStyle w:val="FooterCoverPage"/>
      <w:rPr>
        <w:rFonts w:ascii="Arial" w:hAnsi="Arial" w:cs="Arial"/>
        <w:b/>
        <w:sz w:val="48"/>
      </w:rPr>
    </w:pPr>
    <w:r w:rsidRPr="005D5FB5">
      <w:rPr>
        <w:rFonts w:ascii="Arial" w:hAnsi="Arial" w:cs="Arial"/>
        <w:b/>
        <w:sz w:val="48"/>
      </w:rPr>
      <w:t>BG</w:t>
    </w:r>
    <w:r w:rsidRPr="005D5FB5">
      <w:rPr>
        <w:rFonts w:ascii="Arial" w:hAnsi="Arial" w:cs="Arial"/>
        <w:b/>
        <w:sz w:val="48"/>
      </w:rPr>
      <w:tab/>
    </w:r>
    <w:r w:rsidRPr="005D5FB5">
      <w:rPr>
        <w:rFonts w:ascii="Arial" w:hAnsi="Arial" w:cs="Arial"/>
        <w:b/>
        <w:sz w:val="48"/>
      </w:rPr>
      <w:tab/>
    </w:r>
    <w:r w:rsidRPr="005D5FB5">
      <w:tab/>
    </w:r>
    <w:r w:rsidRPr="005D5FB5">
      <w:rPr>
        <w:rFonts w:ascii="Arial" w:hAnsi="Arial" w:cs="Arial"/>
        <w:b/>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384981"/>
      <w:docPartObj>
        <w:docPartGallery w:val="Page Numbers (Bottom of Page)"/>
        <w:docPartUnique/>
      </w:docPartObj>
    </w:sdtPr>
    <w:sdtEndPr>
      <w:rPr>
        <w:noProof/>
      </w:rPr>
    </w:sdtEndPr>
    <w:sdtContent>
      <w:p w14:paraId="334E21D4" w14:textId="50E366A1"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54C78B4C" w14:textId="77777777" w:rsidR="00CE3BAD" w:rsidRDefault="00CE3BA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A23C" w14:textId="77777777" w:rsidR="00CE3BAD" w:rsidRDefault="00CE3BA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D86A" w14:textId="77777777" w:rsidR="00CE3BAD" w:rsidRDefault="00CE3BA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693566"/>
      <w:docPartObj>
        <w:docPartGallery w:val="Page Numbers (Bottom of Page)"/>
        <w:docPartUnique/>
      </w:docPartObj>
    </w:sdtPr>
    <w:sdtEndPr>
      <w:rPr>
        <w:noProof/>
      </w:rPr>
    </w:sdtEndPr>
    <w:sdtContent>
      <w:p w14:paraId="0B1C4904" w14:textId="7E1C5B6D"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4288C9EA" w14:textId="77777777" w:rsidR="00CE3BAD" w:rsidRDefault="00CE3BAD">
    <w:pPr>
      <w:pStyle w:val="Footer"/>
      <w:rPr>
        <w:rFonts w:ascii="Times New Roman" w:hAnsi="Times New Roman" w:cs="Times New Roman"/>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8CDC" w14:textId="77777777" w:rsidR="00CE3BAD" w:rsidRDefault="00CE3BA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D8B7" w14:textId="77777777" w:rsidR="00CE3BAD" w:rsidRDefault="00CE3BA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34332"/>
      <w:docPartObj>
        <w:docPartGallery w:val="Page Numbers (Bottom of Page)"/>
        <w:docPartUnique/>
      </w:docPartObj>
    </w:sdtPr>
    <w:sdtEndPr>
      <w:rPr>
        <w:noProof/>
      </w:rPr>
    </w:sdtEndPr>
    <w:sdtContent>
      <w:p w14:paraId="446EEA2F" w14:textId="67D27FC4"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36BDE82D" w14:textId="77777777" w:rsidR="00CE3BAD" w:rsidRDefault="00CE3BAD">
    <w:pPr>
      <w:pStyle w:val="Footer"/>
      <w:rPr>
        <w:rFonts w:ascii="Times New Roman" w:hAnsi="Times New Roman" w:cs="Times New Roman"/>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774E" w14:textId="77777777" w:rsidR="00CE3BAD" w:rsidRDefault="00CE3BA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7347" w14:textId="77777777" w:rsidR="00CE3BAD" w:rsidRDefault="00CE3BA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320203"/>
      <w:docPartObj>
        <w:docPartGallery w:val="Page Numbers (Bottom of Page)"/>
        <w:docPartUnique/>
      </w:docPartObj>
    </w:sdtPr>
    <w:sdtEndPr>
      <w:rPr>
        <w:noProof/>
      </w:rPr>
    </w:sdtEndPr>
    <w:sdtContent>
      <w:p w14:paraId="46824B60" w14:textId="0A0B276F"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35B5C01C" w14:textId="77777777" w:rsidR="00CE3BAD" w:rsidRDefault="00CE3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7D07" w14:textId="77777777" w:rsidR="005D5FB5" w:rsidRPr="005D5FB5" w:rsidRDefault="005D5FB5" w:rsidP="005D5FB5">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38E01" w14:textId="77777777" w:rsidR="00CE3BAD" w:rsidRDefault="00CE3BA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81D9" w14:textId="77777777" w:rsidR="00CE3BAD" w:rsidRDefault="00CE3BA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52084"/>
      <w:docPartObj>
        <w:docPartGallery w:val="Page Numbers (Bottom of Page)"/>
        <w:docPartUnique/>
      </w:docPartObj>
    </w:sdtPr>
    <w:sdtEndPr>
      <w:rPr>
        <w:noProof/>
      </w:rPr>
    </w:sdtEndPr>
    <w:sdtContent>
      <w:p w14:paraId="19873D7B" w14:textId="6FBC410D"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4C27B709" w14:textId="77777777" w:rsidR="00CE3BAD" w:rsidRDefault="00CE3BAD">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505A" w14:textId="77777777" w:rsidR="00CE3BAD" w:rsidRDefault="00CE3BA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06DD" w14:textId="77777777" w:rsidR="00CE3BAD" w:rsidRDefault="00CE3BA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214620"/>
      <w:docPartObj>
        <w:docPartGallery w:val="Page Numbers (Bottom of Page)"/>
        <w:docPartUnique/>
      </w:docPartObj>
    </w:sdtPr>
    <w:sdtEndPr>
      <w:rPr>
        <w:noProof/>
      </w:rPr>
    </w:sdtEndPr>
    <w:sdtContent>
      <w:p w14:paraId="1D0C3207" w14:textId="6E8E8C56"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178F8EA1" w14:textId="77777777" w:rsidR="00CE3BAD" w:rsidRDefault="00CE3BAD">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347E" w14:textId="77777777" w:rsidR="00CE3BAD" w:rsidRDefault="00CE3BA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49CE" w14:textId="77777777" w:rsidR="00CE3BAD" w:rsidRDefault="00CE3BAD">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069537"/>
      <w:docPartObj>
        <w:docPartGallery w:val="Page Numbers (Bottom of Page)"/>
        <w:docPartUnique/>
      </w:docPartObj>
    </w:sdtPr>
    <w:sdtEndPr>
      <w:rPr>
        <w:noProof/>
      </w:rPr>
    </w:sdtEndPr>
    <w:sdtContent>
      <w:p w14:paraId="78A7E818" w14:textId="0347563A"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24E9DF0D" w14:textId="77777777" w:rsidR="00CE3BAD" w:rsidRDefault="00CE3BAD">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DFE7" w14:textId="77777777" w:rsidR="00CE3BAD" w:rsidRDefault="00CE3B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6B11" w14:textId="77777777" w:rsidR="00CE3BAD" w:rsidRDefault="00CE3BA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1CF7" w14:textId="77777777" w:rsidR="00CE3BAD" w:rsidRDefault="00CE3BAD">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75194"/>
      <w:docPartObj>
        <w:docPartGallery w:val="Page Numbers (Bottom of Page)"/>
        <w:docPartUnique/>
      </w:docPartObj>
    </w:sdtPr>
    <w:sdtEndPr>
      <w:rPr>
        <w:noProof/>
      </w:rPr>
    </w:sdtEndPr>
    <w:sdtContent>
      <w:p w14:paraId="4789783E" w14:textId="5BD7A6FF"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69461009" w14:textId="77777777" w:rsidR="00CE3BAD" w:rsidRDefault="00CE3BAD">
    <w:pPr>
      <w:pStyle w:val="Footer"/>
      <w:rPr>
        <w:rFonts w:ascii="Times New Roman" w:hAnsi="Times New Roman" w:cs="Times New Roman"/>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658B" w14:textId="77777777" w:rsidR="00CE3BAD" w:rsidRDefault="00CE3BAD">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8245" w14:textId="77777777" w:rsidR="00CE3BAD" w:rsidRDefault="00CE3BAD">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520075"/>
      <w:docPartObj>
        <w:docPartGallery w:val="Page Numbers (Bottom of Page)"/>
        <w:docPartUnique/>
      </w:docPartObj>
    </w:sdtPr>
    <w:sdtEndPr>
      <w:rPr>
        <w:noProof/>
      </w:rPr>
    </w:sdtEndPr>
    <w:sdtContent>
      <w:p w14:paraId="3741BF0B" w14:textId="0E151944"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4E520D4B" w14:textId="77777777" w:rsidR="00CE3BAD" w:rsidRDefault="00CE3BAD">
    <w:pPr>
      <w:pStyle w:val="Footer"/>
      <w:rPr>
        <w:rFonts w:ascii="Times New Roman" w:hAnsi="Times New Roman" w:cs="Times New Roman"/>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2F13" w14:textId="77777777" w:rsidR="00CE3BAD" w:rsidRDefault="00CE3BAD">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E1A2" w14:textId="77777777" w:rsidR="00CE3BAD" w:rsidRDefault="00CE3BA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399918"/>
      <w:docPartObj>
        <w:docPartGallery w:val="Page Numbers (Bottom of Page)"/>
        <w:docPartUnique/>
      </w:docPartObj>
    </w:sdtPr>
    <w:sdtEndPr>
      <w:rPr>
        <w:noProof/>
      </w:rPr>
    </w:sdtEndPr>
    <w:sdtContent>
      <w:p w14:paraId="0956B609" w14:textId="340E91AF"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25D6889B" w14:textId="77777777" w:rsidR="00CE3BAD" w:rsidRDefault="00CE3BAD">
    <w:pPr>
      <w:pStyle w:val="Footer"/>
      <w:rPr>
        <w:rFonts w:ascii="Times New Roman" w:hAnsi="Times New Roman" w:cs="Times New Roman"/>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3945" w14:textId="77777777" w:rsidR="00CE3BAD" w:rsidRDefault="00CE3BAD">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740B4" w14:textId="77777777" w:rsidR="00CE3BAD" w:rsidRDefault="00CE3B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080050"/>
      <w:docPartObj>
        <w:docPartGallery w:val="Page Numbers (Bottom of Page)"/>
        <w:docPartUnique/>
      </w:docPartObj>
    </w:sdtPr>
    <w:sdtEndPr>
      <w:rPr>
        <w:noProof/>
      </w:rPr>
    </w:sdtEndPr>
    <w:sdtContent>
      <w:p w14:paraId="0D5EB0B0" w14:textId="5AC1E814" w:rsidR="00CE3BAD" w:rsidRDefault="006B5475">
        <w:pPr>
          <w:pStyle w:val="Footer"/>
          <w:jc w:val="center"/>
        </w:pPr>
        <w:r>
          <w:fldChar w:fldCharType="begin"/>
        </w:r>
        <w:r>
          <w:instrText xml:space="preserve"> PAGE   \* MERGEFORMAT </w:instrText>
        </w:r>
        <w:r>
          <w:fldChar w:fldCharType="separate"/>
        </w:r>
        <w:r w:rsidR="005D5FB5">
          <w:rPr>
            <w:noProof/>
          </w:rPr>
          <w:t>1</w:t>
        </w:r>
        <w:r>
          <w:fldChar w:fldCharType="end"/>
        </w:r>
      </w:p>
    </w:sdtContent>
  </w:sdt>
  <w:p w14:paraId="27C3B8C1" w14:textId="77777777" w:rsidR="00CE3BAD" w:rsidRDefault="00CE3BAD">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989468"/>
      <w:docPartObj>
        <w:docPartGallery w:val="Page Numbers (Bottom of Page)"/>
        <w:docPartUnique/>
      </w:docPartObj>
    </w:sdtPr>
    <w:sdtEndPr>
      <w:rPr>
        <w:noProof/>
      </w:rPr>
    </w:sdtEndPr>
    <w:sdtContent>
      <w:p w14:paraId="119CE772" w14:textId="6154F962"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0D682ADD" w14:textId="77777777" w:rsidR="00CE3BAD" w:rsidRDefault="00CE3BAD">
    <w:pPr>
      <w:pStyle w:val="Footer"/>
      <w:rPr>
        <w:rFonts w:ascii="Times New Roman" w:hAnsi="Times New Roman" w:cs="Times New Roman"/>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C6D1" w14:textId="77777777" w:rsidR="00CE3BAD" w:rsidRDefault="00CE3BAD">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2A71" w14:textId="77777777" w:rsidR="00CE3BAD" w:rsidRDefault="00CE3BAD">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320792"/>
      <w:docPartObj>
        <w:docPartGallery w:val="Page Numbers (Bottom of Page)"/>
        <w:docPartUnique/>
      </w:docPartObj>
    </w:sdtPr>
    <w:sdtEndPr>
      <w:rPr>
        <w:noProof/>
      </w:rPr>
    </w:sdtEndPr>
    <w:sdtContent>
      <w:p w14:paraId="460C8D68" w14:textId="4A39137E"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1529EE04" w14:textId="77777777" w:rsidR="00CE3BAD" w:rsidRDefault="00CE3BAD">
    <w:pPr>
      <w:pStyle w:val="Footer"/>
      <w:rPr>
        <w:rFonts w:ascii="Times New Roman" w:hAnsi="Times New Roman" w:cs="Times New Roman"/>
      </w:rP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3204" w14:textId="77777777" w:rsidR="00CE3BAD" w:rsidRDefault="00CE3BA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2745" w14:textId="77777777" w:rsidR="00CE3BAD" w:rsidRDefault="00CE3BAD">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808258"/>
      <w:docPartObj>
        <w:docPartGallery w:val="Page Numbers (Bottom of Page)"/>
        <w:docPartUnique/>
      </w:docPartObj>
    </w:sdtPr>
    <w:sdtEndPr>
      <w:rPr>
        <w:noProof/>
      </w:rPr>
    </w:sdtEndPr>
    <w:sdtContent>
      <w:p w14:paraId="6401F594" w14:textId="5768B1EF"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5C80DA01" w14:textId="77777777" w:rsidR="00CE3BAD" w:rsidRDefault="00CE3BAD">
    <w:pPr>
      <w:pStyle w:val="Footer"/>
      <w:rPr>
        <w:rFonts w:ascii="Times New Roman" w:hAnsi="Times New Roman"/>
      </w:rP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0A2DC" w14:textId="77777777" w:rsidR="00CE3BAD" w:rsidRDefault="00CE3BAD">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396FF" w14:textId="77777777" w:rsidR="00CE3BAD" w:rsidRDefault="00CE3BAD">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329881"/>
      <w:docPartObj>
        <w:docPartGallery w:val="Page Numbers (Bottom of Page)"/>
        <w:docPartUnique/>
      </w:docPartObj>
    </w:sdtPr>
    <w:sdtEndPr>
      <w:rPr>
        <w:noProof/>
      </w:rPr>
    </w:sdtEndPr>
    <w:sdtContent>
      <w:p w14:paraId="5FFE8440" w14:textId="0740140A"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0A2E2DAF" w14:textId="77777777" w:rsidR="00CE3BAD" w:rsidRDefault="00CE3BAD">
    <w:pPr>
      <w:pStyle w:val="Footer"/>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EEA15" w14:textId="77777777" w:rsidR="00CE3BAD" w:rsidRDefault="00CE3BAD">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F4DC" w14:textId="77777777" w:rsidR="00CE3BAD" w:rsidRDefault="00CE3BAD">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018D" w14:textId="77777777" w:rsidR="00CE3BAD" w:rsidRDefault="00CE3BAD">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05007"/>
      <w:docPartObj>
        <w:docPartGallery w:val="Page Numbers (Bottom of Page)"/>
        <w:docPartUnique/>
      </w:docPartObj>
    </w:sdtPr>
    <w:sdtEndPr>
      <w:rPr>
        <w:noProof/>
      </w:rPr>
    </w:sdtEndPr>
    <w:sdtContent>
      <w:p w14:paraId="7521442F" w14:textId="0E7406C7"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0191CED4" w14:textId="77777777" w:rsidR="00CE3BAD" w:rsidRDefault="00CE3BAD">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4884F" w14:textId="77777777" w:rsidR="00CE3BAD" w:rsidRDefault="00CE3BAD">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DBE3" w14:textId="77777777" w:rsidR="00CE3BAD" w:rsidRDefault="00CE3BAD">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38593"/>
      <w:docPartObj>
        <w:docPartGallery w:val="Page Numbers (Bottom of Page)"/>
        <w:docPartUnique/>
      </w:docPartObj>
    </w:sdtPr>
    <w:sdtEndPr>
      <w:rPr>
        <w:noProof/>
      </w:rPr>
    </w:sdtEndPr>
    <w:sdtContent>
      <w:p w14:paraId="021B37AA" w14:textId="30631FF9"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6846C41A" w14:textId="77777777" w:rsidR="00CE3BAD" w:rsidRDefault="00CE3BAD">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7DB5" w14:textId="77777777" w:rsidR="00CE3BAD" w:rsidRDefault="00CE3BAD">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3C1F9" w14:textId="77777777" w:rsidR="00CE3BAD" w:rsidRDefault="00CE3BAD">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36208"/>
      <w:docPartObj>
        <w:docPartGallery w:val="Page Numbers (Bottom of Page)"/>
        <w:docPartUnique/>
      </w:docPartObj>
    </w:sdtPr>
    <w:sdtEndPr>
      <w:rPr>
        <w:noProof/>
      </w:rPr>
    </w:sdtEndPr>
    <w:sdtContent>
      <w:p w14:paraId="4405F941" w14:textId="52BB9CB3"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2E44C155" w14:textId="02DF1A70" w:rsidR="00CE3BAD" w:rsidRDefault="00CE3BAD">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B8BA" w14:textId="77777777" w:rsidR="00CE3BAD" w:rsidRDefault="00CE3B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F436E" w14:textId="77777777" w:rsidR="00CE3BAD" w:rsidRDefault="00CE3BAD">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D677" w14:textId="77777777" w:rsidR="00CE3BAD" w:rsidRDefault="00CE3BAD">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24242"/>
      <w:docPartObj>
        <w:docPartGallery w:val="Page Numbers (Bottom of Page)"/>
        <w:docPartUnique/>
      </w:docPartObj>
    </w:sdtPr>
    <w:sdtEndPr>
      <w:rPr>
        <w:noProof/>
      </w:rPr>
    </w:sdtEndPr>
    <w:sdtContent>
      <w:p w14:paraId="6DF7765E" w14:textId="6267974C"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0DBB83F0" w14:textId="36E0ED2C" w:rsidR="00CE3BAD" w:rsidRDefault="00CE3BAD">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2D02" w14:textId="77777777" w:rsidR="00CE3BAD" w:rsidRDefault="00CE3BAD">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105D1" w14:textId="77777777" w:rsidR="00CE3BAD" w:rsidRDefault="00CE3BAD">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922239"/>
      <w:docPartObj>
        <w:docPartGallery w:val="Page Numbers (Bottom of Page)"/>
        <w:docPartUnique/>
      </w:docPartObj>
    </w:sdtPr>
    <w:sdtEndPr>
      <w:rPr>
        <w:noProof/>
      </w:rPr>
    </w:sdtEndPr>
    <w:sdtContent>
      <w:p w14:paraId="2115C33B" w14:textId="58E9C7B8"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1CEE3C01" w14:textId="0069DF0C" w:rsidR="00CE3BAD" w:rsidRDefault="00CE3BAD">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22D2" w14:textId="77777777" w:rsidR="00CE3BAD" w:rsidRDefault="00CE3BAD">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2AC9" w14:textId="77777777" w:rsidR="00CE3BAD" w:rsidRDefault="00CE3BAD">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409971"/>
      <w:docPartObj>
        <w:docPartGallery w:val="Page Numbers (Bottom of Page)"/>
        <w:docPartUnique/>
      </w:docPartObj>
    </w:sdtPr>
    <w:sdtEndPr>
      <w:rPr>
        <w:noProof/>
      </w:rPr>
    </w:sdtEndPr>
    <w:sdtContent>
      <w:p w14:paraId="7AFD302D" w14:textId="2B6D2D6D"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0E0FE4B1" w14:textId="2927E807" w:rsidR="00CE3BAD" w:rsidRDefault="00CE3BAD">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0BA94" w14:textId="77777777" w:rsidR="00CE3BAD" w:rsidRDefault="00CE3BAD">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E1D5" w14:textId="77777777" w:rsidR="00CE3BAD" w:rsidRDefault="00CE3B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666537"/>
      <w:docPartObj>
        <w:docPartGallery w:val="Page Numbers (Bottom of Page)"/>
        <w:docPartUnique/>
      </w:docPartObj>
    </w:sdtPr>
    <w:sdtEndPr>
      <w:rPr>
        <w:noProof/>
      </w:rPr>
    </w:sdtEndPr>
    <w:sdtContent>
      <w:p w14:paraId="1581DE7C" w14:textId="12D86F88" w:rsidR="00CE3BAD" w:rsidRDefault="006B5475">
        <w:pPr>
          <w:pStyle w:val="Footer"/>
          <w:jc w:val="center"/>
        </w:pPr>
        <w:r>
          <w:fldChar w:fldCharType="begin"/>
        </w:r>
        <w:r>
          <w:instrText xml:space="preserve"> PAGE   \* MERGEFORMAT </w:instrText>
        </w:r>
        <w:r>
          <w:fldChar w:fldCharType="separate"/>
        </w:r>
        <w:r w:rsidR="005D5FB5">
          <w:rPr>
            <w:noProof/>
          </w:rPr>
          <w:t>14</w:t>
        </w:r>
        <w:r>
          <w:fldChar w:fldCharType="end"/>
        </w:r>
      </w:p>
    </w:sdtContent>
  </w:sdt>
  <w:p w14:paraId="1C75460D" w14:textId="77777777" w:rsidR="00CE3BAD" w:rsidRDefault="00CE3BAD">
    <w:pPr>
      <w:pStyle w:val="Footer"/>
      <w:rPr>
        <w:rFonts w:ascii="Times New Roman" w:hAnsi="Times New Roman" w:cs="Times New Roman"/>
      </w:rP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213265"/>
      <w:docPartObj>
        <w:docPartGallery w:val="Page Numbers (Bottom of Page)"/>
        <w:docPartUnique/>
      </w:docPartObj>
    </w:sdtPr>
    <w:sdtEndPr>
      <w:rPr>
        <w:noProof/>
      </w:rPr>
    </w:sdtEndPr>
    <w:sdtContent>
      <w:p w14:paraId="02765614" w14:textId="1FFD2606"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537A677C" w14:textId="2E4AB108" w:rsidR="00CE3BAD" w:rsidRDefault="00CE3BAD">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0C1D" w14:textId="77777777" w:rsidR="00CE3BAD" w:rsidRDefault="00CE3BAD">
    <w:pPr>
      <w:pStyle w:val="FooterLandscape"/>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E0E8" w14:textId="517E5B78" w:rsidR="00CE3BAD" w:rsidRDefault="00CE3BAD">
    <w:pPr>
      <w:pStyle w:val="Footer"/>
    </w:pPr>
  </w:p>
  <w:p w14:paraId="2B9D12D8" w14:textId="77777777" w:rsidR="00CE3BAD" w:rsidRDefault="00CE3BAD"/>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593796"/>
      <w:docPartObj>
        <w:docPartGallery w:val="Page Numbers (Bottom of Page)"/>
        <w:docPartUnique/>
      </w:docPartObj>
    </w:sdtPr>
    <w:sdtEndPr>
      <w:rPr>
        <w:noProof/>
      </w:rPr>
    </w:sdtEndPr>
    <w:sdtContent>
      <w:p w14:paraId="5C5AA327" w14:textId="147E2A09" w:rsidR="00CE3BAD" w:rsidRDefault="006B5475">
        <w:pPr>
          <w:pStyle w:val="Footer"/>
          <w:jc w:val="center"/>
        </w:pPr>
        <w:r>
          <w:fldChar w:fldCharType="begin"/>
        </w:r>
        <w:r>
          <w:instrText xml:space="preserve"> PAGE   \* MERGEFORMAT </w:instrText>
        </w:r>
        <w:r>
          <w:fldChar w:fldCharType="separate"/>
        </w:r>
        <w:r>
          <w:t>2</w:t>
        </w:r>
        <w:r>
          <w:fldChar w:fldCharType="end"/>
        </w:r>
      </w:p>
    </w:sdtContent>
  </w:sdt>
  <w:p w14:paraId="5CBC2284" w14:textId="77777777" w:rsidR="00CE3BAD" w:rsidRDefault="00CE3BAD"/>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D5076" w14:textId="1117EA35" w:rsidR="00CE3BAD" w:rsidRDefault="00CE3BA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3E46" w14:textId="77777777" w:rsidR="00CE3BAD" w:rsidRDefault="00CE3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32415" w14:textId="77777777" w:rsidR="009447EB" w:rsidRDefault="009447EB">
      <w:pPr>
        <w:spacing w:after="0" w:line="240" w:lineRule="auto"/>
      </w:pPr>
      <w:r>
        <w:separator/>
      </w:r>
    </w:p>
  </w:footnote>
  <w:footnote w:type="continuationSeparator" w:id="0">
    <w:p w14:paraId="67F695B2" w14:textId="77777777" w:rsidR="006B5475" w:rsidRDefault="006B5475" w:rsidP="006B5475">
      <w:pPr>
        <w:spacing w:after="0" w:line="240" w:lineRule="auto"/>
      </w:pPr>
      <w:r>
        <w:separator/>
      </w:r>
    </w:p>
    <w:p w14:paraId="1ADC4354" w14:textId="73964C35" w:rsidR="009447EB" w:rsidRPr="006B5475" w:rsidRDefault="009447EB" w:rsidP="006B5475">
      <w:pPr>
        <w:pStyle w:val="Footer"/>
      </w:pPr>
    </w:p>
  </w:footnote>
  <w:footnote w:type="continuationNotice" w:id="1">
    <w:p w14:paraId="65246781" w14:textId="77777777" w:rsidR="009447EB" w:rsidRDefault="009447EB">
      <w:pPr>
        <w:spacing w:after="0" w:line="240" w:lineRule="auto"/>
      </w:pPr>
    </w:p>
  </w:footnote>
  <w:footnote w:id="2">
    <w:p w14:paraId="525CAD28" w14:textId="77777777" w:rsidR="00CE3BAD" w:rsidRDefault="006B5475">
      <w:pPr>
        <w:pStyle w:val="FootnoteText"/>
      </w:pPr>
      <w:r>
        <w:rPr>
          <w:rStyle w:val="FootnoteReference"/>
        </w:rPr>
        <w:footnoteRef/>
      </w:r>
      <w:r>
        <w:t xml:space="preserve"> </w:t>
      </w:r>
      <w:r>
        <w:rPr>
          <w:rFonts w:ascii="Times New Roman" w:hAnsi="Times New Roman"/>
        </w:rPr>
        <w:t>Инфилтрирането на вода от канали през техните брегове не се счита за природосъобразни решения.</w:t>
      </w:r>
    </w:p>
  </w:footnote>
  <w:footnote w:id="3">
    <w:p w14:paraId="511D1C5A" w14:textId="289D78AC" w:rsidR="00CE3BAD" w:rsidRDefault="006B547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Описанието на този компонент започва с инвестиция C4.I2 </w:t>
      </w:r>
      <w:r>
        <w:rPr>
          <w:rFonts w:ascii="Times New Roman" w:hAnsi="Times New Roman" w:cs="Times New Roman"/>
          <w:i/>
        </w:rPr>
        <w:t xml:space="preserve">Създаване на система за мониторинг </w:t>
      </w:r>
      <w:r>
        <w:rPr>
          <w:rFonts w:ascii="Times New Roman" w:hAnsi="Times New Roman" w:cs="Times New Roman"/>
        </w:rPr>
        <w:t xml:space="preserve">като инвестиция C4.I1 </w:t>
      </w:r>
      <w:r>
        <w:rPr>
          <w:rFonts w:ascii="Times New Roman" w:hAnsi="Times New Roman" w:cs="Times New Roman"/>
          <w:i/>
        </w:rPr>
        <w:t xml:space="preserve">Изграждане на основни системи за подмяна на вода, разработване на нови мрежи и системи </w:t>
      </w:r>
      <w:r>
        <w:rPr>
          <w:rFonts w:ascii="Times New Roman" w:hAnsi="Times New Roman" w:cs="Times New Roman"/>
        </w:rPr>
        <w:t xml:space="preserve">е премахнато в контекста на преразглеждането на плана. </w:t>
      </w:r>
    </w:p>
  </w:footnote>
  <w:footnote w:id="4">
    <w:p w14:paraId="1BED428A" w14:textId="77777777" w:rsidR="00CE3BAD" w:rsidRDefault="006B5475">
      <w:pPr>
        <w:spacing w:after="0" w:line="240" w:lineRule="auto"/>
        <w:jc w:val="both"/>
      </w:pPr>
      <w:r>
        <w:rPr>
          <w:rStyle w:val="FootnoteReference"/>
        </w:rPr>
        <w:footnoteRef/>
      </w:r>
      <w:r>
        <w:rPr>
          <w:rFonts w:ascii="Times New Roman" w:hAnsi="Times New Roman"/>
          <w:sz w:val="20"/>
        </w:rPr>
        <w:t xml:space="preserve">Такива природосъобразни решения включват, въз основа на </w:t>
      </w:r>
      <w:r>
        <w:rPr>
          <w:rFonts w:ascii="Times New Roman" w:hAnsi="Times New Roman"/>
          <w:i/>
          <w:sz w:val="20"/>
        </w:rPr>
        <w:t>доклада на NWRM — 53 NWRM, илюстрирани</w:t>
      </w:r>
      <w:r>
        <w:rPr>
          <w:rFonts w:ascii="Times New Roman" w:hAnsi="Times New Roman"/>
          <w:sz w:val="20"/>
        </w:rPr>
        <w:t>: N01 — басейни и езера, които проникват бавно в дъждовете или оттичащите се води към подпочвените води; N02 — Възстановяване и управление на влажни зони; N03 — Възстановяване и управление на наводнените равнини; N04 — Преосмисляне; N05 — Повторна натурализация на легло по течението; N06 — Възстановяване и повторно свързване на сезонни или временни потоци; N07 — Възстановяване на окисни езера и подобни характеристики; N13 — Възстановяване на естествената инфилтрация в подпочвените води</w:t>
      </w:r>
      <w:r>
        <w:t xml:space="preserve">. </w:t>
      </w:r>
    </w:p>
  </w:footnote>
  <w:footnote w:id="5">
    <w:p w14:paraId="781E58AF" w14:textId="77777777" w:rsidR="00CE3BAD" w:rsidRDefault="006B5475">
      <w:pPr>
        <w:pStyle w:val="FootnoteText"/>
      </w:pPr>
      <w:r>
        <w:rPr>
          <w:rStyle w:val="FootnoteReference"/>
        </w:rPr>
        <w:footnoteRef/>
      </w:r>
      <w:r>
        <w:t xml:space="preserve"> </w:t>
      </w:r>
      <w:r>
        <w:rPr>
          <w:rFonts w:ascii="Times New Roman" w:hAnsi="Times New Roman"/>
        </w:rPr>
        <w:t>Инфилтрирането на вода от канали през техните брегове не се счита за природосъобразни решения.</w:t>
      </w:r>
    </w:p>
  </w:footnote>
  <w:footnote w:id="6">
    <w:p w14:paraId="64441231" w14:textId="48709524" w:rsidR="00CE3BAD" w:rsidRDefault="006B5475">
      <w:pPr>
        <w:pStyle w:val="FootnoteText"/>
      </w:pPr>
      <w:r>
        <w:rPr>
          <w:rStyle w:val="FootnoteReference"/>
        </w:rPr>
        <w:footnoteRef/>
      </w:r>
      <w:r>
        <w:t xml:space="preserve"> </w:t>
      </w:r>
      <w:r>
        <w:rPr>
          <w:rFonts w:ascii="Times New Roman" w:hAnsi="Times New Roman" w:cs="Times New Roman"/>
        </w:rPr>
        <w:t>Инвестицията C6.I3</w:t>
      </w:r>
      <w:r>
        <w:rPr>
          <w:rFonts w:ascii="Times New Roman" w:hAnsi="Times New Roman" w:cs="Times New Roman"/>
          <w:i/>
        </w:rPr>
        <w:t xml:space="preserve"> Инсталиране на съоръжения за съхраняване на енергия за оператора на преносна система и операторите на разпределителни </w:t>
      </w:r>
      <w:r>
        <w:rPr>
          <w:rFonts w:ascii="Times New Roman" w:hAnsi="Times New Roman" w:cs="Times New Roman"/>
        </w:rPr>
        <w:t>системи е премахната в контекста на преразглеждането на плана.</w:t>
      </w:r>
    </w:p>
  </w:footnote>
  <w:footnote w:id="7">
    <w:p w14:paraId="406914C1" w14:textId="5597D4FD" w:rsidR="00CE3BAD" w:rsidRDefault="006B5475">
      <w:pPr>
        <w:pStyle w:val="FootnoteText"/>
      </w:pPr>
      <w:r>
        <w:rPr>
          <w:rStyle w:val="FootnoteReference"/>
        </w:rPr>
        <w:footnoteRef/>
      </w:r>
      <w:r>
        <w:t xml:space="preserve"> </w:t>
      </w:r>
      <w:r>
        <w:rPr>
          <w:rFonts w:ascii="Times New Roman" w:hAnsi="Times New Roman" w:cs="Times New Roman"/>
        </w:rPr>
        <w:t xml:space="preserve">Тази инвестиция е обозначена с C7.I2, тъй като инвестиция </w:t>
      </w:r>
      <w:r>
        <w:rPr>
          <w:rFonts w:ascii="Times New Roman" w:hAnsi="Times New Roman" w:cs="Times New Roman"/>
          <w:i/>
        </w:rPr>
        <w:t xml:space="preserve">C7.I1 Укрепване на интелигентна, иновативна и устойчива промишленост за управление на отпадъците и на пазара на вторични суровини </w:t>
      </w:r>
      <w:r>
        <w:rPr>
          <w:rFonts w:ascii="Times New Roman" w:hAnsi="Times New Roman" w:cs="Times New Roman"/>
        </w:rPr>
        <w:t>е премахната в контекста на преразглеждането на плана.</w:t>
      </w:r>
    </w:p>
  </w:footnote>
  <w:footnote w:id="8">
    <w:p w14:paraId="1D26D1B0" w14:textId="127BD9D2"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Процедура по член 6 от Регламент (ЕС, Евратом) 2020/2092 относно общ режим на обвързаност с условия за защита на бюджета на Съюза.</w:t>
      </w:r>
    </w:p>
  </w:footnote>
  <w:footnote w:id="9">
    <w:p w14:paraId="36540704" w14:textId="328D3516"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Става въпрос за ключови етапи 160, 166, 169, 171, 174, 175, 195, 197, 198, 200, 201, 213, 214, 215, 216, 217, 218, 219, 220, 221, 222, 223, 224, 225, 226, 227 и 228.</w:t>
      </w:r>
    </w:p>
  </w:footnote>
  <w:footnote w:id="10">
    <w:p w14:paraId="6A07F484" w14:textId="77777777" w:rsidR="00CE3BAD" w:rsidRDefault="006B547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Когато подпомаганата дейност постига прогнозирани емисии на парникови газове, които не са значително по-ниски от съответните бенчмаркове, следва да се представи обяснение на причините, поради които това не е възможно. Референтни стойности за безплатно предоставяне на квоти за дейностите, попадащи в обхвата на схемата за търговия с емисии, както е посочено в регламент за изпълнение (ЕС) 2021/447 на Комисията.</w:t>
      </w:r>
    </w:p>
  </w:footnote>
  <w:footnote w:id="11">
    <w:p w14:paraId="4E3C5214" w14:textId="77777777" w:rsidR="00CE3BAD" w:rsidRDefault="006B5475">
      <w:pPr>
        <w:pStyle w:val="FootnoteText"/>
      </w:pPr>
      <w:r>
        <w:rPr>
          <w:rStyle w:val="FootnoteReference"/>
          <w:rFonts w:ascii="Times New Roman" w:hAnsi="Times New Roman" w:cs="Times New Roman"/>
        </w:rPr>
        <w:footnoteRef/>
      </w:r>
      <w:r>
        <w:rPr>
          <w:rFonts w:ascii="Times New Roman" w:hAnsi="Times New Roman" w:cs="Times New Roman"/>
        </w:rPr>
        <w:t xml:space="preserve"> С изключение на а) проекти по тази мярка за производство на електрическа и/или топлинна енергия, както и съответната преносна и разпределителна инфраструктура с използване на природен газ, които отговарят на условията, определени в приложение III към Техническите насоки за „ненанасяне на значителни вреди“ (2021/C58/01); и б) дейности и активи по подточка i), за които използването на изкопаеми горива е временно и технически неизбежно за навременния преход към експлоатация без изкопаеми горива.</w:t>
      </w:r>
    </w:p>
  </w:footnote>
  <w:footnote w:id="12">
    <w:p w14:paraId="7B25B935" w14:textId="77777777" w:rsidR="00CE3BAD" w:rsidRDefault="006B5475">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С изключение на а) активи и дейности за производство на електроенергия и/или топлинна енергия, както и свързаната с тях преносна и разпределителна инфраструктура, използваща природен газ, които отговарят на условията, определени в приложение III към Техническите насоки за ненанасяне на значителни вреди (2021/C58/01) и б) дейностите и активите по подточка ii), за които използването на изкопаеми горива е временно и технически неизбежно за навременния преход към експлоатация без изкопаеми горива.</w:t>
      </w:r>
    </w:p>
  </w:footnote>
  <w:footnote w:id="13">
    <w:p w14:paraId="713F0E54" w14:textId="77777777" w:rsidR="00CE3BAD" w:rsidRDefault="006B5475">
      <w:pPr>
        <w:pStyle w:val="FootnoteText"/>
        <w:jc w:val="both"/>
        <w:rPr>
          <w:rFonts w:ascii="Times New Roman" w:eastAsia="EC Square Sans Pro"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Когато с подпомаганата дейност се постигат прогнозни емисии на парникови газове, които не са значително по-ниски от съответните референтни показатели, се предоставя обяснение на причините, поради които това не е възможно. Референтни стойности за безплатно предоставяне на квоти за дейностите, попадащи в обхвата на схемата за търговия с емисии, както е посочено в регламент за изпълнение (ЕС) 2021/447 на Комисията. </w:t>
      </w:r>
    </w:p>
  </w:footnote>
  <w:footnote w:id="14">
    <w:p w14:paraId="1B1591E5" w14:textId="77777777"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Това изключение не се прилага за действия по тази мярка в инсталации, предназначени изключително за третиране на нерециклируеми опасни отпадъци, както и за съществуващи инсталации, когато действията по тази мярка са с цел повишаване на енергийната ефективност, улавяне на отработени газове за съхранение или използване или оползотворяване на материали от пепелта от изгарянето,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са представени доказателства на равнище завод. </w:t>
      </w:r>
    </w:p>
  </w:footnote>
  <w:footnote w:id="15">
    <w:p w14:paraId="258ACEE4" w14:textId="77777777" w:rsidR="00CE3BAD" w:rsidRDefault="006B5475">
      <w:pPr>
        <w:pStyle w:val="FootnoteText"/>
        <w:jc w:val="both"/>
      </w:pPr>
      <w:r>
        <w:rPr>
          <w:rStyle w:val="FootnoteReference"/>
          <w:rFonts w:ascii="Times New Roman" w:hAnsi="Times New Roman" w:cs="Times New Roman"/>
        </w:rPr>
        <w:footnoteRef/>
      </w:r>
      <w:r>
        <w:rPr>
          <w:rFonts w:ascii="Times New Roman" w:hAnsi="Times New Roman" w:cs="Times New Roman"/>
        </w:rPr>
        <w:t>Това изключение не се прилага за действия по тази мярка в съществуващи инсталации за механично-биологично третиране, когато действията по тази мярка са с цел повишаване на енергийната ефективност или модернизиране на операциите по рециклиране на разделени отпадъци в компост на биологични отпадъци и анаеробно разграждане на биологични отпадъци,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са представени доказателства на равнище завод.</w:t>
      </w:r>
      <w:r>
        <w:t> </w:t>
      </w:r>
    </w:p>
  </w:footnote>
  <w:footnote w:id="16">
    <w:p w14:paraId="1C801C0A" w14:textId="1820E480"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От крайните бенефициери, асоциирани към конкретни проекти, се изисква да представят обосновка на избраната област на интервенция за всеки подпомаган проект, заедно с описание на проекта, за целите на изчисляването на приноса в областта на климата. От партньора по изпълнението се изисква също така да представя на държавата членка шестмесечен доклад за изпълнението на всеки проект/дейност.</w:t>
      </w:r>
    </w:p>
  </w:footnote>
  <w:footnote w:id="17">
    <w:p w14:paraId="592FCC5B" w14:textId="77777777" w:rsidR="00CE3BAD" w:rsidRDefault="006B5475">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С изключение на а) активи и дейности за производство на електроенергия и/или топлинна енергия, както и свързаната с тях преносна и разпределителна инфраструктура, използваща природен газ, които отговарят на условията, определени в приложение III към Техническите насоки за ненанасяне на значителни вреди (2021/C58/01) и б) дейностите и активите по подточка ii), за които използването на изкопаеми горива е временно и технически неизбежно за навременния преход към експлоатация без изкопаеми горива.</w:t>
      </w:r>
    </w:p>
  </w:footnote>
  <w:footnote w:id="18">
    <w:p w14:paraId="19BF9C7F" w14:textId="77777777" w:rsidR="00CE3BAD" w:rsidRDefault="006B5475">
      <w:pPr>
        <w:pStyle w:val="FootnoteText"/>
        <w:jc w:val="both"/>
        <w:rPr>
          <w:rFonts w:ascii="Times New Roman" w:eastAsia="EC Square Sans Pro"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Когато с подпомаганата дейност се постигат прогнозни емисии на парникови газове, които не са значително по-ниски от съответните референтни показатели, се предоставя обяснение на причините, поради които това не е възможно. Референтни стойности за безплатно предоставяне на квоти за дейностите, попадащи в обхвата на схемата за търговия с емисии, както е посочено в регламент за изпълнение (ЕС) 2021/447 на Комисията. </w:t>
      </w:r>
    </w:p>
  </w:footnote>
  <w:footnote w:id="19">
    <w:p w14:paraId="66E37B04" w14:textId="77777777"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Това изключение не се прилага за действия по тази мярка в инсталации, предназначени изключително за третиране на нерециклируеми опасни отпадъци, както и за съществуващи инсталации, когато действията по тази мярка са с цел повишаване на енергийната ефективност, улавяне на отработени газове за съхранение или използване или оползотворяване на материали от пепелта от изгарянето,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са представени доказателства на равнище завод. </w:t>
      </w:r>
    </w:p>
  </w:footnote>
  <w:footnote w:id="20">
    <w:p w14:paraId="3FF34236" w14:textId="77777777"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Това изключение не се прилага за действия по тази мярка в съществуващи инсталации за механично-биологично третиране, когато действията по тази мярка са с цел повишаване на енергийната ефективност или модернизиране на операциите по рециклиране на разделени отпадъци в компост на биологични отпадъци и анаеробно разграждане на биологични отпадъци,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са представени доказателства на равнище завод. </w:t>
      </w:r>
    </w:p>
  </w:footnote>
  <w:footnote w:id="21">
    <w:p w14:paraId="0F414FB4" w14:textId="06DE2ECC" w:rsidR="00CE3BAD" w:rsidRDefault="006B5475">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От крайните бенефициери, асоциирани към конкретни проекти, се изисква да представят обосновка на избраната област на интервенция за всеки подпомаган проект, заедно с описание на проекта, за целите на изчисляването на приноса в областта на климата. От партньора по изпълнението се изисква също така да представя на държавата членка шестмесечен доклад за изпълнението на всеки проект/дейност.</w:t>
      </w:r>
    </w:p>
  </w:footnote>
  <w:footnote w:id="22">
    <w:p w14:paraId="723FF1D3" w14:textId="77777777" w:rsidR="00CE3BAD" w:rsidRDefault="006B5475">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С изключение на а) активи и дейности за производство на електроенергия и/или топлинна енергия, както и свързаната с тях преносна и разпределителна инфраструктура, използваща природен газ, които отговарят на условията, определени в приложение III към Техническите насоки за ненанасяне на значителни вреди (2021/C58/01) и б) дейностите и активите по подточка ii), за които използването на изкопаеми горива е временно и технически неизбежно за навременния преход към експлоатация без изкопаеми горива.</w:t>
      </w:r>
    </w:p>
  </w:footnote>
  <w:footnote w:id="23">
    <w:p w14:paraId="1A2D0E30" w14:textId="77777777" w:rsidR="00CE3BAD" w:rsidRDefault="006B5475">
      <w:pPr>
        <w:pStyle w:val="FootnoteText"/>
        <w:jc w:val="both"/>
        <w:rPr>
          <w:rFonts w:ascii="Times New Roman" w:eastAsia="EC Square Sans Pro"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Когато с подпомаганата дейност се постигат прогнозни емисии на парникови газове, които не са значително по-ниски от съответните референтни показатели, се предоставя обяснение на причините, поради които това не е възможно. Референтни стойности за безплатно предоставяне на квоти за дейностите, попадащи в обхвата на схемата за търговия с емисии, както е посочено в регламент за изпълнение (ЕС) 2021/447 на Комисията. </w:t>
      </w:r>
    </w:p>
  </w:footnote>
  <w:footnote w:id="24">
    <w:p w14:paraId="4D85F585" w14:textId="77777777"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Това изключение не се прилага за действия по тази мярка в инсталации, предназначени изключително за третиране на нерециклируеми опасни отпадъци, както и за съществуващи инсталации, когато действията по тази мярка са с цел повишаване на енергийната ефективност, улавяне на отработени газове за съхранение или използване или оползотворяване на материали от пепелта от изгарянето,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са представени доказателства на равнище завод. </w:t>
      </w:r>
    </w:p>
  </w:footnote>
  <w:footnote w:id="25">
    <w:p w14:paraId="2728BDFE" w14:textId="77777777" w:rsidR="00CE3BAD" w:rsidRDefault="006B5475">
      <w:pPr>
        <w:pStyle w:val="FootnoteText"/>
        <w:jc w:val="both"/>
      </w:pPr>
      <w:r>
        <w:rPr>
          <w:rStyle w:val="FootnoteReference"/>
          <w:rFonts w:ascii="Times New Roman" w:hAnsi="Times New Roman" w:cs="Times New Roman"/>
        </w:rPr>
        <w:footnoteRef/>
      </w:r>
      <w:r>
        <w:rPr>
          <w:rFonts w:ascii="Times New Roman" w:hAnsi="Times New Roman" w:cs="Times New Roman"/>
        </w:rPr>
        <w:t>Това изключение не се прилага за действия по тази мярка в съществуващи инсталации за механично-биологично третиране, когато действията по тази мярка са с цел повишаване на енергийната ефективност или модернизиране на операциите по рециклиране на разделени отпадъци в компост на биологични отпадъци и анаеробно разграждане на биологични отпадъци,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са представени доказателства на равнище завод.</w:t>
      </w:r>
      <w:r>
        <w:t> </w:t>
      </w:r>
    </w:p>
  </w:footnote>
  <w:footnote w:id="26">
    <w:p w14:paraId="516DDA19" w14:textId="26C3412C" w:rsidR="00CE3BAD" w:rsidRDefault="006B5475">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От крайните бенефициери, асоциирани към конкретни проекти, се изисква да представят обосновка на избраната област на интервенция за всеки подпомаган проект, заедно с описание на проекта, за целите на изчисляването на приноса в областта на климата. От партньора по изпълнението се изисква също така да представя на държавата членка шестмесечен доклад за изпълнението на всеки проект/дейност.</w:t>
      </w:r>
    </w:p>
  </w:footnote>
  <w:footnote w:id="27">
    <w:p w14:paraId="610D8879" w14:textId="77777777" w:rsidR="00CE3BAD" w:rsidRDefault="006B5475">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С изключение на а) активи и дейности за производство на електроенергия и/или топлинна енергия, както и свързаната с тях преносна и разпределителна инфраструктура, използваща природен газ, които отговарят на условията, определени в приложение III към Техническите насоки за ненанасяне на значителни вреди (2021/C58/01) и б) дейностите и активите по подточка ii), за които използването на изкопаеми горива е временно и технически неизбежно за навременния преход към експлоатация без изкопаеми горива.</w:t>
      </w:r>
    </w:p>
  </w:footnote>
  <w:footnote w:id="28">
    <w:p w14:paraId="5F396392" w14:textId="77777777" w:rsidR="00CE3BAD" w:rsidRDefault="006B5475">
      <w:pPr>
        <w:pStyle w:val="FootnoteText"/>
        <w:jc w:val="both"/>
        <w:rPr>
          <w:rFonts w:ascii="Times New Roman" w:eastAsia="EC Square Sans Pro"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Когато с подпомаганата дейност се постигат прогнозни емисии на парникови газове, които не са значително по-ниски от съответните референтни показатели, се предоставя обяснение на причините, поради които това не е възможно. Референтни стойности за безплатно предоставяне на квоти за дейностите, попадащи в обхвата на схемата за търговия с емисии, както е посочено в регламент за изпълнение (ЕС) 2021/447 на Комисията. </w:t>
      </w:r>
    </w:p>
  </w:footnote>
  <w:footnote w:id="29">
    <w:p w14:paraId="37ADBB2C" w14:textId="77777777"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Това изключение не се прилага за действия по тази мярка в инсталации, предназначени изключително за третиране на нерециклируеми опасни отпадъци, както и за съществуващи инсталации, когато действията по тази мярка са с цел повишаване на енергийната ефективност, улавяне на отработени газове за съхранение или използване или оползотворяване на материали от пепелта от изгарянето,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са представени доказателства на равнище завод. </w:t>
      </w:r>
    </w:p>
  </w:footnote>
  <w:footnote w:id="30">
    <w:p w14:paraId="1EF24660" w14:textId="77777777"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Това изключение не се прилага за действия по тази мярка в съществуващи инсталации за механично-биологично третиране, когато действията по тази мярка са с цел повишаване на енергийната ефективност или модернизиране на операциите по рециклиране на разделени отпадъци в компост на биологични отпадъци и анаеробно разграждане на биологични отпадъци,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са представени доказателства на равнище завод. </w:t>
      </w:r>
    </w:p>
  </w:footnote>
  <w:footnote w:id="31">
    <w:p w14:paraId="2B8A6403" w14:textId="65D54E49" w:rsidR="00CE3BAD" w:rsidRDefault="006B5475">
      <w:pPr>
        <w:pStyle w:val="FootnoteText"/>
        <w:jc w:val="both"/>
      </w:pPr>
      <w:r>
        <w:rPr>
          <w:rStyle w:val="FootnoteReference"/>
          <w:rFonts w:ascii="Times New Roman" w:hAnsi="Times New Roman" w:cs="Times New Roman"/>
        </w:rPr>
        <w:footnoteRef/>
      </w:r>
      <w:r>
        <w:t xml:space="preserve"> </w:t>
      </w:r>
      <w:r>
        <w:rPr>
          <w:rFonts w:ascii="Times New Roman" w:hAnsi="Times New Roman" w:cs="Times New Roman"/>
        </w:rPr>
        <w:t>От крайните бенефициери, асоциирани към конкретни проекти, се изисква да представят обосновка на избраната област на интервенция за всеки подпомаган проект, заедно с описание на проекта, за целите на изчисляването на приноса в областта на климата. От партньора по изпълнението се изисква също така да представя на държавата членка шестмесечен доклад за изпълнението на всеки проект/дейност.</w:t>
      </w:r>
    </w:p>
  </w:footnote>
  <w:footnote w:id="32">
    <w:p w14:paraId="4F829DFA" w14:textId="77777777" w:rsidR="00CE3BAD" w:rsidRDefault="006B5475">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С изключение на а) активи и дейности за производство на електроенергия и/или топлинна енергия, както и свързаната с тях преносна и разпределителна инфраструктура, използваща природен газ, които отговарят на условията, определени в приложение III към Техническите насоки за ненанасяне на значителни вреди (2021/C58/01) и б) дейностите и активите по подточка ii), за които използването на изкопаеми горива е временно и технически неизбежно за навременния преход към експлоатация без изкопаеми горива.</w:t>
      </w:r>
    </w:p>
  </w:footnote>
  <w:footnote w:id="33">
    <w:p w14:paraId="60F35623" w14:textId="77777777" w:rsidR="00CE3BAD" w:rsidRDefault="006B5475">
      <w:pPr>
        <w:pStyle w:val="FootnoteText"/>
        <w:jc w:val="both"/>
        <w:rPr>
          <w:rFonts w:ascii="Times New Roman" w:eastAsia="EC Square Sans Pro"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Когато с подпомаганата дейност се постигат прогнозни емисии на парникови газове, които не са значително по-ниски от съответните референтни показатели, се предоставя обяснение на причините, поради които това не е възможно. Референтни стойности за безплатно предоставяне на квоти за дейностите, попадащи в обхвата на схемата за търговия с емисии, както е посочено в регламент за изпълнение (ЕС) 2021/447 на Комисията. </w:t>
      </w:r>
    </w:p>
  </w:footnote>
  <w:footnote w:id="34">
    <w:p w14:paraId="723C6024" w14:textId="77777777"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Това изключение не се прилага за действия по тази мярка в инсталации, предназначени изключително за третиране на нерециклируеми опасни отпадъци, както и за съществуващи инсталации, когато действията по тази мярка са с цел повишаване на енергийната ефективност, улавяне на отработени газове за съхранение или използване или оползотворяване на материали от пепелта от изгарянето,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са представени доказателства на равнище завод. </w:t>
      </w:r>
    </w:p>
  </w:footnote>
  <w:footnote w:id="35">
    <w:p w14:paraId="114146B5" w14:textId="77777777"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Това изключение не се прилага за действия по тази мярка в съществуващи инсталации за механично-биологично третиране, когато действията по тази мярка са с цел повишаване на енергийната ефективност или модернизиране на операциите по рециклиране на разделени отпадъци в компост на биологични отпадъци и анаеробно разграждане на биологични отпадъци,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за които са представени доказателства на равнище завод. </w:t>
      </w:r>
    </w:p>
  </w:footnote>
  <w:footnote w:id="36">
    <w:p w14:paraId="76B8D4A9" w14:textId="1CD68F12" w:rsidR="00CE3BAD" w:rsidRDefault="006B5475">
      <w:pPr>
        <w:pStyle w:val="FootnoteText"/>
        <w:jc w:val="both"/>
      </w:pPr>
      <w:r>
        <w:rPr>
          <w:rStyle w:val="FootnoteReference"/>
          <w:rFonts w:ascii="Times New Roman" w:hAnsi="Times New Roman" w:cs="Times New Roman"/>
        </w:rPr>
        <w:footnoteRef/>
      </w:r>
      <w:r>
        <w:t xml:space="preserve"> </w:t>
      </w:r>
      <w:r>
        <w:rPr>
          <w:rFonts w:ascii="Times New Roman" w:hAnsi="Times New Roman" w:cs="Times New Roman"/>
        </w:rPr>
        <w:t>От крайните бенефициери, асоциирани към конкретни проекти, се изисква да представят обосновка на избраната област на интервенция за всеки подпомаган проект, заедно с описание на проекта, за целите на изчисляването на приноса в областта на климата. От партньора по изпълнението се изисква също така да представя на държавата членка шестмесечен доклад за изпълнението на всеки проект/дейност.</w:t>
      </w:r>
    </w:p>
  </w:footnote>
  <w:footnote w:id="37">
    <w:p w14:paraId="46391A41" w14:textId="0286CBED"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Такъв е случаят с ключови етапи 160, 166, 169, 171, 174, 175, 195, 197, 198, 200, 201, 213, 214, 215, 216, 217, 218, 219, 220, 221, 222, 223, 224, 225, 226, 227 и 228, които трябва да бъдат изпълнени преди подаването на първото искане за плащане. Редица от мерките, съдържащи се в компонент 9, са приведени в съответствие с ангажиментите, поети от Унгария в рамките на процедурата по член 6 от Регламент (ЕС, Евратом) 2020/2092 относно общ режим на обвързаност с условия за защита на бюджета на Съюза.</w:t>
      </w:r>
    </w:p>
  </w:footnote>
  <w:footnote w:id="38">
    <w:p w14:paraId="4145690D" w14:textId="7F3BF233" w:rsidR="00CE3BAD" w:rsidRDefault="006B54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Ресорните министерства носят секторната отговорност за изпълнението на всички мерки от плана, с изключение на мерките в областта на управлението и публичната администрация, за които отговаря националният орган. </w:t>
      </w:r>
    </w:p>
  </w:footnote>
  <w:footnote w:id="39">
    <w:p w14:paraId="1EDBE760" w14:textId="4792C985" w:rsidR="00CE3BAD" w:rsidRDefault="006B5475">
      <w:pPr>
        <w:pStyle w:val="FootnoteText"/>
        <w:jc w:val="both"/>
      </w:pPr>
      <w:r>
        <w:rPr>
          <w:rStyle w:val="FootnoteReference"/>
          <w:rFonts w:ascii="Times New Roman" w:hAnsi="Times New Roman" w:cs="Times New Roman"/>
        </w:rPr>
        <w:footnoteRef/>
      </w:r>
      <w:r>
        <w:rPr>
          <w:rFonts w:ascii="Times New Roman" w:hAnsi="Times New Roman"/>
        </w:rPr>
        <w:t xml:space="preserve"> Тази информационна система се използва за кодиране на данни за кохезионните фондове и за периодите 2014—2020 г. и 2021—2027 г. Унгария разработи системата, за да гарантира, че тя отговаря и на специфичните изисквания на плана за възстановяване и устойчивост.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042A" w14:textId="77777777" w:rsidR="005D5FB5" w:rsidRPr="005D5FB5" w:rsidRDefault="005D5FB5" w:rsidP="005D5F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4ABE" w14:textId="77777777" w:rsidR="00CE3BAD" w:rsidRDefault="00CE3B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28845" w14:textId="77777777" w:rsidR="00CE3BAD" w:rsidRDefault="00CE3B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B638" w14:textId="77777777" w:rsidR="00CE3BAD" w:rsidRDefault="00CE3B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A854" w14:textId="77777777" w:rsidR="00CE3BAD" w:rsidRDefault="00CE3B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B985" w14:textId="77777777" w:rsidR="00CE3BAD" w:rsidRDefault="00CE3B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317C" w14:textId="77777777" w:rsidR="00CE3BAD" w:rsidRDefault="00CE3B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B36B" w14:textId="77777777" w:rsidR="00CE3BAD" w:rsidRDefault="00CE3B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9138" w14:textId="77777777" w:rsidR="00CE3BAD" w:rsidRDefault="00CE3BA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C086" w14:textId="77777777" w:rsidR="00CE3BAD" w:rsidRDefault="00CE3BA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6D99" w14:textId="77777777" w:rsidR="00CE3BAD" w:rsidRDefault="00CE3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9092" w14:textId="77777777" w:rsidR="005D5FB5" w:rsidRPr="005D5FB5" w:rsidRDefault="005D5FB5" w:rsidP="005D5FB5">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7C83" w14:textId="77777777" w:rsidR="00CE3BAD" w:rsidRDefault="00CE3BA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0369" w14:textId="77777777" w:rsidR="00CE3BAD" w:rsidRDefault="00CE3BA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4855" w14:textId="77777777" w:rsidR="00CE3BAD" w:rsidRDefault="00CE3BA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2068" w14:textId="77777777" w:rsidR="00CE3BAD" w:rsidRDefault="00CE3BA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BF71" w14:textId="77777777" w:rsidR="00CE3BAD" w:rsidRDefault="00CE3BA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D7CC" w14:textId="77777777" w:rsidR="00CE3BAD" w:rsidRDefault="00CE3BA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9C29" w14:textId="77777777" w:rsidR="00CE3BAD" w:rsidRDefault="00CE3BA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D20A" w14:textId="77777777" w:rsidR="00CE3BAD" w:rsidRDefault="00CE3BA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2663" w14:textId="77777777" w:rsidR="00CE3BAD" w:rsidRDefault="00CE3BA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8D9C" w14:textId="77777777" w:rsidR="00CE3BAD" w:rsidRDefault="00CE3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9B73" w14:textId="77777777" w:rsidR="005D5FB5" w:rsidRPr="005D5FB5" w:rsidRDefault="005D5FB5" w:rsidP="005D5FB5">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363C" w14:textId="77777777" w:rsidR="00CE3BAD" w:rsidRDefault="00CE3BA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C184E" w14:textId="77777777" w:rsidR="00CE3BAD" w:rsidRDefault="00CE3BA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E7B8" w14:textId="77777777" w:rsidR="00CE3BAD" w:rsidRDefault="00CE3BA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D102" w14:textId="77777777" w:rsidR="00CE3BAD" w:rsidRDefault="00CE3BA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2C97" w14:textId="77777777" w:rsidR="00CE3BAD" w:rsidRDefault="00CE3BA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CA0C" w14:textId="77777777" w:rsidR="00CE3BAD" w:rsidRDefault="00CE3BA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86F7" w14:textId="77777777" w:rsidR="00CE3BAD" w:rsidRDefault="00CE3BA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221A" w14:textId="77777777" w:rsidR="00CE3BAD" w:rsidRDefault="00CE3BA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4FBD" w14:textId="77777777" w:rsidR="00CE3BAD" w:rsidRDefault="00CE3BA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3F57" w14:textId="77777777" w:rsidR="00CE3BAD" w:rsidRDefault="00CE3B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F0DD1" w14:textId="77777777" w:rsidR="00CE3BAD" w:rsidRDefault="00CE3BA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2C83" w14:textId="77777777" w:rsidR="00CE3BAD" w:rsidRDefault="00CE3BA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9435" w14:textId="77777777" w:rsidR="00CE3BAD" w:rsidRDefault="00CE3BA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F599" w14:textId="77777777" w:rsidR="00CE3BAD" w:rsidRDefault="00CE3BA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4AAFC" w14:textId="77777777" w:rsidR="00CE3BAD" w:rsidRDefault="00CE3BA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29C8E" w14:textId="77777777" w:rsidR="00CE3BAD" w:rsidRDefault="00CE3BA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CBB9" w14:textId="77777777" w:rsidR="00CE3BAD" w:rsidRDefault="00CE3BA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A29F" w14:textId="77777777" w:rsidR="00CE3BAD" w:rsidRDefault="00CE3BA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73EAF" w14:textId="77777777" w:rsidR="00CE3BAD" w:rsidRDefault="00CE3BA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9219" w14:textId="77777777" w:rsidR="00CE3BAD" w:rsidRDefault="00CE3BA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BC25" w14:textId="77777777" w:rsidR="00CE3BAD" w:rsidRDefault="00CE3B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C3FC" w14:textId="77777777" w:rsidR="00CE3BAD" w:rsidRDefault="00CE3BA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8927" w14:textId="77777777" w:rsidR="00CE3BAD" w:rsidRDefault="00CE3BA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58EF" w14:textId="77777777" w:rsidR="00CE3BAD" w:rsidRDefault="00CE3BA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3B9A" w14:textId="77777777" w:rsidR="00CE3BAD" w:rsidRDefault="00CE3BAD">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B6A7" w14:textId="77777777" w:rsidR="00CE3BAD" w:rsidRDefault="00CE3BA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CEB53" w14:textId="77777777" w:rsidR="00CE3BAD" w:rsidRDefault="00CE3BA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29A78" w14:textId="77777777" w:rsidR="00CE3BAD" w:rsidRDefault="00CE3BAD">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AA7E" w14:textId="77777777" w:rsidR="00CE3BAD" w:rsidRDefault="00CE3BA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95F0" w14:textId="77777777" w:rsidR="00CE3BAD" w:rsidRDefault="00CE3BA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FE027" w14:textId="77777777" w:rsidR="00CE3BAD" w:rsidRDefault="00CE3BAD">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0EE1D" w14:textId="77777777" w:rsidR="00CE3BAD" w:rsidRDefault="00CE3B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1560" w14:textId="77777777" w:rsidR="00CE3BAD" w:rsidRDefault="00CE3BAD">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4C31" w14:textId="77777777" w:rsidR="00CE3BAD" w:rsidRDefault="00CE3BAD">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3E98" w14:textId="77777777" w:rsidR="00CE3BAD" w:rsidRDefault="00CE3BAD">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AC09" w14:textId="77777777" w:rsidR="00CE3BAD" w:rsidRDefault="00CE3BAD">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AD24" w14:textId="77777777" w:rsidR="00CE3BAD" w:rsidRDefault="00CE3BAD">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A337B" w14:textId="77777777" w:rsidR="00CE3BAD" w:rsidRDefault="00CE3BAD">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C9271" w14:textId="77777777" w:rsidR="00CE3BAD" w:rsidRDefault="00CE3BAD">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D12ED" w14:textId="77777777" w:rsidR="00CE3BAD" w:rsidRDefault="00CE3BAD">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1396" w14:textId="77777777" w:rsidR="00CE3BAD" w:rsidRDefault="00CE3BAD">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E3BAD" w14:paraId="0A1FD258" w14:textId="77777777">
      <w:trPr>
        <w:trHeight w:val="300"/>
      </w:trPr>
      <w:tc>
        <w:tcPr>
          <w:tcW w:w="3020" w:type="dxa"/>
        </w:tcPr>
        <w:p w14:paraId="3BD10004" w14:textId="77777777" w:rsidR="00CE3BAD" w:rsidRDefault="00CE3BAD">
          <w:pPr>
            <w:pStyle w:val="Header"/>
            <w:ind w:left="-115"/>
          </w:pPr>
        </w:p>
      </w:tc>
      <w:tc>
        <w:tcPr>
          <w:tcW w:w="3020" w:type="dxa"/>
        </w:tcPr>
        <w:p w14:paraId="5BFA7444" w14:textId="77777777" w:rsidR="00CE3BAD" w:rsidRDefault="00CE3BAD">
          <w:pPr>
            <w:pStyle w:val="Header"/>
            <w:jc w:val="center"/>
          </w:pPr>
        </w:p>
      </w:tc>
      <w:tc>
        <w:tcPr>
          <w:tcW w:w="3020" w:type="dxa"/>
        </w:tcPr>
        <w:p w14:paraId="324B343D" w14:textId="77777777" w:rsidR="00CE3BAD" w:rsidRDefault="00CE3BAD">
          <w:pPr>
            <w:pStyle w:val="Header"/>
            <w:ind w:right="-115"/>
            <w:jc w:val="right"/>
          </w:pPr>
        </w:p>
      </w:tc>
    </w:tr>
  </w:tbl>
  <w:p w14:paraId="01D526B4" w14:textId="77777777" w:rsidR="00CE3BAD" w:rsidRDefault="00CE3BAD">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8688" w14:textId="77777777" w:rsidR="00CE3BAD" w:rsidRDefault="00CE3B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A329" w14:textId="77777777" w:rsidR="00CE3BAD" w:rsidRDefault="00CE3BAD">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B0A17" w14:textId="77777777" w:rsidR="00CE3BAD" w:rsidRDefault="00CE3BAD">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E3BAD" w14:paraId="3759A60D" w14:textId="77777777">
      <w:trPr>
        <w:trHeight w:val="300"/>
      </w:trPr>
      <w:tc>
        <w:tcPr>
          <w:tcW w:w="3020" w:type="dxa"/>
        </w:tcPr>
        <w:p w14:paraId="2F562935" w14:textId="77777777" w:rsidR="00CE3BAD" w:rsidRDefault="00CE3BAD">
          <w:pPr>
            <w:pStyle w:val="Header"/>
            <w:ind w:left="-115"/>
          </w:pPr>
        </w:p>
      </w:tc>
      <w:tc>
        <w:tcPr>
          <w:tcW w:w="3020" w:type="dxa"/>
        </w:tcPr>
        <w:p w14:paraId="17779891" w14:textId="77777777" w:rsidR="00CE3BAD" w:rsidRDefault="00CE3BAD">
          <w:pPr>
            <w:pStyle w:val="Header"/>
            <w:jc w:val="center"/>
          </w:pPr>
        </w:p>
      </w:tc>
      <w:tc>
        <w:tcPr>
          <w:tcW w:w="3020" w:type="dxa"/>
        </w:tcPr>
        <w:p w14:paraId="6224C2FF" w14:textId="77777777" w:rsidR="00CE3BAD" w:rsidRDefault="00CE3BAD">
          <w:pPr>
            <w:pStyle w:val="Header"/>
            <w:ind w:right="-115"/>
            <w:jc w:val="right"/>
          </w:pPr>
        </w:p>
      </w:tc>
    </w:tr>
  </w:tbl>
  <w:p w14:paraId="05440C67" w14:textId="77777777" w:rsidR="00CE3BAD" w:rsidRDefault="00CE3BAD">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E1DC5" w14:textId="77777777" w:rsidR="00CE3BAD" w:rsidRDefault="00CE3BAD">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EC57" w14:textId="77777777" w:rsidR="00CE3BAD" w:rsidRDefault="00CE3BAD">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E3BAD" w14:paraId="5263ADBE" w14:textId="77777777">
      <w:trPr>
        <w:trHeight w:val="300"/>
      </w:trPr>
      <w:tc>
        <w:tcPr>
          <w:tcW w:w="3020" w:type="dxa"/>
        </w:tcPr>
        <w:p w14:paraId="4B6D4BBA" w14:textId="77777777" w:rsidR="00CE3BAD" w:rsidRDefault="00CE3BAD">
          <w:pPr>
            <w:pStyle w:val="Header"/>
            <w:ind w:left="-115"/>
          </w:pPr>
        </w:p>
      </w:tc>
      <w:tc>
        <w:tcPr>
          <w:tcW w:w="3020" w:type="dxa"/>
        </w:tcPr>
        <w:p w14:paraId="3AFF0107" w14:textId="77777777" w:rsidR="00CE3BAD" w:rsidRDefault="00CE3BAD">
          <w:pPr>
            <w:pStyle w:val="Header"/>
            <w:jc w:val="center"/>
          </w:pPr>
        </w:p>
      </w:tc>
      <w:tc>
        <w:tcPr>
          <w:tcW w:w="3020" w:type="dxa"/>
        </w:tcPr>
        <w:p w14:paraId="63D736F1" w14:textId="77777777" w:rsidR="00CE3BAD" w:rsidRDefault="00CE3BAD">
          <w:pPr>
            <w:pStyle w:val="Header"/>
            <w:ind w:right="-115"/>
            <w:jc w:val="right"/>
          </w:pPr>
        </w:p>
      </w:tc>
    </w:tr>
  </w:tbl>
  <w:p w14:paraId="550D24F8" w14:textId="77777777" w:rsidR="00CE3BAD" w:rsidRDefault="00CE3BAD">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820B" w14:textId="77777777" w:rsidR="00CE3BAD" w:rsidRDefault="00CE3BAD">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357F" w14:textId="77777777" w:rsidR="00CE3BAD" w:rsidRDefault="00CE3BAD">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E3BAD" w14:paraId="11F3D24C" w14:textId="77777777">
      <w:trPr>
        <w:trHeight w:val="300"/>
      </w:trPr>
      <w:tc>
        <w:tcPr>
          <w:tcW w:w="3020" w:type="dxa"/>
        </w:tcPr>
        <w:p w14:paraId="15AE2976" w14:textId="77777777" w:rsidR="00CE3BAD" w:rsidRDefault="00CE3BAD">
          <w:pPr>
            <w:pStyle w:val="Header"/>
            <w:ind w:left="-115"/>
          </w:pPr>
        </w:p>
      </w:tc>
      <w:tc>
        <w:tcPr>
          <w:tcW w:w="3020" w:type="dxa"/>
        </w:tcPr>
        <w:p w14:paraId="55794252" w14:textId="77777777" w:rsidR="00CE3BAD" w:rsidRDefault="00CE3BAD">
          <w:pPr>
            <w:pStyle w:val="Header"/>
            <w:jc w:val="center"/>
          </w:pPr>
        </w:p>
      </w:tc>
      <w:tc>
        <w:tcPr>
          <w:tcW w:w="3020" w:type="dxa"/>
        </w:tcPr>
        <w:p w14:paraId="27F2354F" w14:textId="77777777" w:rsidR="00CE3BAD" w:rsidRDefault="00CE3BAD">
          <w:pPr>
            <w:pStyle w:val="Header"/>
            <w:ind w:right="-115"/>
            <w:jc w:val="right"/>
          </w:pPr>
        </w:p>
      </w:tc>
    </w:tr>
  </w:tbl>
  <w:p w14:paraId="51D762BC" w14:textId="77777777" w:rsidR="00CE3BAD" w:rsidRDefault="00CE3BAD">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61DC" w14:textId="77777777" w:rsidR="00CE3BAD" w:rsidRDefault="00CE3BAD">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DAA9A" w14:textId="77777777" w:rsidR="00CE3BAD" w:rsidRDefault="00CE3B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5F39" w14:textId="77777777" w:rsidR="00CE3BAD" w:rsidRDefault="00CE3BAD">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7A00" w14:textId="77777777" w:rsidR="00CE3BAD" w:rsidRDefault="00CE3BAD">
    <w:pPr>
      <w:pStyle w:val="HeaderLandscape"/>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30D3" w14:textId="77777777" w:rsidR="00CE3BAD" w:rsidRDefault="00CE3BAD">
    <w:pPr>
      <w:pStyle w:val="HeaderLandscape"/>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2C70" w14:textId="638C2F33" w:rsidR="00CE3BAD" w:rsidRDefault="00CE3BAD">
    <w:pPr>
      <w:pStyle w:val="Header"/>
    </w:pPr>
  </w:p>
  <w:p w14:paraId="75595C6A" w14:textId="77777777" w:rsidR="00CE3BAD" w:rsidRDefault="00CE3BAD"/>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838C" w14:textId="5DB93AC3" w:rsidR="00CE3BAD" w:rsidRDefault="00CE3BAD">
    <w:pPr>
      <w:pStyle w:val="Header"/>
    </w:pPr>
  </w:p>
  <w:p w14:paraId="412C065E" w14:textId="77777777" w:rsidR="00CE3BAD" w:rsidRDefault="00CE3BAD"/>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273E" w14:textId="5D80A5E7" w:rsidR="00CE3BAD" w:rsidRDefault="00CE3B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3694" w14:textId="77777777" w:rsidR="00CE3BAD" w:rsidRDefault="00CE3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30AB8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43046D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92103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664F7"/>
    <w:multiLevelType w:val="multilevel"/>
    <w:tmpl w:val="57886D9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а, й, к, ..."/>
        </mc:Choice>
        <mc:Fallback>
          <w:numFmt w:val="decimal"/>
        </mc:Fallback>
      </mc:AlternateContent>
      <w:lvlText w:val="%3."/>
      <w:lvlJc w:val="left"/>
      <w:pPr>
        <w:ind w:left="7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37395B"/>
    <w:multiLevelType w:val="hybridMultilevel"/>
    <w:tmpl w:val="9334BE8C"/>
    <w:lvl w:ilvl="0" w:tplc="CF4AC1D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5F7889"/>
    <w:multiLevelType w:val="hybridMultilevel"/>
    <w:tmpl w:val="8046A0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44316D"/>
    <w:multiLevelType w:val="hybridMultilevel"/>
    <w:tmpl w:val="D602826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FB6A91"/>
    <w:multiLevelType w:val="multilevel"/>
    <w:tmpl w:val="A5507D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9942937"/>
    <w:multiLevelType w:val="multilevel"/>
    <w:tmpl w:val="A5507D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5C1040"/>
    <w:multiLevelType w:val="multilevel"/>
    <w:tmpl w:val="A5507D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FB3065F"/>
    <w:multiLevelType w:val="hybridMultilevel"/>
    <w:tmpl w:val="FFFFFFFF"/>
    <w:lvl w:ilvl="0" w:tplc="DB4A215E">
      <w:start w:val="1"/>
      <w:numFmt w:val="lowerLetter"/>
      <w:lvlText w:val="(%1)"/>
      <w:lvlJc w:val="left"/>
      <w:pPr>
        <w:ind w:left="1440" w:hanging="360"/>
      </w:pPr>
    </w:lvl>
    <w:lvl w:ilvl="1" w:tplc="942E3434">
      <w:start w:val="1"/>
      <w:numFmt w:val="lowerLetter"/>
      <w:lvlText w:val="%2."/>
      <w:lvlJc w:val="left"/>
      <w:pPr>
        <w:ind w:left="2160" w:hanging="360"/>
      </w:pPr>
    </w:lvl>
    <w:lvl w:ilvl="2" w:tplc="2BA25704">
      <w:start w:val="1"/>
      <w:numFmt w:val="lowerRoman"/>
      <w:lvlText w:val="%3."/>
      <w:lvlJc w:val="right"/>
      <w:pPr>
        <w:ind w:left="2880" w:hanging="180"/>
      </w:pPr>
    </w:lvl>
    <w:lvl w:ilvl="3" w:tplc="AA923AD0">
      <w:start w:val="1"/>
      <w:numFmt w:val="decimal"/>
      <w:lvlText w:val="%4."/>
      <w:lvlJc w:val="left"/>
      <w:pPr>
        <w:ind w:left="3600" w:hanging="360"/>
      </w:pPr>
    </w:lvl>
    <w:lvl w:ilvl="4" w:tplc="8F483DE8">
      <w:start w:val="1"/>
      <w:numFmt w:val="lowerLetter"/>
      <w:lvlText w:val="%5."/>
      <w:lvlJc w:val="left"/>
      <w:pPr>
        <w:ind w:left="4320" w:hanging="360"/>
      </w:pPr>
    </w:lvl>
    <w:lvl w:ilvl="5" w:tplc="732CE638">
      <w:start w:val="1"/>
      <w:numFmt w:val="lowerRoman"/>
      <w:lvlText w:val="%6."/>
      <w:lvlJc w:val="right"/>
      <w:pPr>
        <w:ind w:left="5040" w:hanging="180"/>
      </w:pPr>
    </w:lvl>
    <w:lvl w:ilvl="6" w:tplc="977C1B6A">
      <w:start w:val="1"/>
      <w:numFmt w:val="decimal"/>
      <w:lvlText w:val="%7."/>
      <w:lvlJc w:val="left"/>
      <w:pPr>
        <w:ind w:left="5760" w:hanging="360"/>
      </w:pPr>
    </w:lvl>
    <w:lvl w:ilvl="7" w:tplc="0696EFF2">
      <w:start w:val="1"/>
      <w:numFmt w:val="lowerLetter"/>
      <w:lvlText w:val="%8."/>
      <w:lvlJc w:val="left"/>
      <w:pPr>
        <w:ind w:left="6480" w:hanging="360"/>
      </w:pPr>
    </w:lvl>
    <w:lvl w:ilvl="8" w:tplc="D542E396">
      <w:start w:val="1"/>
      <w:numFmt w:val="lowerRoman"/>
      <w:lvlText w:val="%9."/>
      <w:lvlJc w:val="right"/>
      <w:pPr>
        <w:ind w:left="7200" w:hanging="180"/>
      </w:pPr>
    </w:lvl>
  </w:abstractNum>
  <w:abstractNum w:abstractNumId="12" w15:restartNumberingAfterBreak="0">
    <w:nsid w:val="106E0F83"/>
    <w:multiLevelType w:val="multilevel"/>
    <w:tmpl w:val="A5507D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1F72E6"/>
    <w:multiLevelType w:val="hybridMultilevel"/>
    <w:tmpl w:val="4704D86E"/>
    <w:lvl w:ilvl="0" w:tplc="1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E948EA"/>
    <w:multiLevelType w:val="hybridMultilevel"/>
    <w:tmpl w:val="F376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56000"/>
    <w:multiLevelType w:val="hybridMultilevel"/>
    <w:tmpl w:val="B9CA1CD2"/>
    <w:lvl w:ilvl="0" w:tplc="FFFFFFFF">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095C46"/>
    <w:multiLevelType w:val="hybridMultilevel"/>
    <w:tmpl w:val="B1580190"/>
    <w:lvl w:ilvl="0" w:tplc="EDD82E6E">
      <w:start w:val="5"/>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8220F9B"/>
    <w:multiLevelType w:val="multilevel"/>
    <w:tmpl w:val="ADE22D72"/>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15:restartNumberingAfterBreak="0">
    <w:nsid w:val="1C2C754A"/>
    <w:multiLevelType w:val="multilevel"/>
    <w:tmpl w:val="E752DD88"/>
    <w:lvl w:ilvl="0">
      <w:start w:val="1"/>
      <w:numFmt w:val="decimal"/>
      <w:lvlText w:val="%1."/>
      <w:lvlJc w:val="left"/>
      <w:pPr>
        <w:ind w:left="476" w:hanging="476"/>
      </w:pPr>
      <w:rPr>
        <w:rFonts w:hint="default"/>
        <w:b w:val="0"/>
        <w:bCs w:val="0"/>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ascii="Times New Roman" w:eastAsiaTheme="minorHAnsi"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476A4D"/>
    <w:multiLevelType w:val="hybridMultilevel"/>
    <w:tmpl w:val="D8A81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734684"/>
    <w:multiLevelType w:val="multilevel"/>
    <w:tmpl w:val="A5507D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82C67BF"/>
    <w:multiLevelType w:val="hybridMultilevel"/>
    <w:tmpl w:val="FC8E59E0"/>
    <w:lvl w:ilvl="0" w:tplc="FFFFFFFF">
      <w:start w:val="1"/>
      <w:numFmt w:val="lowerLetter"/>
      <w:lvlText w:val="%1."/>
      <w:lvlJc w:val="left"/>
      <w:pPr>
        <w:ind w:left="720" w:hanging="360"/>
      </w:pPr>
    </w:lvl>
    <w:lvl w:ilvl="1" w:tplc="1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395275F8">
      <w:start w:val="1"/>
      <w:numFmt w:val="lowerRoman"/>
      <w:lvlText w:val="%4)"/>
      <w:lvlJc w:val="left"/>
      <w:pPr>
        <w:ind w:left="3240" w:hanging="72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BC27D6D"/>
    <w:multiLevelType w:val="hybridMultilevel"/>
    <w:tmpl w:val="44387B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584D8E"/>
    <w:multiLevelType w:val="multilevel"/>
    <w:tmpl w:val="186C3372"/>
    <w:lvl w:ilvl="0">
      <w:start w:val="1"/>
      <w:numFmt w:val="decimal"/>
      <w:lvlText w:val="%1."/>
      <w:lvlJc w:val="left"/>
      <w:pPr>
        <w:ind w:left="476" w:hanging="476"/>
      </w:pPr>
      <w:rPr>
        <w:rFonts w:hint="default"/>
        <w:b w:val="0"/>
        <w:bCs w:val="0"/>
      </w:rPr>
    </w:lvl>
    <w:lvl w:ilvl="1">
      <w:start w:val="1"/>
      <mc:AlternateContent>
        <mc:Choice Requires="w14">
          <w:numFmt w:val="custom" w:format="а, й, к, ..."/>
        </mc:Choice>
        <mc:Fallback>
          <w:numFmt w:val="decimal"/>
        </mc:Fallback>
      </mc:AlternateContent>
      <w:lvlText w:val="%2."/>
      <w:lvlJc w:val="left"/>
      <w:pPr>
        <w:ind w:left="836" w:hanging="360"/>
      </w:pPr>
      <w:rPr>
        <w:rFonts w:hint="default"/>
      </w:rPr>
    </w:lvl>
    <w:lvl w:ilvl="2">
      <w:start w:val="1"/>
      <w:numFmt w:val="lowerRoman"/>
      <w:lvlText w:val="%3."/>
      <w:lvlJc w:val="left"/>
      <w:pPr>
        <w:ind w:left="1429" w:hanging="476"/>
      </w:pPr>
      <w:rPr>
        <w:rFonts w:ascii="Times New Roman" w:eastAsiaTheme="minorHAnsi"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E246628"/>
    <w:multiLevelType w:val="hybridMultilevel"/>
    <w:tmpl w:val="8E3A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8D66B4"/>
    <w:multiLevelType w:val="hybridMultilevel"/>
    <w:tmpl w:val="BCACA684"/>
    <w:lvl w:ilvl="0" w:tplc="FFFFFFF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5B94142"/>
    <w:multiLevelType w:val="hybridMultilevel"/>
    <w:tmpl w:val="C2B8C4FE"/>
    <w:lvl w:ilvl="0" w:tplc="040E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D0193F"/>
    <w:multiLevelType w:val="hybridMultilevel"/>
    <w:tmpl w:val="264807FE"/>
    <w:lvl w:ilvl="0" w:tplc="38E2A2CC">
      <w:start w:val="1"/>
      <mc:AlternateContent>
        <mc:Choice Requires="w14">
          <w:numFmt w:val="custom" w:format="а, й, к, ..."/>
        </mc:Choice>
        <mc:Fallback>
          <w:numFmt w:val="decimal"/>
        </mc:Fallback>
      </mc:AlternateContent>
      <w:lvlText w:val="%1)"/>
      <w:lvlJc w:val="left"/>
      <w:pPr>
        <w:ind w:left="788" w:hanging="360"/>
      </w:pPr>
      <w:rPr>
        <w:rFonts w:ascii="Times New Roman" w:hAnsi="Times New Roman" w:cs="Times New Roman" w:hint="default"/>
        <w:sz w:val="24"/>
        <w:szCs w:val="24"/>
      </w:rPr>
    </w:lvl>
    <w:lvl w:ilvl="1" w:tplc="FFFFFFFF" w:tentative="1">
      <w:start w:val="1"/>
      <w:numFmt w:val="bullet"/>
      <w:lvlText w:val="o"/>
      <w:lvlJc w:val="left"/>
      <w:pPr>
        <w:ind w:left="1508" w:hanging="360"/>
      </w:pPr>
      <w:rPr>
        <w:rFonts w:ascii="Courier New" w:hAnsi="Courier New" w:cs="Courier New" w:hint="default"/>
      </w:rPr>
    </w:lvl>
    <w:lvl w:ilvl="2" w:tplc="FFFFFFFF" w:tentative="1">
      <w:start w:val="1"/>
      <w:numFmt w:val="bullet"/>
      <w:lvlText w:val=""/>
      <w:lvlJc w:val="left"/>
      <w:pPr>
        <w:ind w:left="2228" w:hanging="360"/>
      </w:pPr>
      <w:rPr>
        <w:rFonts w:ascii="Wingdings" w:hAnsi="Wingdings" w:hint="default"/>
      </w:rPr>
    </w:lvl>
    <w:lvl w:ilvl="3" w:tplc="FFFFFFFF" w:tentative="1">
      <w:start w:val="1"/>
      <w:numFmt w:val="bullet"/>
      <w:lvlText w:val=""/>
      <w:lvlJc w:val="left"/>
      <w:pPr>
        <w:ind w:left="2948" w:hanging="360"/>
      </w:pPr>
      <w:rPr>
        <w:rFonts w:ascii="Symbol" w:hAnsi="Symbol" w:hint="default"/>
      </w:rPr>
    </w:lvl>
    <w:lvl w:ilvl="4" w:tplc="FFFFFFFF" w:tentative="1">
      <w:start w:val="1"/>
      <w:numFmt w:val="bullet"/>
      <w:lvlText w:val="o"/>
      <w:lvlJc w:val="left"/>
      <w:pPr>
        <w:ind w:left="3668" w:hanging="360"/>
      </w:pPr>
      <w:rPr>
        <w:rFonts w:ascii="Courier New" w:hAnsi="Courier New" w:cs="Courier New" w:hint="default"/>
      </w:rPr>
    </w:lvl>
    <w:lvl w:ilvl="5" w:tplc="FFFFFFFF" w:tentative="1">
      <w:start w:val="1"/>
      <w:numFmt w:val="bullet"/>
      <w:lvlText w:val=""/>
      <w:lvlJc w:val="left"/>
      <w:pPr>
        <w:ind w:left="4388" w:hanging="360"/>
      </w:pPr>
      <w:rPr>
        <w:rFonts w:ascii="Wingdings" w:hAnsi="Wingdings" w:hint="default"/>
      </w:rPr>
    </w:lvl>
    <w:lvl w:ilvl="6" w:tplc="FFFFFFFF" w:tentative="1">
      <w:start w:val="1"/>
      <w:numFmt w:val="bullet"/>
      <w:lvlText w:val=""/>
      <w:lvlJc w:val="left"/>
      <w:pPr>
        <w:ind w:left="5108" w:hanging="360"/>
      </w:pPr>
      <w:rPr>
        <w:rFonts w:ascii="Symbol" w:hAnsi="Symbol" w:hint="default"/>
      </w:rPr>
    </w:lvl>
    <w:lvl w:ilvl="7" w:tplc="FFFFFFFF" w:tentative="1">
      <w:start w:val="1"/>
      <w:numFmt w:val="bullet"/>
      <w:lvlText w:val="o"/>
      <w:lvlJc w:val="left"/>
      <w:pPr>
        <w:ind w:left="5828" w:hanging="360"/>
      </w:pPr>
      <w:rPr>
        <w:rFonts w:ascii="Courier New" w:hAnsi="Courier New" w:cs="Courier New" w:hint="default"/>
      </w:rPr>
    </w:lvl>
    <w:lvl w:ilvl="8" w:tplc="FFFFFFFF" w:tentative="1">
      <w:start w:val="1"/>
      <w:numFmt w:val="bullet"/>
      <w:lvlText w:val=""/>
      <w:lvlJc w:val="left"/>
      <w:pPr>
        <w:ind w:left="6548" w:hanging="360"/>
      </w:pPr>
      <w:rPr>
        <w:rFonts w:ascii="Wingdings" w:hAnsi="Wingdings" w:hint="default"/>
      </w:rPr>
    </w:lvl>
  </w:abstractNum>
  <w:abstractNum w:abstractNumId="33" w15:restartNumberingAfterBreak="0">
    <w:nsid w:val="38E55C55"/>
    <w:multiLevelType w:val="hybridMultilevel"/>
    <w:tmpl w:val="4D809F9C"/>
    <w:lvl w:ilvl="0" w:tplc="E702ECD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95264BE"/>
    <w:multiLevelType w:val="hybridMultilevel"/>
    <w:tmpl w:val="54C8D48C"/>
    <w:lvl w:ilvl="0" w:tplc="FFFFFFFF">
      <w:start w:val="1"/>
      <w:numFmt w:val="lowerRoman"/>
      <w:lvlText w:val="%1)"/>
      <w:lvlJc w:val="left"/>
      <w:pPr>
        <w:ind w:left="1080" w:hanging="360"/>
      </w:pPr>
    </w:lvl>
    <w:lvl w:ilvl="1" w:tplc="5E926BE6">
      <w:start w:val="1"/>
      <w:numFmt w:val="lowerLetter"/>
      <w:lvlText w:val="%2."/>
      <w:lvlJc w:val="left"/>
      <w:pPr>
        <w:ind w:left="1440" w:hanging="360"/>
      </w:pPr>
    </w:lvl>
    <w:lvl w:ilvl="2" w:tplc="E1A2BFC2">
      <w:start w:val="1"/>
      <w:numFmt w:val="lowerRoman"/>
      <w:lvlText w:val="%3."/>
      <w:lvlJc w:val="right"/>
      <w:pPr>
        <w:ind w:left="2160" w:hanging="180"/>
      </w:pPr>
    </w:lvl>
    <w:lvl w:ilvl="3" w:tplc="07C68370">
      <w:start w:val="1"/>
      <w:numFmt w:val="decimal"/>
      <w:lvlText w:val="%4."/>
      <w:lvlJc w:val="left"/>
      <w:pPr>
        <w:ind w:left="2880" w:hanging="360"/>
      </w:pPr>
    </w:lvl>
    <w:lvl w:ilvl="4" w:tplc="C6BC9BBE">
      <w:start w:val="1"/>
      <w:numFmt w:val="lowerLetter"/>
      <w:lvlText w:val="%5."/>
      <w:lvlJc w:val="left"/>
      <w:pPr>
        <w:ind w:left="3600" w:hanging="360"/>
      </w:pPr>
    </w:lvl>
    <w:lvl w:ilvl="5" w:tplc="6268C47A">
      <w:start w:val="1"/>
      <w:numFmt w:val="lowerRoman"/>
      <w:lvlText w:val="%6."/>
      <w:lvlJc w:val="right"/>
      <w:pPr>
        <w:ind w:left="4320" w:hanging="180"/>
      </w:pPr>
    </w:lvl>
    <w:lvl w:ilvl="6" w:tplc="078013DC">
      <w:start w:val="1"/>
      <w:numFmt w:val="decimal"/>
      <w:lvlText w:val="%7."/>
      <w:lvlJc w:val="left"/>
      <w:pPr>
        <w:ind w:left="5040" w:hanging="360"/>
      </w:pPr>
    </w:lvl>
    <w:lvl w:ilvl="7" w:tplc="5E88E316">
      <w:start w:val="1"/>
      <w:numFmt w:val="lowerLetter"/>
      <w:lvlText w:val="%8."/>
      <w:lvlJc w:val="left"/>
      <w:pPr>
        <w:ind w:left="5760" w:hanging="360"/>
      </w:pPr>
    </w:lvl>
    <w:lvl w:ilvl="8" w:tplc="89201066">
      <w:start w:val="1"/>
      <w:numFmt w:val="lowerRoman"/>
      <w:lvlText w:val="%9."/>
      <w:lvlJc w:val="right"/>
      <w:pPr>
        <w:ind w:left="6480" w:hanging="180"/>
      </w:pPr>
    </w:lvl>
  </w:abstractNum>
  <w:abstractNum w:abstractNumId="35" w15:restartNumberingAfterBreak="0">
    <w:nsid w:val="3A534033"/>
    <w:multiLevelType w:val="hybridMultilevel"/>
    <w:tmpl w:val="B8E6F67E"/>
    <w:lvl w:ilvl="0" w:tplc="38E2A2CC">
      <w:start w:val="1"/>
      <mc:AlternateContent>
        <mc:Choice Requires="w14">
          <w:numFmt w:val="custom" w:format="а, й, к, ..."/>
        </mc:Choice>
        <mc:Fallback>
          <w:numFmt w:val="decimal"/>
        </mc:Fallback>
      </mc:AlternateContent>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C037935"/>
    <w:multiLevelType w:val="hybridMultilevel"/>
    <w:tmpl w:val="892283D2"/>
    <w:lvl w:ilvl="0" w:tplc="CF4AC1D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500C07"/>
    <w:multiLevelType w:val="hybridMultilevel"/>
    <w:tmpl w:val="5AC0F1F6"/>
    <w:lvl w:ilvl="0" w:tplc="C576E85E">
      <w:start w:val="1"/>
      <w:numFmt w:val="lowerRoman"/>
      <w:lvlText w:val="%1)"/>
      <w:lvlJc w:val="left"/>
      <w:pPr>
        <w:ind w:left="1800" w:hanging="360"/>
      </w:pPr>
    </w:lvl>
    <w:lvl w:ilvl="1" w:tplc="E4F2B198">
      <w:start w:val="1"/>
      <w:numFmt w:val="lowerLetter"/>
      <w:lvlText w:val="%2."/>
      <w:lvlJc w:val="left"/>
      <w:pPr>
        <w:ind w:left="2520" w:hanging="360"/>
      </w:pPr>
    </w:lvl>
    <w:lvl w:ilvl="2" w:tplc="B8F2CBDA">
      <w:start w:val="1"/>
      <w:numFmt w:val="lowerRoman"/>
      <w:lvlText w:val="%3."/>
      <w:lvlJc w:val="right"/>
      <w:pPr>
        <w:ind w:left="3240" w:hanging="180"/>
      </w:pPr>
    </w:lvl>
    <w:lvl w:ilvl="3" w:tplc="025E36F2">
      <w:start w:val="1"/>
      <w:numFmt w:val="decimal"/>
      <w:lvlText w:val="%4."/>
      <w:lvlJc w:val="left"/>
      <w:pPr>
        <w:ind w:left="3960" w:hanging="360"/>
      </w:pPr>
    </w:lvl>
    <w:lvl w:ilvl="4" w:tplc="32BA79D4">
      <w:start w:val="1"/>
      <w:numFmt w:val="lowerLetter"/>
      <w:lvlText w:val="%5."/>
      <w:lvlJc w:val="left"/>
      <w:pPr>
        <w:ind w:left="4680" w:hanging="360"/>
      </w:pPr>
    </w:lvl>
    <w:lvl w:ilvl="5" w:tplc="49FCDC34">
      <w:start w:val="1"/>
      <w:numFmt w:val="lowerRoman"/>
      <w:lvlText w:val="%6."/>
      <w:lvlJc w:val="right"/>
      <w:pPr>
        <w:ind w:left="5400" w:hanging="180"/>
      </w:pPr>
    </w:lvl>
    <w:lvl w:ilvl="6" w:tplc="48CE59FA">
      <w:start w:val="1"/>
      <w:numFmt w:val="decimal"/>
      <w:lvlText w:val="%7."/>
      <w:lvlJc w:val="left"/>
      <w:pPr>
        <w:ind w:left="6120" w:hanging="360"/>
      </w:pPr>
    </w:lvl>
    <w:lvl w:ilvl="7" w:tplc="40488804">
      <w:start w:val="1"/>
      <w:numFmt w:val="lowerLetter"/>
      <w:lvlText w:val="%8."/>
      <w:lvlJc w:val="left"/>
      <w:pPr>
        <w:ind w:left="6840" w:hanging="360"/>
      </w:pPr>
    </w:lvl>
    <w:lvl w:ilvl="8" w:tplc="82A8CF7C">
      <w:start w:val="1"/>
      <w:numFmt w:val="lowerRoman"/>
      <w:lvlText w:val="%9."/>
      <w:lvlJc w:val="right"/>
      <w:pPr>
        <w:ind w:left="7560" w:hanging="180"/>
      </w:pPr>
    </w:lvl>
  </w:abstractNum>
  <w:abstractNum w:abstractNumId="38" w15:restartNumberingAfterBreak="0">
    <w:nsid w:val="407A4ACB"/>
    <w:multiLevelType w:val="multilevel"/>
    <w:tmpl w:val="A5507D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1" w15:restartNumberingAfterBreak="0">
    <w:nsid w:val="42FC077D"/>
    <w:multiLevelType w:val="singleLevel"/>
    <w:tmpl w:val="4128FD03"/>
    <w:lvl w:ilvl="0">
      <w:start w:val="1"/>
      <w:numFmt w:val="bullet"/>
      <w:lvlRestart w:val="0"/>
      <w:pStyle w:val="Tiret5"/>
      <w:lvlText w:val="–"/>
      <w:lvlJc w:val="left"/>
      <w:pPr>
        <w:tabs>
          <w:tab w:val="num" w:pos="3685"/>
        </w:tabs>
        <w:ind w:left="3685" w:hanging="567"/>
      </w:pPr>
    </w:lvl>
  </w:abstractNum>
  <w:abstractNum w:abstractNumId="42" w15:restartNumberingAfterBreak="0">
    <w:nsid w:val="42FF7318"/>
    <w:multiLevelType w:val="hybridMultilevel"/>
    <w:tmpl w:val="6EECC6C4"/>
    <w:lvl w:ilvl="0" w:tplc="F6C20E62">
      <w:start w:val="1"/>
      <w:numFmt w:val="lowerRoman"/>
      <w:lvlText w:val="%1)"/>
      <w:lvlJc w:val="left"/>
      <w:pPr>
        <w:ind w:left="1080" w:hanging="360"/>
      </w:pPr>
      <w:rPr>
        <w:rFonts w:asciiTheme="minorHAnsi" w:eastAsiaTheme="minorHAnsi" w:hAnsiTheme="minorHAnsi" w:cstheme="minorBidi"/>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43641013"/>
    <w:multiLevelType w:val="hybridMultilevel"/>
    <w:tmpl w:val="FAB472C8"/>
    <w:lvl w:ilvl="0" w:tplc="0478D9DC">
      <w:start w:val="1"/>
      <w:numFmt w:val="lowerRoman"/>
      <w:lvlText w:val="%1)"/>
      <w:lvlJc w:val="left"/>
      <w:pPr>
        <w:ind w:left="1080" w:hanging="360"/>
      </w:pPr>
    </w:lvl>
    <w:lvl w:ilvl="1" w:tplc="5BD0C87A">
      <w:start w:val="1"/>
      <w:numFmt w:val="lowerLetter"/>
      <w:lvlText w:val="%2."/>
      <w:lvlJc w:val="left"/>
      <w:pPr>
        <w:ind w:left="1800" w:hanging="360"/>
      </w:pPr>
    </w:lvl>
    <w:lvl w:ilvl="2" w:tplc="93082E8A">
      <w:start w:val="1"/>
      <w:numFmt w:val="lowerRoman"/>
      <w:lvlText w:val="%3."/>
      <w:lvlJc w:val="right"/>
      <w:pPr>
        <w:ind w:left="2520" w:hanging="180"/>
      </w:pPr>
    </w:lvl>
    <w:lvl w:ilvl="3" w:tplc="C64CDA6C">
      <w:start w:val="1"/>
      <w:numFmt w:val="decimal"/>
      <w:lvlText w:val="%4."/>
      <w:lvlJc w:val="left"/>
      <w:pPr>
        <w:ind w:left="3240" w:hanging="360"/>
      </w:pPr>
    </w:lvl>
    <w:lvl w:ilvl="4" w:tplc="20E2F7A0">
      <w:start w:val="1"/>
      <mc:AlternateContent>
        <mc:Choice Requires="w14">
          <w:numFmt w:val="custom" w:format="а, й, к, ..."/>
        </mc:Choice>
        <mc:Fallback>
          <w:numFmt w:val="decimal"/>
        </mc:Fallback>
      </mc:AlternateContent>
      <w:lvlText w:val="%5."/>
      <w:lvlJc w:val="left"/>
      <w:pPr>
        <w:ind w:left="720" w:hanging="360"/>
      </w:pPr>
      <w:rPr>
        <w:rFonts w:hint="default"/>
      </w:rPr>
    </w:lvl>
    <w:lvl w:ilvl="5" w:tplc="5922FC6E">
      <w:start w:val="1"/>
      <w:numFmt w:val="lowerRoman"/>
      <w:lvlText w:val="%6."/>
      <w:lvlJc w:val="right"/>
      <w:pPr>
        <w:ind w:left="4680" w:hanging="180"/>
      </w:pPr>
    </w:lvl>
    <w:lvl w:ilvl="6" w:tplc="AA76F890">
      <w:start w:val="1"/>
      <w:numFmt w:val="decimal"/>
      <w:lvlText w:val="%7."/>
      <w:lvlJc w:val="left"/>
      <w:pPr>
        <w:ind w:left="5400" w:hanging="360"/>
      </w:pPr>
    </w:lvl>
    <w:lvl w:ilvl="7" w:tplc="52FAB330">
      <w:start w:val="1"/>
      <w:numFmt w:val="lowerLetter"/>
      <w:lvlText w:val="%8."/>
      <w:lvlJc w:val="left"/>
      <w:pPr>
        <w:ind w:left="6120" w:hanging="360"/>
      </w:pPr>
    </w:lvl>
    <w:lvl w:ilvl="8" w:tplc="A7785018">
      <w:start w:val="1"/>
      <w:numFmt w:val="lowerRoman"/>
      <w:lvlText w:val="%9."/>
      <w:lvlJc w:val="right"/>
      <w:pPr>
        <w:ind w:left="6840" w:hanging="180"/>
      </w:pPr>
    </w:lvl>
  </w:abstractNum>
  <w:abstractNum w:abstractNumId="4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5" w15:restartNumberingAfterBreak="0">
    <w:nsid w:val="468F2093"/>
    <w:multiLevelType w:val="multilevel"/>
    <w:tmpl w:val="C99AB46E"/>
    <w:name w:val="NumPar2"/>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86FE229"/>
    <w:multiLevelType w:val="hybridMultilevel"/>
    <w:tmpl w:val="FFFFFFFF"/>
    <w:lvl w:ilvl="0" w:tplc="BF2458E0">
      <w:start w:val="1"/>
      <w:numFmt w:val="bullet"/>
      <w:lvlText w:val="-"/>
      <w:lvlJc w:val="left"/>
      <w:pPr>
        <w:ind w:left="720" w:hanging="360"/>
      </w:pPr>
      <w:rPr>
        <w:rFonts w:ascii="Calibri" w:hAnsi="Calibri" w:hint="default"/>
      </w:rPr>
    </w:lvl>
    <w:lvl w:ilvl="1" w:tplc="221CE3FA">
      <w:start w:val="1"/>
      <w:numFmt w:val="bullet"/>
      <w:lvlText w:val="o"/>
      <w:lvlJc w:val="left"/>
      <w:pPr>
        <w:ind w:left="1440" w:hanging="360"/>
      </w:pPr>
      <w:rPr>
        <w:rFonts w:ascii="Courier New" w:hAnsi="Courier New" w:hint="default"/>
      </w:rPr>
    </w:lvl>
    <w:lvl w:ilvl="2" w:tplc="90603DB2">
      <w:start w:val="1"/>
      <w:numFmt w:val="bullet"/>
      <w:lvlText w:val=""/>
      <w:lvlJc w:val="left"/>
      <w:pPr>
        <w:ind w:left="2160" w:hanging="360"/>
      </w:pPr>
      <w:rPr>
        <w:rFonts w:ascii="Wingdings" w:hAnsi="Wingdings" w:hint="default"/>
      </w:rPr>
    </w:lvl>
    <w:lvl w:ilvl="3" w:tplc="2D8CBC90">
      <w:start w:val="1"/>
      <w:numFmt w:val="bullet"/>
      <w:lvlText w:val=""/>
      <w:lvlJc w:val="left"/>
      <w:pPr>
        <w:ind w:left="2880" w:hanging="360"/>
      </w:pPr>
      <w:rPr>
        <w:rFonts w:ascii="Symbol" w:hAnsi="Symbol" w:hint="default"/>
      </w:rPr>
    </w:lvl>
    <w:lvl w:ilvl="4" w:tplc="817C02DE">
      <w:start w:val="1"/>
      <w:numFmt w:val="bullet"/>
      <w:lvlText w:val="o"/>
      <w:lvlJc w:val="left"/>
      <w:pPr>
        <w:ind w:left="3600" w:hanging="360"/>
      </w:pPr>
      <w:rPr>
        <w:rFonts w:ascii="Courier New" w:hAnsi="Courier New" w:hint="default"/>
      </w:rPr>
    </w:lvl>
    <w:lvl w:ilvl="5" w:tplc="69020254">
      <w:start w:val="1"/>
      <w:numFmt w:val="bullet"/>
      <w:lvlText w:val=""/>
      <w:lvlJc w:val="left"/>
      <w:pPr>
        <w:ind w:left="4320" w:hanging="360"/>
      </w:pPr>
      <w:rPr>
        <w:rFonts w:ascii="Wingdings" w:hAnsi="Wingdings" w:hint="default"/>
      </w:rPr>
    </w:lvl>
    <w:lvl w:ilvl="6" w:tplc="8818A5A6">
      <w:start w:val="1"/>
      <w:numFmt w:val="bullet"/>
      <w:lvlText w:val=""/>
      <w:lvlJc w:val="left"/>
      <w:pPr>
        <w:ind w:left="5040" w:hanging="360"/>
      </w:pPr>
      <w:rPr>
        <w:rFonts w:ascii="Symbol" w:hAnsi="Symbol" w:hint="default"/>
      </w:rPr>
    </w:lvl>
    <w:lvl w:ilvl="7" w:tplc="81B0E61A">
      <w:start w:val="1"/>
      <w:numFmt w:val="bullet"/>
      <w:lvlText w:val="o"/>
      <w:lvlJc w:val="left"/>
      <w:pPr>
        <w:ind w:left="5760" w:hanging="360"/>
      </w:pPr>
      <w:rPr>
        <w:rFonts w:ascii="Courier New" w:hAnsi="Courier New" w:hint="default"/>
      </w:rPr>
    </w:lvl>
    <w:lvl w:ilvl="8" w:tplc="F5EE461A">
      <w:start w:val="1"/>
      <w:numFmt w:val="bullet"/>
      <w:lvlText w:val=""/>
      <w:lvlJc w:val="left"/>
      <w:pPr>
        <w:ind w:left="6480" w:hanging="360"/>
      </w:pPr>
      <w:rPr>
        <w:rFonts w:ascii="Wingdings" w:hAnsi="Wingdings" w:hint="default"/>
      </w:rPr>
    </w:lvl>
  </w:abstractNum>
  <w:abstractNum w:abstractNumId="47" w15:restartNumberingAfterBreak="0">
    <w:nsid w:val="48A77BA5"/>
    <w:multiLevelType w:val="hybridMultilevel"/>
    <w:tmpl w:val="CD5E0AB0"/>
    <w:lvl w:ilvl="0" w:tplc="69F2061A">
      <w:start w:val="1"/>
      <w:numFmt w:val="lowerRoman"/>
      <w:lvlText w:val="(%1)"/>
      <w:lvlJc w:val="left"/>
      <w:pPr>
        <w:ind w:left="1080" w:hanging="720"/>
      </w:pPr>
      <w:rPr>
        <w:rFonts w:ascii="Calibri" w:hAnsi="Calibri" w:cs="Times New Roman" w:hint="default"/>
        <w:color w:val="0061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014D2D"/>
    <w:multiLevelType w:val="hybridMultilevel"/>
    <w:tmpl w:val="CD5E0AB0"/>
    <w:lvl w:ilvl="0" w:tplc="69F2061A">
      <w:start w:val="1"/>
      <w:numFmt w:val="lowerRoman"/>
      <w:lvlText w:val="(%1)"/>
      <w:lvlJc w:val="left"/>
      <w:pPr>
        <w:ind w:left="1080" w:hanging="720"/>
      </w:pPr>
      <w:rPr>
        <w:rFonts w:ascii="Calibri" w:hAnsi="Calibri" w:cs="Times New Roman" w:hint="default"/>
        <w:color w:val="0061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162D09"/>
    <w:multiLevelType w:val="hybridMultilevel"/>
    <w:tmpl w:val="083E6EC6"/>
    <w:lvl w:ilvl="0" w:tplc="9984EA60">
      <w:start w:val="1"/>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4D080266"/>
    <w:multiLevelType w:val="hybridMultilevel"/>
    <w:tmpl w:val="7AE2C4BA"/>
    <w:lvl w:ilvl="0" w:tplc="1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E4F6309"/>
    <w:multiLevelType w:val="hybridMultilevel"/>
    <w:tmpl w:val="E3C0EAAC"/>
    <w:lvl w:ilvl="0" w:tplc="7CAC5CB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271705A"/>
    <w:multiLevelType w:val="multilevel"/>
    <w:tmpl w:val="A5507D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4" w15:restartNumberingAfterBreak="0">
    <w:nsid w:val="55C10E65"/>
    <w:multiLevelType w:val="multilevel"/>
    <w:tmpl w:val="C200081C"/>
    <w:lvl w:ilvl="0">
      <w:start w:val="1"/>
      <w:numFmt w:val="decimal"/>
      <w:lvlText w:val="%1."/>
      <w:lvlJc w:val="left"/>
      <w:pPr>
        <w:ind w:left="476" w:hanging="476"/>
      </w:pPr>
      <w:rPr>
        <w:rFonts w:hint="default"/>
        <w:b w:val="0"/>
        <w:bCs w:val="0"/>
      </w:rPr>
    </w:lvl>
    <w:lvl w:ilvl="1">
      <w:start w:val="1"/>
      <mc:AlternateContent>
        <mc:Choice Requires="w14">
          <w:numFmt w:val="custom" w:format="а, й, к, ..."/>
        </mc:Choice>
        <mc:Fallback>
          <w:numFmt w:val="decimal"/>
        </mc:Fallback>
      </mc:AlternateContent>
      <w:lvlText w:val="%2."/>
      <w:lvlJc w:val="left"/>
      <w:pPr>
        <w:ind w:left="836" w:hanging="360"/>
      </w:pPr>
      <w:rPr>
        <w:rFonts w:hint="default"/>
      </w:rPr>
    </w:lvl>
    <w:lvl w:ilvl="2">
      <w:start w:val="1"/>
      <w:numFmt w:val="lowerRoman"/>
      <w:lvlText w:val="%3."/>
      <w:lvlJc w:val="left"/>
      <w:pPr>
        <w:ind w:left="1429" w:hanging="476"/>
      </w:pPr>
      <w:rPr>
        <w:rFonts w:ascii="Times New Roman" w:eastAsiaTheme="minorHAnsi"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83107B0"/>
    <w:multiLevelType w:val="hybridMultilevel"/>
    <w:tmpl w:val="39B680BC"/>
    <w:lvl w:ilvl="0" w:tplc="1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9DC0AE4"/>
    <w:multiLevelType w:val="hybridMultilevel"/>
    <w:tmpl w:val="CB9E24FA"/>
    <w:lvl w:ilvl="0" w:tplc="A8F09C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1C13DB"/>
    <w:multiLevelType w:val="hybridMultilevel"/>
    <w:tmpl w:val="95E4DEFA"/>
    <w:lvl w:ilvl="0" w:tplc="3800E1F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9" w15:restartNumberingAfterBreak="0">
    <w:nsid w:val="5BE708DE"/>
    <w:multiLevelType w:val="hybridMultilevel"/>
    <w:tmpl w:val="A6B60094"/>
    <w:lvl w:ilvl="0" w:tplc="F68E2E8E">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64E26C23"/>
    <w:multiLevelType w:val="hybridMultilevel"/>
    <w:tmpl w:val="0FA0C5AE"/>
    <w:lvl w:ilvl="0" w:tplc="794CB97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4" w15:restartNumberingAfterBreak="0">
    <w:nsid w:val="6CC515E4"/>
    <w:multiLevelType w:val="hybridMultilevel"/>
    <w:tmpl w:val="70281464"/>
    <w:lvl w:ilvl="0" w:tplc="136210C4">
      <w:start w:val="1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EAE5E87"/>
    <w:multiLevelType w:val="hybridMultilevel"/>
    <w:tmpl w:val="5B067C72"/>
    <w:lvl w:ilvl="0" w:tplc="50D4448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EF78F3"/>
    <w:multiLevelType w:val="hybridMultilevel"/>
    <w:tmpl w:val="C4DA8FCC"/>
    <w:lvl w:ilvl="0" w:tplc="35DE1178">
      <w:start w:val="1"/>
      <w:numFmt w:val="bullet"/>
      <w:lvlText w:val=""/>
      <w:lvlJc w:val="left"/>
      <w:pPr>
        <w:ind w:left="1080" w:hanging="360"/>
      </w:pPr>
      <w:rPr>
        <w:rFonts w:ascii="Symbol" w:hAnsi="Symbol" w:hint="default"/>
      </w:rPr>
    </w:lvl>
    <w:lvl w:ilvl="1" w:tplc="8B70BFD0">
      <w:start w:val="1"/>
      <w:numFmt w:val="bullet"/>
      <w:lvlText w:val="o"/>
      <w:lvlJc w:val="left"/>
      <w:pPr>
        <w:ind w:left="1800" w:hanging="360"/>
      </w:pPr>
      <w:rPr>
        <w:rFonts w:ascii="Courier New" w:hAnsi="Courier New" w:hint="default"/>
      </w:rPr>
    </w:lvl>
    <w:lvl w:ilvl="2" w:tplc="2C6A3C50">
      <w:start w:val="1"/>
      <w:numFmt w:val="bullet"/>
      <w:lvlText w:val=""/>
      <w:lvlJc w:val="left"/>
      <w:pPr>
        <w:ind w:left="2520" w:hanging="360"/>
      </w:pPr>
      <w:rPr>
        <w:rFonts w:ascii="Wingdings" w:hAnsi="Wingdings" w:hint="default"/>
      </w:rPr>
    </w:lvl>
    <w:lvl w:ilvl="3" w:tplc="127CA550">
      <w:start w:val="1"/>
      <w:numFmt w:val="bullet"/>
      <w:lvlText w:val=""/>
      <w:lvlJc w:val="left"/>
      <w:pPr>
        <w:ind w:left="3240" w:hanging="360"/>
      </w:pPr>
      <w:rPr>
        <w:rFonts w:ascii="Symbol" w:hAnsi="Symbol" w:hint="default"/>
      </w:rPr>
    </w:lvl>
    <w:lvl w:ilvl="4" w:tplc="6AFA6526">
      <w:start w:val="1"/>
      <w:numFmt w:val="bullet"/>
      <w:lvlText w:val="o"/>
      <w:lvlJc w:val="left"/>
      <w:pPr>
        <w:ind w:left="3960" w:hanging="360"/>
      </w:pPr>
      <w:rPr>
        <w:rFonts w:ascii="Courier New" w:hAnsi="Courier New" w:hint="default"/>
      </w:rPr>
    </w:lvl>
    <w:lvl w:ilvl="5" w:tplc="F69A07AE">
      <w:start w:val="1"/>
      <w:numFmt w:val="bullet"/>
      <w:lvlText w:val=""/>
      <w:lvlJc w:val="left"/>
      <w:pPr>
        <w:ind w:left="4680" w:hanging="360"/>
      </w:pPr>
      <w:rPr>
        <w:rFonts w:ascii="Wingdings" w:hAnsi="Wingdings" w:hint="default"/>
      </w:rPr>
    </w:lvl>
    <w:lvl w:ilvl="6" w:tplc="02525080">
      <w:start w:val="1"/>
      <w:numFmt w:val="bullet"/>
      <w:lvlText w:val=""/>
      <w:lvlJc w:val="left"/>
      <w:pPr>
        <w:ind w:left="5400" w:hanging="360"/>
      </w:pPr>
      <w:rPr>
        <w:rFonts w:ascii="Symbol" w:hAnsi="Symbol" w:hint="default"/>
      </w:rPr>
    </w:lvl>
    <w:lvl w:ilvl="7" w:tplc="D20494C0">
      <w:start w:val="1"/>
      <w:numFmt w:val="bullet"/>
      <w:lvlText w:val="o"/>
      <w:lvlJc w:val="left"/>
      <w:pPr>
        <w:ind w:left="6120" w:hanging="360"/>
      </w:pPr>
      <w:rPr>
        <w:rFonts w:ascii="Courier New" w:hAnsi="Courier New" w:hint="default"/>
      </w:rPr>
    </w:lvl>
    <w:lvl w:ilvl="8" w:tplc="2C0C5662">
      <w:start w:val="1"/>
      <w:numFmt w:val="bullet"/>
      <w:lvlText w:val=""/>
      <w:lvlJc w:val="left"/>
      <w:pPr>
        <w:ind w:left="6840" w:hanging="360"/>
      </w:pPr>
      <w:rPr>
        <w:rFonts w:ascii="Wingdings" w:hAnsi="Wingdings" w:hint="default"/>
      </w:rPr>
    </w:lvl>
  </w:abstractNum>
  <w:abstractNum w:abstractNumId="67" w15:restartNumberingAfterBreak="0">
    <w:nsid w:val="72806182"/>
    <w:multiLevelType w:val="hybridMultilevel"/>
    <w:tmpl w:val="EEF6D806"/>
    <w:lvl w:ilvl="0" w:tplc="1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58E0820"/>
    <w:multiLevelType w:val="hybridMultilevel"/>
    <w:tmpl w:val="F0F8F9F6"/>
    <w:lvl w:ilvl="0" w:tplc="307A22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6C6BE55"/>
    <w:multiLevelType w:val="hybridMultilevel"/>
    <w:tmpl w:val="8DEAE136"/>
    <w:lvl w:ilvl="0" w:tplc="7910E60C">
      <w:start w:val="1"/>
      <w:numFmt w:val="bullet"/>
      <w:lvlText w:val="-"/>
      <w:lvlJc w:val="left"/>
      <w:pPr>
        <w:ind w:left="1440" w:hanging="360"/>
      </w:pPr>
      <w:rPr>
        <w:rFonts w:ascii="Calibri" w:hAnsi="Calibri" w:hint="default"/>
      </w:rPr>
    </w:lvl>
    <w:lvl w:ilvl="1" w:tplc="EF983430">
      <w:start w:val="1"/>
      <w:numFmt w:val="bullet"/>
      <w:lvlText w:val="o"/>
      <w:lvlJc w:val="left"/>
      <w:pPr>
        <w:ind w:left="1440" w:hanging="360"/>
      </w:pPr>
      <w:rPr>
        <w:rFonts w:ascii="Courier New" w:hAnsi="Courier New" w:hint="default"/>
      </w:rPr>
    </w:lvl>
    <w:lvl w:ilvl="2" w:tplc="757ED408">
      <w:start w:val="1"/>
      <w:numFmt w:val="bullet"/>
      <w:lvlText w:val=""/>
      <w:lvlJc w:val="left"/>
      <w:pPr>
        <w:ind w:left="2160" w:hanging="360"/>
      </w:pPr>
      <w:rPr>
        <w:rFonts w:ascii="Wingdings" w:hAnsi="Wingdings" w:hint="default"/>
      </w:rPr>
    </w:lvl>
    <w:lvl w:ilvl="3" w:tplc="EE70C862">
      <w:start w:val="1"/>
      <w:numFmt w:val="bullet"/>
      <w:lvlText w:val=""/>
      <w:lvlJc w:val="left"/>
      <w:pPr>
        <w:ind w:left="2880" w:hanging="360"/>
      </w:pPr>
      <w:rPr>
        <w:rFonts w:ascii="Symbol" w:hAnsi="Symbol" w:hint="default"/>
      </w:rPr>
    </w:lvl>
    <w:lvl w:ilvl="4" w:tplc="D41E1932">
      <w:start w:val="1"/>
      <w:numFmt w:val="bullet"/>
      <w:lvlText w:val="o"/>
      <w:lvlJc w:val="left"/>
      <w:pPr>
        <w:ind w:left="3600" w:hanging="360"/>
      </w:pPr>
      <w:rPr>
        <w:rFonts w:ascii="Courier New" w:hAnsi="Courier New" w:hint="default"/>
      </w:rPr>
    </w:lvl>
    <w:lvl w:ilvl="5" w:tplc="F3B05806">
      <w:start w:val="1"/>
      <w:numFmt w:val="bullet"/>
      <w:lvlText w:val=""/>
      <w:lvlJc w:val="left"/>
      <w:pPr>
        <w:ind w:left="4320" w:hanging="360"/>
      </w:pPr>
      <w:rPr>
        <w:rFonts w:ascii="Wingdings" w:hAnsi="Wingdings" w:hint="default"/>
      </w:rPr>
    </w:lvl>
    <w:lvl w:ilvl="6" w:tplc="5C84C988">
      <w:start w:val="1"/>
      <w:numFmt w:val="bullet"/>
      <w:lvlText w:val=""/>
      <w:lvlJc w:val="left"/>
      <w:pPr>
        <w:ind w:left="5040" w:hanging="360"/>
      </w:pPr>
      <w:rPr>
        <w:rFonts w:ascii="Symbol" w:hAnsi="Symbol" w:hint="default"/>
      </w:rPr>
    </w:lvl>
    <w:lvl w:ilvl="7" w:tplc="E27E93AA">
      <w:start w:val="1"/>
      <w:numFmt w:val="bullet"/>
      <w:lvlText w:val="o"/>
      <w:lvlJc w:val="left"/>
      <w:pPr>
        <w:ind w:left="5760" w:hanging="360"/>
      </w:pPr>
      <w:rPr>
        <w:rFonts w:ascii="Courier New" w:hAnsi="Courier New" w:hint="default"/>
      </w:rPr>
    </w:lvl>
    <w:lvl w:ilvl="8" w:tplc="4C548F18">
      <w:start w:val="1"/>
      <w:numFmt w:val="bullet"/>
      <w:lvlText w:val=""/>
      <w:lvlJc w:val="left"/>
      <w:pPr>
        <w:ind w:left="6480" w:hanging="360"/>
      </w:pPr>
      <w:rPr>
        <w:rFonts w:ascii="Wingdings" w:hAnsi="Wingdings" w:hint="default"/>
      </w:rPr>
    </w:lvl>
  </w:abstractNum>
  <w:abstractNum w:abstractNumId="70" w15:restartNumberingAfterBreak="0">
    <w:nsid w:val="777C30D1"/>
    <w:multiLevelType w:val="hybridMultilevel"/>
    <w:tmpl w:val="DF4ABE48"/>
    <w:lvl w:ilvl="0" w:tplc="3CA607EA">
      <w:start w:val="1"/>
      <w:numFmt w:val="bullet"/>
      <w:lvlText w:val="-"/>
      <w:lvlJc w:val="left"/>
      <w:pPr>
        <w:ind w:left="1440" w:hanging="360"/>
      </w:pPr>
      <w:rPr>
        <w:rFonts w:ascii="Calibri" w:eastAsiaTheme="minorHAnsi"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1" w15:restartNumberingAfterBreak="0">
    <w:nsid w:val="799B07D2"/>
    <w:multiLevelType w:val="hybridMultilevel"/>
    <w:tmpl w:val="F21A7F52"/>
    <w:lvl w:ilvl="0" w:tplc="20E2F7A0">
      <w:start w:val="1"/>
      <mc:AlternateContent>
        <mc:Choice Requires="w14">
          <w:numFmt w:val="custom" w:format="а, й, к, ..."/>
        </mc:Choice>
        <mc:Fallback>
          <w:numFmt w:val="decimal"/>
        </mc:Fallback>
      </mc:AlternateContent>
      <w:lvlText w:val="%1."/>
      <w:lvlJc w:val="left"/>
      <w:pPr>
        <w:ind w:left="720" w:hanging="360"/>
      </w:pPr>
      <w:rPr>
        <w:rFonts w:hint="default"/>
        <w:b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CB33AA5"/>
    <w:multiLevelType w:val="hybridMultilevel"/>
    <w:tmpl w:val="326CA2A8"/>
    <w:lvl w:ilvl="0" w:tplc="08090001">
      <w:start w:val="1"/>
      <w:numFmt w:val="bullet"/>
      <w:lvlText w:val=""/>
      <w:lvlJc w:val="left"/>
      <w:pPr>
        <w:ind w:left="451" w:hanging="360"/>
      </w:pPr>
      <w:rPr>
        <w:rFonts w:ascii="Symbol" w:hAnsi="Symbol" w:hint="default"/>
      </w:rPr>
    </w:lvl>
    <w:lvl w:ilvl="1" w:tplc="08090003" w:tentative="1">
      <w:start w:val="1"/>
      <w:numFmt w:val="bullet"/>
      <w:lvlText w:val="o"/>
      <w:lvlJc w:val="left"/>
      <w:pPr>
        <w:ind w:left="1171" w:hanging="360"/>
      </w:pPr>
      <w:rPr>
        <w:rFonts w:ascii="Courier New" w:hAnsi="Courier New" w:cs="Courier New" w:hint="default"/>
      </w:rPr>
    </w:lvl>
    <w:lvl w:ilvl="2" w:tplc="08090005" w:tentative="1">
      <w:start w:val="1"/>
      <w:numFmt w:val="bullet"/>
      <w:lvlText w:val=""/>
      <w:lvlJc w:val="left"/>
      <w:pPr>
        <w:ind w:left="1891" w:hanging="360"/>
      </w:pPr>
      <w:rPr>
        <w:rFonts w:ascii="Wingdings" w:hAnsi="Wingdings" w:hint="default"/>
      </w:rPr>
    </w:lvl>
    <w:lvl w:ilvl="3" w:tplc="08090001" w:tentative="1">
      <w:start w:val="1"/>
      <w:numFmt w:val="bullet"/>
      <w:lvlText w:val=""/>
      <w:lvlJc w:val="left"/>
      <w:pPr>
        <w:ind w:left="2611" w:hanging="360"/>
      </w:pPr>
      <w:rPr>
        <w:rFonts w:ascii="Symbol" w:hAnsi="Symbol" w:hint="default"/>
      </w:rPr>
    </w:lvl>
    <w:lvl w:ilvl="4" w:tplc="08090003" w:tentative="1">
      <w:start w:val="1"/>
      <w:numFmt w:val="bullet"/>
      <w:lvlText w:val="o"/>
      <w:lvlJc w:val="left"/>
      <w:pPr>
        <w:ind w:left="3331" w:hanging="360"/>
      </w:pPr>
      <w:rPr>
        <w:rFonts w:ascii="Courier New" w:hAnsi="Courier New" w:cs="Courier New" w:hint="default"/>
      </w:rPr>
    </w:lvl>
    <w:lvl w:ilvl="5" w:tplc="08090005" w:tentative="1">
      <w:start w:val="1"/>
      <w:numFmt w:val="bullet"/>
      <w:lvlText w:val=""/>
      <w:lvlJc w:val="left"/>
      <w:pPr>
        <w:ind w:left="4051" w:hanging="360"/>
      </w:pPr>
      <w:rPr>
        <w:rFonts w:ascii="Wingdings" w:hAnsi="Wingdings" w:hint="default"/>
      </w:rPr>
    </w:lvl>
    <w:lvl w:ilvl="6" w:tplc="08090001" w:tentative="1">
      <w:start w:val="1"/>
      <w:numFmt w:val="bullet"/>
      <w:lvlText w:val=""/>
      <w:lvlJc w:val="left"/>
      <w:pPr>
        <w:ind w:left="4771" w:hanging="360"/>
      </w:pPr>
      <w:rPr>
        <w:rFonts w:ascii="Symbol" w:hAnsi="Symbol" w:hint="default"/>
      </w:rPr>
    </w:lvl>
    <w:lvl w:ilvl="7" w:tplc="08090003" w:tentative="1">
      <w:start w:val="1"/>
      <w:numFmt w:val="bullet"/>
      <w:lvlText w:val="o"/>
      <w:lvlJc w:val="left"/>
      <w:pPr>
        <w:ind w:left="5491" w:hanging="360"/>
      </w:pPr>
      <w:rPr>
        <w:rFonts w:ascii="Courier New" w:hAnsi="Courier New" w:cs="Courier New" w:hint="default"/>
      </w:rPr>
    </w:lvl>
    <w:lvl w:ilvl="8" w:tplc="08090005" w:tentative="1">
      <w:start w:val="1"/>
      <w:numFmt w:val="bullet"/>
      <w:lvlText w:val=""/>
      <w:lvlJc w:val="left"/>
      <w:pPr>
        <w:ind w:left="6211" w:hanging="360"/>
      </w:pPr>
      <w:rPr>
        <w:rFonts w:ascii="Wingdings" w:hAnsi="Wingdings" w:hint="default"/>
      </w:rPr>
    </w:lvl>
  </w:abstractNum>
  <w:abstractNum w:abstractNumId="73" w15:restartNumberingAfterBreak="0">
    <w:nsid w:val="7CBE4812"/>
    <w:multiLevelType w:val="singleLevel"/>
    <w:tmpl w:val="2D86CAC8"/>
    <w:name w:val="Considérant"/>
    <w:lvl w:ilvl="0">
      <w:start w:val="1"/>
      <w:numFmt w:val="decimal"/>
      <w:lvlRestart w:val="0"/>
      <w:pStyle w:val="Considrant"/>
      <w:lvlText w:val="(%1)"/>
      <w:lvlJc w:val="left"/>
      <w:pPr>
        <w:tabs>
          <w:tab w:val="num" w:pos="709"/>
        </w:tabs>
        <w:ind w:left="709" w:hanging="709"/>
      </w:pPr>
      <w:rPr>
        <w:b w:val="0"/>
        <w:bCs w:val="0"/>
      </w:rPr>
    </w:lvl>
  </w:abstractNum>
  <w:abstractNum w:abstractNumId="74" w15:restartNumberingAfterBreak="0">
    <w:nsid w:val="7D7420B9"/>
    <w:multiLevelType w:val="hybridMultilevel"/>
    <w:tmpl w:val="55DAF0C8"/>
    <w:lvl w:ilvl="0" w:tplc="F68E2E8E">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7D79678F"/>
    <w:multiLevelType w:val="hybridMultilevel"/>
    <w:tmpl w:val="064A8760"/>
    <w:lvl w:ilvl="0" w:tplc="ACEEB76C">
      <w:start w:val="1"/>
      <w:numFmt w:val="lowerRoman"/>
      <w:lvlText w:val="%1)"/>
      <w:lvlJc w:val="left"/>
      <w:pPr>
        <w:ind w:left="1440" w:hanging="720"/>
      </w:pPr>
    </w:lvl>
    <w:lvl w:ilvl="1" w:tplc="4ECAFBDE" w:tentative="1">
      <w:start w:val="1"/>
      <w:numFmt w:val="lowerLetter"/>
      <w:lvlText w:val="%2."/>
      <w:lvlJc w:val="left"/>
      <w:pPr>
        <w:ind w:left="1800" w:hanging="360"/>
      </w:pPr>
    </w:lvl>
    <w:lvl w:ilvl="2" w:tplc="3C7A607A" w:tentative="1">
      <w:start w:val="1"/>
      <w:numFmt w:val="lowerRoman"/>
      <w:lvlText w:val="%3."/>
      <w:lvlJc w:val="right"/>
      <w:pPr>
        <w:ind w:left="2520" w:hanging="180"/>
      </w:pPr>
    </w:lvl>
    <w:lvl w:ilvl="3" w:tplc="C402F77A" w:tentative="1">
      <w:start w:val="1"/>
      <w:numFmt w:val="decimal"/>
      <w:lvlText w:val="%4."/>
      <w:lvlJc w:val="left"/>
      <w:pPr>
        <w:ind w:left="3240" w:hanging="360"/>
      </w:pPr>
    </w:lvl>
    <w:lvl w:ilvl="4" w:tplc="B9429244" w:tentative="1">
      <w:start w:val="1"/>
      <w:numFmt w:val="lowerLetter"/>
      <w:lvlText w:val="%5."/>
      <w:lvlJc w:val="left"/>
      <w:pPr>
        <w:ind w:left="3960" w:hanging="360"/>
      </w:pPr>
    </w:lvl>
    <w:lvl w:ilvl="5" w:tplc="BEAC4012" w:tentative="1">
      <w:start w:val="1"/>
      <w:numFmt w:val="lowerRoman"/>
      <w:lvlText w:val="%6."/>
      <w:lvlJc w:val="right"/>
      <w:pPr>
        <w:ind w:left="4680" w:hanging="180"/>
      </w:pPr>
    </w:lvl>
    <w:lvl w:ilvl="6" w:tplc="44363450" w:tentative="1">
      <w:start w:val="1"/>
      <w:numFmt w:val="decimal"/>
      <w:lvlText w:val="%7."/>
      <w:lvlJc w:val="left"/>
      <w:pPr>
        <w:ind w:left="5400" w:hanging="360"/>
      </w:pPr>
    </w:lvl>
    <w:lvl w:ilvl="7" w:tplc="2F1EF086" w:tentative="1">
      <w:start w:val="1"/>
      <w:numFmt w:val="lowerLetter"/>
      <w:lvlText w:val="%8."/>
      <w:lvlJc w:val="left"/>
      <w:pPr>
        <w:ind w:left="6120" w:hanging="360"/>
      </w:pPr>
    </w:lvl>
    <w:lvl w:ilvl="8" w:tplc="E8103D6C" w:tentative="1">
      <w:start w:val="1"/>
      <w:numFmt w:val="lowerRoman"/>
      <w:lvlText w:val="%9."/>
      <w:lvlJc w:val="right"/>
      <w:pPr>
        <w:ind w:left="6840" w:hanging="180"/>
      </w:pPr>
    </w:lvl>
  </w:abstractNum>
  <w:abstractNum w:abstractNumId="76" w15:restartNumberingAfterBreak="0">
    <w:nsid w:val="7EE270E6"/>
    <w:multiLevelType w:val="hybridMultilevel"/>
    <w:tmpl w:val="39420980"/>
    <w:lvl w:ilvl="0" w:tplc="CF4AC1D4">
      <w:start w:val="1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9"/>
  </w:num>
  <w:num w:numId="2">
    <w:abstractNumId w:val="34"/>
  </w:num>
  <w:num w:numId="3">
    <w:abstractNumId w:val="29"/>
  </w:num>
  <w:num w:numId="4">
    <w:abstractNumId w:val="65"/>
  </w:num>
  <w:num w:numId="5">
    <w:abstractNumId w:val="71"/>
  </w:num>
  <w:num w:numId="6">
    <w:abstractNumId w:val="68"/>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51"/>
  </w:num>
  <w:num w:numId="11">
    <w:abstractNumId w:val="27"/>
  </w:num>
  <w:num w:numId="12">
    <w:abstractNumId w:val="75"/>
  </w:num>
  <w:num w:numId="13">
    <w:abstractNumId w:val="43"/>
  </w:num>
  <w:num w:numId="14">
    <w:abstractNumId w:val="66"/>
  </w:num>
  <w:num w:numId="15">
    <w:abstractNumId w:val="37"/>
  </w:num>
  <w:num w:numId="16">
    <w:abstractNumId w:val="22"/>
  </w:num>
  <w:num w:numId="17">
    <w:abstractNumId w:val="72"/>
  </w:num>
  <w:num w:numId="18">
    <w:abstractNumId w:val="49"/>
  </w:num>
  <w:num w:numId="19">
    <w:abstractNumId w:val="33"/>
  </w:num>
  <w:num w:numId="20">
    <w:abstractNumId w:val="6"/>
  </w:num>
  <w:num w:numId="21">
    <w:abstractNumId w:val="47"/>
  </w:num>
  <w:num w:numId="22">
    <w:abstractNumId w:val="35"/>
  </w:num>
  <w:num w:numId="23">
    <w:abstractNumId w:val="56"/>
  </w:num>
  <w:num w:numId="24">
    <w:abstractNumId w:val="11"/>
  </w:num>
  <w:num w:numId="25">
    <w:abstractNumId w:val="45"/>
  </w:num>
  <w:num w:numId="26">
    <w:abstractNumId w:val="64"/>
  </w:num>
  <w:num w:numId="27">
    <w:abstractNumId w:val="48"/>
  </w:num>
  <w:num w:numId="28">
    <w:abstractNumId w:val="20"/>
  </w:num>
  <w:num w:numId="29">
    <w:abstractNumId w:val="61"/>
  </w:num>
  <w:num w:numId="30">
    <w:abstractNumId w:val="39"/>
  </w:num>
  <w:num w:numId="31">
    <w:abstractNumId w:val="63"/>
  </w:num>
  <w:num w:numId="32">
    <w:abstractNumId w:val="26"/>
  </w:num>
  <w:num w:numId="33">
    <w:abstractNumId w:val="40"/>
  </w:num>
  <w:num w:numId="34">
    <w:abstractNumId w:val="21"/>
  </w:num>
  <w:num w:numId="35">
    <w:abstractNumId w:val="18"/>
  </w:num>
  <w:num w:numId="36">
    <w:abstractNumId w:val="44"/>
  </w:num>
  <w:num w:numId="37">
    <w:abstractNumId w:val="58"/>
  </w:num>
  <w:num w:numId="38">
    <w:abstractNumId w:val="60"/>
  </w:num>
  <w:num w:numId="39">
    <w:abstractNumId w:val="25"/>
  </w:num>
  <w:num w:numId="40">
    <w:abstractNumId w:val="53"/>
  </w:num>
  <w:num w:numId="41">
    <w:abstractNumId w:val="73"/>
  </w:num>
  <w:num w:numId="42">
    <w:abstractNumId w:val="3"/>
  </w:num>
  <w:num w:numId="43">
    <w:abstractNumId w:val="2"/>
  </w:num>
  <w:num w:numId="44">
    <w:abstractNumId w:val="1"/>
  </w:num>
  <w:num w:numId="45">
    <w:abstractNumId w:val="0"/>
  </w:num>
  <w:num w:numId="46">
    <w:abstractNumId w:val="41"/>
  </w:num>
  <w:num w:numId="47">
    <w:abstractNumId w:val="57"/>
  </w:num>
  <w:num w:numId="48">
    <w:abstractNumId w:val="24"/>
  </w:num>
  <w:num w:numId="49">
    <w:abstractNumId w:val="32"/>
  </w:num>
  <w:num w:numId="50">
    <w:abstractNumId w:val="54"/>
  </w:num>
  <w:num w:numId="51">
    <w:abstractNumId w:val="23"/>
  </w:num>
  <w:num w:numId="52">
    <w:abstractNumId w:val="17"/>
  </w:num>
  <w:num w:numId="53">
    <w:abstractNumId w:val="31"/>
  </w:num>
  <w:num w:numId="54">
    <w:abstractNumId w:val="15"/>
  </w:num>
  <w:num w:numId="55">
    <w:abstractNumId w:val="13"/>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50"/>
  </w:num>
  <w:num w:numId="59">
    <w:abstractNumId w:val="67"/>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36"/>
  </w:num>
  <w:num w:numId="63">
    <w:abstractNumId w:val="7"/>
  </w:num>
  <w:num w:numId="64">
    <w:abstractNumId w:val="42"/>
  </w:num>
  <w:num w:numId="65">
    <w:abstractNumId w:val="70"/>
  </w:num>
  <w:num w:numId="66">
    <w:abstractNumId w:val="46"/>
  </w:num>
  <w:num w:numId="67">
    <w:abstractNumId w:val="55"/>
  </w:num>
  <w:num w:numId="68">
    <w:abstractNumId w:val="16"/>
  </w:num>
  <w:num w:numId="69">
    <w:abstractNumId w:val="5"/>
  </w:num>
  <w:num w:numId="70">
    <w:abstractNumId w:val="76"/>
  </w:num>
  <w:num w:numId="71">
    <w:abstractNumId w:val="59"/>
  </w:num>
  <w:num w:numId="72">
    <w:abstractNumId w:val="74"/>
  </w:num>
  <w:num w:numId="73">
    <w:abstractNumId w:val="54"/>
  </w:num>
  <w:num w:numId="74">
    <w:abstractNumId w:val="19"/>
  </w:num>
  <w:num w:numId="75">
    <w:abstractNumId w:val="4"/>
  </w:num>
  <w:num w:numId="76">
    <w:abstractNumId w:val="28"/>
  </w:num>
  <w:num w:numId="77">
    <w:abstractNumId w:val="30"/>
  </w:num>
  <w:num w:numId="78">
    <w:abstractNumId w:val="9"/>
  </w:num>
  <w:num w:numId="79">
    <w:abstractNumId w:val="8"/>
  </w:num>
  <w:num w:numId="80">
    <w:abstractNumId w:val="38"/>
  </w:num>
  <w:num w:numId="81">
    <w:abstractNumId w:val="10"/>
  </w:num>
  <w:num w:numId="82">
    <w:abstractNumId w:val="12"/>
  </w:num>
  <w:num w:numId="83">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към"/>
    <w:docVar w:name="LW_ANNEX_NBR_FIRST" w:val="1"/>
    <w:docVar w:name="LW_ANNEX_NBR_LAST" w:val="1"/>
    <w:docVar w:name="LW_ANNEX_UNIQUE" w:val="1"/>
    <w:docVar w:name="LW_CORRIGENDUM" w:val="&lt;UNUSED&gt;"/>
    <w:docVar w:name="LW_COVERPAGE_EXISTS" w:val="True"/>
    <w:docVar w:name="LW_COVERPAGE_GUID" w:val="693304BA-B91E-4811-A118-216C1B9FFE8F"/>
    <w:docVar w:name="LW_COVERPAGE_TYPE" w:val="1"/>
    <w:docVar w:name="LW_CROSSREFERENCE" w:val="{SWD(2023) 384 final}"/>
    <w:docVar w:name="LW_DocType" w:val="NORMAL"/>
    <w:docVar w:name="LW_EMISSION" w:val="23.11.2023"/>
    <w:docVar w:name="LW_EMISSION_ISODATE" w:val="2023-11-23"/>
    <w:docVar w:name="LW_EMISSION_LOCATION" w:val="BRX"/>
    <w:docVar w:name="LW_EMISSION_PREFIX" w:val="\u1041?\u1088?\u1102?\u1082?\u1089?\u1077?\u1083?,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за изменение на Решение за изпълнение (ЕС) (ST 15447/22 INIT; ST 15447/22 ADD 1) от 15 декември 2022 г. за одобряване на оценката на плана за възстановяване и устойчивост на Унгария"/>
    <w:docVar w:name="LW_PART_NBR" w:val="1"/>
    <w:docVar w:name="LW_PART_NBR_TOTAL" w:val="1"/>
    <w:docVar w:name="LW_REF.INST.NEW" w:val="COM"/>
    <w:docVar w:name="LW_REF.INST.NEW_ADOPTED" w:val="final"/>
    <w:docVar w:name="LW_REF.INST.NEW_TEXT" w:val="(2023) 7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ПРИЛОЖЕНИЯ_x000b_"/>
    <w:docVar w:name="LW_TYPEACTEPRINCIPAL.CP" w:val="Предложение за РЕШЕНИЕ ЗА ИЗПЪЛНЕНИЕ НА СЪВЕТА"/>
    <w:docVar w:name="LwApiVersions" w:val="LW4CoDe 1.23.2.0; LW 8.0, Build 20211117"/>
  </w:docVars>
  <w:rsids>
    <w:rsidRoot w:val="00D637EC"/>
    <w:rsid w:val="00000BB2"/>
    <w:rsid w:val="00001A47"/>
    <w:rsid w:val="00001DB2"/>
    <w:rsid w:val="000023F8"/>
    <w:rsid w:val="00002540"/>
    <w:rsid w:val="000025CF"/>
    <w:rsid w:val="000028C7"/>
    <w:rsid w:val="00002960"/>
    <w:rsid w:val="00002DC8"/>
    <w:rsid w:val="00004060"/>
    <w:rsid w:val="00004071"/>
    <w:rsid w:val="000058D4"/>
    <w:rsid w:val="00005DC8"/>
    <w:rsid w:val="00005FF8"/>
    <w:rsid w:val="00006783"/>
    <w:rsid w:val="0000690F"/>
    <w:rsid w:val="00006B35"/>
    <w:rsid w:val="00006DBF"/>
    <w:rsid w:val="000070C3"/>
    <w:rsid w:val="000072B7"/>
    <w:rsid w:val="00007830"/>
    <w:rsid w:val="00007AA0"/>
    <w:rsid w:val="00010087"/>
    <w:rsid w:val="0001011F"/>
    <w:rsid w:val="000105F1"/>
    <w:rsid w:val="00011BB4"/>
    <w:rsid w:val="00011FC5"/>
    <w:rsid w:val="0001243E"/>
    <w:rsid w:val="000124EB"/>
    <w:rsid w:val="00012FFD"/>
    <w:rsid w:val="00013AFC"/>
    <w:rsid w:val="00013C7B"/>
    <w:rsid w:val="00013DBE"/>
    <w:rsid w:val="00013F1F"/>
    <w:rsid w:val="000141AE"/>
    <w:rsid w:val="0001493A"/>
    <w:rsid w:val="000149F4"/>
    <w:rsid w:val="00015E34"/>
    <w:rsid w:val="00015EE4"/>
    <w:rsid w:val="0001614E"/>
    <w:rsid w:val="000164F8"/>
    <w:rsid w:val="000166E3"/>
    <w:rsid w:val="000166F8"/>
    <w:rsid w:val="000171EE"/>
    <w:rsid w:val="00017C6E"/>
    <w:rsid w:val="00020901"/>
    <w:rsid w:val="000218C2"/>
    <w:rsid w:val="000220F6"/>
    <w:rsid w:val="00022288"/>
    <w:rsid w:val="00022AAE"/>
    <w:rsid w:val="0002346C"/>
    <w:rsid w:val="000239D8"/>
    <w:rsid w:val="00023B6C"/>
    <w:rsid w:val="000240D7"/>
    <w:rsid w:val="0002467D"/>
    <w:rsid w:val="0002592C"/>
    <w:rsid w:val="00025E07"/>
    <w:rsid w:val="00025F0D"/>
    <w:rsid w:val="00025FD2"/>
    <w:rsid w:val="00026046"/>
    <w:rsid w:val="000262AD"/>
    <w:rsid w:val="00026943"/>
    <w:rsid w:val="00026D07"/>
    <w:rsid w:val="000270C1"/>
    <w:rsid w:val="0003005F"/>
    <w:rsid w:val="00030133"/>
    <w:rsid w:val="00030775"/>
    <w:rsid w:val="0003079B"/>
    <w:rsid w:val="00030902"/>
    <w:rsid w:val="00030B68"/>
    <w:rsid w:val="000313FC"/>
    <w:rsid w:val="00031482"/>
    <w:rsid w:val="00031E2D"/>
    <w:rsid w:val="00032A45"/>
    <w:rsid w:val="00032EE8"/>
    <w:rsid w:val="00033030"/>
    <w:rsid w:val="000332C6"/>
    <w:rsid w:val="00033597"/>
    <w:rsid w:val="000336FA"/>
    <w:rsid w:val="000339BC"/>
    <w:rsid w:val="00033A7E"/>
    <w:rsid w:val="00033EA0"/>
    <w:rsid w:val="00034655"/>
    <w:rsid w:val="00034E90"/>
    <w:rsid w:val="00034EF4"/>
    <w:rsid w:val="0003555A"/>
    <w:rsid w:val="000357FD"/>
    <w:rsid w:val="00035AB5"/>
    <w:rsid w:val="00035D16"/>
    <w:rsid w:val="00036408"/>
    <w:rsid w:val="0003699A"/>
    <w:rsid w:val="00036BB3"/>
    <w:rsid w:val="00037261"/>
    <w:rsid w:val="00037974"/>
    <w:rsid w:val="0003CF71"/>
    <w:rsid w:val="000403B2"/>
    <w:rsid w:val="00040967"/>
    <w:rsid w:val="00040D2E"/>
    <w:rsid w:val="00040D64"/>
    <w:rsid w:val="00041884"/>
    <w:rsid w:val="00041CE1"/>
    <w:rsid w:val="00041F30"/>
    <w:rsid w:val="000423EC"/>
    <w:rsid w:val="0004248B"/>
    <w:rsid w:val="00042617"/>
    <w:rsid w:val="0004339B"/>
    <w:rsid w:val="000433C8"/>
    <w:rsid w:val="00043565"/>
    <w:rsid w:val="0004377A"/>
    <w:rsid w:val="000449BC"/>
    <w:rsid w:val="00044D97"/>
    <w:rsid w:val="00045060"/>
    <w:rsid w:val="0004516E"/>
    <w:rsid w:val="0004523A"/>
    <w:rsid w:val="00045252"/>
    <w:rsid w:val="00045B19"/>
    <w:rsid w:val="0004604D"/>
    <w:rsid w:val="00046464"/>
    <w:rsid w:val="000468F6"/>
    <w:rsid w:val="00046BF1"/>
    <w:rsid w:val="00046CAA"/>
    <w:rsid w:val="00046EF0"/>
    <w:rsid w:val="0004739B"/>
    <w:rsid w:val="00047630"/>
    <w:rsid w:val="0004766A"/>
    <w:rsid w:val="0004784C"/>
    <w:rsid w:val="00047ABA"/>
    <w:rsid w:val="000503D7"/>
    <w:rsid w:val="0005088D"/>
    <w:rsid w:val="00050956"/>
    <w:rsid w:val="0005098C"/>
    <w:rsid w:val="00051010"/>
    <w:rsid w:val="00051455"/>
    <w:rsid w:val="000516A6"/>
    <w:rsid w:val="00051966"/>
    <w:rsid w:val="000524AE"/>
    <w:rsid w:val="00052664"/>
    <w:rsid w:val="000532A2"/>
    <w:rsid w:val="00053FE4"/>
    <w:rsid w:val="000540AF"/>
    <w:rsid w:val="00054434"/>
    <w:rsid w:val="00054C94"/>
    <w:rsid w:val="0005519C"/>
    <w:rsid w:val="00055A51"/>
    <w:rsid w:val="00055A84"/>
    <w:rsid w:val="00055E6E"/>
    <w:rsid w:val="00056667"/>
    <w:rsid w:val="00056B77"/>
    <w:rsid w:val="00056DFF"/>
    <w:rsid w:val="00056EEE"/>
    <w:rsid w:val="00057F4B"/>
    <w:rsid w:val="000603EE"/>
    <w:rsid w:val="000607BB"/>
    <w:rsid w:val="00060D69"/>
    <w:rsid w:val="00060E4E"/>
    <w:rsid w:val="00061044"/>
    <w:rsid w:val="000620B1"/>
    <w:rsid w:val="0006291C"/>
    <w:rsid w:val="00062EE8"/>
    <w:rsid w:val="00063917"/>
    <w:rsid w:val="00063E37"/>
    <w:rsid w:val="00064C22"/>
    <w:rsid w:val="0006524F"/>
    <w:rsid w:val="00065416"/>
    <w:rsid w:val="00065558"/>
    <w:rsid w:val="00066453"/>
    <w:rsid w:val="000664A5"/>
    <w:rsid w:val="0006677F"/>
    <w:rsid w:val="00066CFF"/>
    <w:rsid w:val="00066FBF"/>
    <w:rsid w:val="0006787C"/>
    <w:rsid w:val="00070594"/>
    <w:rsid w:val="000705A6"/>
    <w:rsid w:val="0007070F"/>
    <w:rsid w:val="00070863"/>
    <w:rsid w:val="00070945"/>
    <w:rsid w:val="000709FC"/>
    <w:rsid w:val="00070F9F"/>
    <w:rsid w:val="0007109C"/>
    <w:rsid w:val="000710DB"/>
    <w:rsid w:val="00071B6E"/>
    <w:rsid w:val="00071DB0"/>
    <w:rsid w:val="00072486"/>
    <w:rsid w:val="00072CDE"/>
    <w:rsid w:val="00072E7C"/>
    <w:rsid w:val="00073793"/>
    <w:rsid w:val="00073ADE"/>
    <w:rsid w:val="0007416B"/>
    <w:rsid w:val="00074745"/>
    <w:rsid w:val="00074C95"/>
    <w:rsid w:val="00074DAB"/>
    <w:rsid w:val="00075244"/>
    <w:rsid w:val="00075540"/>
    <w:rsid w:val="0007563E"/>
    <w:rsid w:val="000764C1"/>
    <w:rsid w:val="00076CF4"/>
    <w:rsid w:val="0007731D"/>
    <w:rsid w:val="00077831"/>
    <w:rsid w:val="00077884"/>
    <w:rsid w:val="00077A00"/>
    <w:rsid w:val="00077F9B"/>
    <w:rsid w:val="00080276"/>
    <w:rsid w:val="00080320"/>
    <w:rsid w:val="00080441"/>
    <w:rsid w:val="0008085B"/>
    <w:rsid w:val="00080A1D"/>
    <w:rsid w:val="00081625"/>
    <w:rsid w:val="0008194F"/>
    <w:rsid w:val="00082BED"/>
    <w:rsid w:val="000831DB"/>
    <w:rsid w:val="00083688"/>
    <w:rsid w:val="000836E9"/>
    <w:rsid w:val="00083922"/>
    <w:rsid w:val="00084117"/>
    <w:rsid w:val="00084253"/>
    <w:rsid w:val="00084ADB"/>
    <w:rsid w:val="000850CD"/>
    <w:rsid w:val="00085BF7"/>
    <w:rsid w:val="00086241"/>
    <w:rsid w:val="0008634F"/>
    <w:rsid w:val="0008692B"/>
    <w:rsid w:val="0009067C"/>
    <w:rsid w:val="0009083C"/>
    <w:rsid w:val="00090B85"/>
    <w:rsid w:val="00090CAC"/>
    <w:rsid w:val="000916EE"/>
    <w:rsid w:val="000921BE"/>
    <w:rsid w:val="0009222B"/>
    <w:rsid w:val="00092252"/>
    <w:rsid w:val="0009229C"/>
    <w:rsid w:val="000924F5"/>
    <w:rsid w:val="00092559"/>
    <w:rsid w:val="00092CFB"/>
    <w:rsid w:val="00092EFE"/>
    <w:rsid w:val="000931E0"/>
    <w:rsid w:val="00093359"/>
    <w:rsid w:val="0009379F"/>
    <w:rsid w:val="00093C99"/>
    <w:rsid w:val="00093EBD"/>
    <w:rsid w:val="00094418"/>
    <w:rsid w:val="000947B1"/>
    <w:rsid w:val="00094EF9"/>
    <w:rsid w:val="00095236"/>
    <w:rsid w:val="000958AF"/>
    <w:rsid w:val="00095C1F"/>
    <w:rsid w:val="00096634"/>
    <w:rsid w:val="000968F2"/>
    <w:rsid w:val="00096A43"/>
    <w:rsid w:val="00096B6D"/>
    <w:rsid w:val="00096E8C"/>
    <w:rsid w:val="00097464"/>
    <w:rsid w:val="00097E59"/>
    <w:rsid w:val="000A0AEA"/>
    <w:rsid w:val="000A19AD"/>
    <w:rsid w:val="000A2375"/>
    <w:rsid w:val="000A240E"/>
    <w:rsid w:val="000A29AB"/>
    <w:rsid w:val="000A2CF9"/>
    <w:rsid w:val="000A2D40"/>
    <w:rsid w:val="000A2D5F"/>
    <w:rsid w:val="000A2DD1"/>
    <w:rsid w:val="000A489D"/>
    <w:rsid w:val="000A4A06"/>
    <w:rsid w:val="000A56D3"/>
    <w:rsid w:val="000A5BF6"/>
    <w:rsid w:val="000A686B"/>
    <w:rsid w:val="000A7CAA"/>
    <w:rsid w:val="000A7DBD"/>
    <w:rsid w:val="000B06B4"/>
    <w:rsid w:val="000B17CD"/>
    <w:rsid w:val="000B2239"/>
    <w:rsid w:val="000B272D"/>
    <w:rsid w:val="000B3186"/>
    <w:rsid w:val="000B37C7"/>
    <w:rsid w:val="000B3890"/>
    <w:rsid w:val="000B66B1"/>
    <w:rsid w:val="000B6D02"/>
    <w:rsid w:val="000B7428"/>
    <w:rsid w:val="000B7AD5"/>
    <w:rsid w:val="000C03C1"/>
    <w:rsid w:val="000C0F03"/>
    <w:rsid w:val="000C1A73"/>
    <w:rsid w:val="000C1B7C"/>
    <w:rsid w:val="000C1C3D"/>
    <w:rsid w:val="000C2CF3"/>
    <w:rsid w:val="000C359E"/>
    <w:rsid w:val="000C4340"/>
    <w:rsid w:val="000C46F2"/>
    <w:rsid w:val="000C4C04"/>
    <w:rsid w:val="000C58CA"/>
    <w:rsid w:val="000C5B7A"/>
    <w:rsid w:val="000C694A"/>
    <w:rsid w:val="000C6A0A"/>
    <w:rsid w:val="000C6B03"/>
    <w:rsid w:val="000C75BE"/>
    <w:rsid w:val="000C784C"/>
    <w:rsid w:val="000C7947"/>
    <w:rsid w:val="000CC502"/>
    <w:rsid w:val="000D07CA"/>
    <w:rsid w:val="000D0C14"/>
    <w:rsid w:val="000D14D3"/>
    <w:rsid w:val="000D1CBB"/>
    <w:rsid w:val="000D1D88"/>
    <w:rsid w:val="000D1F0D"/>
    <w:rsid w:val="000D216F"/>
    <w:rsid w:val="000D219C"/>
    <w:rsid w:val="000D21AB"/>
    <w:rsid w:val="000D332A"/>
    <w:rsid w:val="000D38E7"/>
    <w:rsid w:val="000D43D4"/>
    <w:rsid w:val="000D44F1"/>
    <w:rsid w:val="000D473C"/>
    <w:rsid w:val="000D547F"/>
    <w:rsid w:val="000D56A7"/>
    <w:rsid w:val="000D6352"/>
    <w:rsid w:val="000D63A0"/>
    <w:rsid w:val="000D6400"/>
    <w:rsid w:val="000D6FD2"/>
    <w:rsid w:val="000D7085"/>
    <w:rsid w:val="000D725B"/>
    <w:rsid w:val="000D7964"/>
    <w:rsid w:val="000D79AD"/>
    <w:rsid w:val="000E0ADA"/>
    <w:rsid w:val="000E0F15"/>
    <w:rsid w:val="000E130A"/>
    <w:rsid w:val="000E155A"/>
    <w:rsid w:val="000E1677"/>
    <w:rsid w:val="000E185C"/>
    <w:rsid w:val="000E262F"/>
    <w:rsid w:val="000E27ED"/>
    <w:rsid w:val="000E3120"/>
    <w:rsid w:val="000E3235"/>
    <w:rsid w:val="000E3EAF"/>
    <w:rsid w:val="000E44CC"/>
    <w:rsid w:val="000E45B9"/>
    <w:rsid w:val="000E485C"/>
    <w:rsid w:val="000E4D3B"/>
    <w:rsid w:val="000E5222"/>
    <w:rsid w:val="000E542D"/>
    <w:rsid w:val="000E589A"/>
    <w:rsid w:val="000E58BE"/>
    <w:rsid w:val="000E5BED"/>
    <w:rsid w:val="000E6029"/>
    <w:rsid w:val="000E7586"/>
    <w:rsid w:val="000E75DA"/>
    <w:rsid w:val="000E7C62"/>
    <w:rsid w:val="000F0CB5"/>
    <w:rsid w:val="000F1015"/>
    <w:rsid w:val="000F14E0"/>
    <w:rsid w:val="000F1557"/>
    <w:rsid w:val="000F2227"/>
    <w:rsid w:val="000F22C0"/>
    <w:rsid w:val="000F2355"/>
    <w:rsid w:val="000F4388"/>
    <w:rsid w:val="000F451B"/>
    <w:rsid w:val="000F4526"/>
    <w:rsid w:val="000F48DA"/>
    <w:rsid w:val="000F4DE9"/>
    <w:rsid w:val="000F4FE9"/>
    <w:rsid w:val="000F5614"/>
    <w:rsid w:val="000F5BCE"/>
    <w:rsid w:val="000F5CD8"/>
    <w:rsid w:val="000F6566"/>
    <w:rsid w:val="000F6A3A"/>
    <w:rsid w:val="000F6BD6"/>
    <w:rsid w:val="000F7026"/>
    <w:rsid w:val="000F7031"/>
    <w:rsid w:val="000F7529"/>
    <w:rsid w:val="000F7AC5"/>
    <w:rsid w:val="000F7C8E"/>
    <w:rsid w:val="0010004D"/>
    <w:rsid w:val="00100077"/>
    <w:rsid w:val="001001B6"/>
    <w:rsid w:val="00100D64"/>
    <w:rsid w:val="00101067"/>
    <w:rsid w:val="001020F0"/>
    <w:rsid w:val="00102157"/>
    <w:rsid w:val="00103C7A"/>
    <w:rsid w:val="0010400F"/>
    <w:rsid w:val="00104826"/>
    <w:rsid w:val="00104ABD"/>
    <w:rsid w:val="00104B14"/>
    <w:rsid w:val="00104C37"/>
    <w:rsid w:val="001057CB"/>
    <w:rsid w:val="00106842"/>
    <w:rsid w:val="00106902"/>
    <w:rsid w:val="00106E39"/>
    <w:rsid w:val="00107E0D"/>
    <w:rsid w:val="0011031F"/>
    <w:rsid w:val="001103D8"/>
    <w:rsid w:val="00110A70"/>
    <w:rsid w:val="00110F62"/>
    <w:rsid w:val="00110FE3"/>
    <w:rsid w:val="0011104A"/>
    <w:rsid w:val="00111578"/>
    <w:rsid w:val="001117F0"/>
    <w:rsid w:val="00112942"/>
    <w:rsid w:val="00112F32"/>
    <w:rsid w:val="00113D02"/>
    <w:rsid w:val="001143C8"/>
    <w:rsid w:val="00114405"/>
    <w:rsid w:val="001152F9"/>
    <w:rsid w:val="0011554D"/>
    <w:rsid w:val="00115ABC"/>
    <w:rsid w:val="00115E84"/>
    <w:rsid w:val="001160E5"/>
    <w:rsid w:val="0011624A"/>
    <w:rsid w:val="001162AA"/>
    <w:rsid w:val="00116316"/>
    <w:rsid w:val="00116F2A"/>
    <w:rsid w:val="0011774A"/>
    <w:rsid w:val="00120472"/>
    <w:rsid w:val="001208A2"/>
    <w:rsid w:val="00120AE5"/>
    <w:rsid w:val="00120AFA"/>
    <w:rsid w:val="00121BCA"/>
    <w:rsid w:val="001220BA"/>
    <w:rsid w:val="001224DD"/>
    <w:rsid w:val="001231C1"/>
    <w:rsid w:val="001239FD"/>
    <w:rsid w:val="00123A81"/>
    <w:rsid w:val="00123C3A"/>
    <w:rsid w:val="00123C4B"/>
    <w:rsid w:val="00124272"/>
    <w:rsid w:val="0012434C"/>
    <w:rsid w:val="0012457D"/>
    <w:rsid w:val="00126F39"/>
    <w:rsid w:val="00127147"/>
    <w:rsid w:val="001273AD"/>
    <w:rsid w:val="001273E9"/>
    <w:rsid w:val="001277C0"/>
    <w:rsid w:val="00130AB0"/>
    <w:rsid w:val="00131184"/>
    <w:rsid w:val="00132AD2"/>
    <w:rsid w:val="00132C52"/>
    <w:rsid w:val="00132CE7"/>
    <w:rsid w:val="00132EC3"/>
    <w:rsid w:val="00132ECB"/>
    <w:rsid w:val="001333C9"/>
    <w:rsid w:val="001334D2"/>
    <w:rsid w:val="00133D5C"/>
    <w:rsid w:val="0013430B"/>
    <w:rsid w:val="0013529B"/>
    <w:rsid w:val="00135438"/>
    <w:rsid w:val="00135634"/>
    <w:rsid w:val="0013580D"/>
    <w:rsid w:val="0013589C"/>
    <w:rsid w:val="00136436"/>
    <w:rsid w:val="00137604"/>
    <w:rsid w:val="001401B9"/>
    <w:rsid w:val="001409FB"/>
    <w:rsid w:val="00140D49"/>
    <w:rsid w:val="00140E30"/>
    <w:rsid w:val="0014114B"/>
    <w:rsid w:val="00141B22"/>
    <w:rsid w:val="00141C01"/>
    <w:rsid w:val="001421C6"/>
    <w:rsid w:val="0014263A"/>
    <w:rsid w:val="001431CE"/>
    <w:rsid w:val="0014394D"/>
    <w:rsid w:val="00143BB3"/>
    <w:rsid w:val="00143D08"/>
    <w:rsid w:val="00144304"/>
    <w:rsid w:val="0014490C"/>
    <w:rsid w:val="00144AEB"/>
    <w:rsid w:val="00146462"/>
    <w:rsid w:val="001470D8"/>
    <w:rsid w:val="001474EF"/>
    <w:rsid w:val="00147826"/>
    <w:rsid w:val="00147A3F"/>
    <w:rsid w:val="001505BA"/>
    <w:rsid w:val="00150F7B"/>
    <w:rsid w:val="00151842"/>
    <w:rsid w:val="001520C7"/>
    <w:rsid w:val="00152227"/>
    <w:rsid w:val="0015239F"/>
    <w:rsid w:val="00152937"/>
    <w:rsid w:val="00153371"/>
    <w:rsid w:val="001538A9"/>
    <w:rsid w:val="00153EF8"/>
    <w:rsid w:val="001547F2"/>
    <w:rsid w:val="001548CA"/>
    <w:rsid w:val="0015495B"/>
    <w:rsid w:val="00155706"/>
    <w:rsid w:val="001557C3"/>
    <w:rsid w:val="00155CFC"/>
    <w:rsid w:val="001565D6"/>
    <w:rsid w:val="001568E3"/>
    <w:rsid w:val="00160168"/>
    <w:rsid w:val="0016079E"/>
    <w:rsid w:val="00161AFE"/>
    <w:rsid w:val="00161FBF"/>
    <w:rsid w:val="0016204C"/>
    <w:rsid w:val="00163312"/>
    <w:rsid w:val="0016381C"/>
    <w:rsid w:val="00163902"/>
    <w:rsid w:val="00163FE7"/>
    <w:rsid w:val="00165645"/>
    <w:rsid w:val="00165B9B"/>
    <w:rsid w:val="00166A86"/>
    <w:rsid w:val="00166F3C"/>
    <w:rsid w:val="00170DC2"/>
    <w:rsid w:val="00172361"/>
    <w:rsid w:val="001723EF"/>
    <w:rsid w:val="001728B9"/>
    <w:rsid w:val="00172950"/>
    <w:rsid w:val="00172A60"/>
    <w:rsid w:val="00172C6E"/>
    <w:rsid w:val="001733FD"/>
    <w:rsid w:val="00173543"/>
    <w:rsid w:val="00173AF0"/>
    <w:rsid w:val="001749B9"/>
    <w:rsid w:val="00175067"/>
    <w:rsid w:val="00176363"/>
    <w:rsid w:val="001777CE"/>
    <w:rsid w:val="00180289"/>
    <w:rsid w:val="00180AB7"/>
    <w:rsid w:val="00180BA0"/>
    <w:rsid w:val="00180CA9"/>
    <w:rsid w:val="001811D2"/>
    <w:rsid w:val="00181545"/>
    <w:rsid w:val="00181852"/>
    <w:rsid w:val="00182568"/>
    <w:rsid w:val="00182B8A"/>
    <w:rsid w:val="00182E19"/>
    <w:rsid w:val="00183009"/>
    <w:rsid w:val="00183536"/>
    <w:rsid w:val="001838AA"/>
    <w:rsid w:val="001846CD"/>
    <w:rsid w:val="001847B8"/>
    <w:rsid w:val="00184D48"/>
    <w:rsid w:val="00184D49"/>
    <w:rsid w:val="0018543B"/>
    <w:rsid w:val="001864C3"/>
    <w:rsid w:val="001865E8"/>
    <w:rsid w:val="001866A0"/>
    <w:rsid w:val="00186746"/>
    <w:rsid w:val="00186F1B"/>
    <w:rsid w:val="00186FEA"/>
    <w:rsid w:val="001875F6"/>
    <w:rsid w:val="001876D6"/>
    <w:rsid w:val="00187847"/>
    <w:rsid w:val="001879A6"/>
    <w:rsid w:val="00187B5D"/>
    <w:rsid w:val="00187B8F"/>
    <w:rsid w:val="00190B11"/>
    <w:rsid w:val="001911E9"/>
    <w:rsid w:val="001919FA"/>
    <w:rsid w:val="00192511"/>
    <w:rsid w:val="00192902"/>
    <w:rsid w:val="00192C11"/>
    <w:rsid w:val="00193310"/>
    <w:rsid w:val="00193463"/>
    <w:rsid w:val="00193CC0"/>
    <w:rsid w:val="001948B5"/>
    <w:rsid w:val="001948C7"/>
    <w:rsid w:val="00194C1D"/>
    <w:rsid w:val="00194CA8"/>
    <w:rsid w:val="00195D07"/>
    <w:rsid w:val="0019643A"/>
    <w:rsid w:val="00196655"/>
    <w:rsid w:val="00196EA1"/>
    <w:rsid w:val="00196F5A"/>
    <w:rsid w:val="00197AF4"/>
    <w:rsid w:val="001A0387"/>
    <w:rsid w:val="001A11C4"/>
    <w:rsid w:val="001A1299"/>
    <w:rsid w:val="001A13C8"/>
    <w:rsid w:val="001A1831"/>
    <w:rsid w:val="001A1ABF"/>
    <w:rsid w:val="001A2329"/>
    <w:rsid w:val="001A25FC"/>
    <w:rsid w:val="001A2958"/>
    <w:rsid w:val="001A298C"/>
    <w:rsid w:val="001A2B51"/>
    <w:rsid w:val="001A2B9A"/>
    <w:rsid w:val="001A34C8"/>
    <w:rsid w:val="001A3930"/>
    <w:rsid w:val="001A3EF8"/>
    <w:rsid w:val="001A40C9"/>
    <w:rsid w:val="001A5ED2"/>
    <w:rsid w:val="001A6B1B"/>
    <w:rsid w:val="001A6EB0"/>
    <w:rsid w:val="001A6F8A"/>
    <w:rsid w:val="001A73AE"/>
    <w:rsid w:val="001A7EF7"/>
    <w:rsid w:val="001A7F2A"/>
    <w:rsid w:val="001B0075"/>
    <w:rsid w:val="001B0136"/>
    <w:rsid w:val="001B0475"/>
    <w:rsid w:val="001B0A83"/>
    <w:rsid w:val="001B0D3A"/>
    <w:rsid w:val="001B0D7A"/>
    <w:rsid w:val="001B0F16"/>
    <w:rsid w:val="001B10E1"/>
    <w:rsid w:val="001B125F"/>
    <w:rsid w:val="001B14D0"/>
    <w:rsid w:val="001B1960"/>
    <w:rsid w:val="001B19F4"/>
    <w:rsid w:val="001B1C91"/>
    <w:rsid w:val="001B2094"/>
    <w:rsid w:val="001B22E8"/>
    <w:rsid w:val="001B2915"/>
    <w:rsid w:val="001B2917"/>
    <w:rsid w:val="001B3420"/>
    <w:rsid w:val="001B4118"/>
    <w:rsid w:val="001B44A6"/>
    <w:rsid w:val="001B5553"/>
    <w:rsid w:val="001B55BD"/>
    <w:rsid w:val="001B57E8"/>
    <w:rsid w:val="001B5A6F"/>
    <w:rsid w:val="001B5B5E"/>
    <w:rsid w:val="001B60E3"/>
    <w:rsid w:val="001B64D9"/>
    <w:rsid w:val="001B66F5"/>
    <w:rsid w:val="001B6E69"/>
    <w:rsid w:val="001B7360"/>
    <w:rsid w:val="001B7D31"/>
    <w:rsid w:val="001C0FFB"/>
    <w:rsid w:val="001C1165"/>
    <w:rsid w:val="001C13CB"/>
    <w:rsid w:val="001C17BB"/>
    <w:rsid w:val="001C1A80"/>
    <w:rsid w:val="001C1B06"/>
    <w:rsid w:val="001C1B0C"/>
    <w:rsid w:val="001C1EE6"/>
    <w:rsid w:val="001C2142"/>
    <w:rsid w:val="001C22A2"/>
    <w:rsid w:val="001C275E"/>
    <w:rsid w:val="001C283F"/>
    <w:rsid w:val="001C2AD0"/>
    <w:rsid w:val="001C2F48"/>
    <w:rsid w:val="001C32DA"/>
    <w:rsid w:val="001C371E"/>
    <w:rsid w:val="001C3A90"/>
    <w:rsid w:val="001C3EF5"/>
    <w:rsid w:val="001C44AA"/>
    <w:rsid w:val="001C4DDD"/>
    <w:rsid w:val="001C5CE8"/>
    <w:rsid w:val="001C6D3B"/>
    <w:rsid w:val="001C6F36"/>
    <w:rsid w:val="001C7774"/>
    <w:rsid w:val="001C7A27"/>
    <w:rsid w:val="001C7FBC"/>
    <w:rsid w:val="001D07A7"/>
    <w:rsid w:val="001D0D7A"/>
    <w:rsid w:val="001D2466"/>
    <w:rsid w:val="001D2B44"/>
    <w:rsid w:val="001D41E4"/>
    <w:rsid w:val="001D439A"/>
    <w:rsid w:val="001D4894"/>
    <w:rsid w:val="001D48DC"/>
    <w:rsid w:val="001D4A97"/>
    <w:rsid w:val="001D4ADB"/>
    <w:rsid w:val="001D64A4"/>
    <w:rsid w:val="001D667A"/>
    <w:rsid w:val="001D66C6"/>
    <w:rsid w:val="001D6920"/>
    <w:rsid w:val="001D7430"/>
    <w:rsid w:val="001D7943"/>
    <w:rsid w:val="001D7E63"/>
    <w:rsid w:val="001D7FC5"/>
    <w:rsid w:val="001E0769"/>
    <w:rsid w:val="001E1327"/>
    <w:rsid w:val="001E14FB"/>
    <w:rsid w:val="001E17BA"/>
    <w:rsid w:val="001E1C61"/>
    <w:rsid w:val="001E1DC0"/>
    <w:rsid w:val="001E2997"/>
    <w:rsid w:val="001E2A0C"/>
    <w:rsid w:val="001E3C48"/>
    <w:rsid w:val="001E3EDE"/>
    <w:rsid w:val="001E3FF8"/>
    <w:rsid w:val="001E49BB"/>
    <w:rsid w:val="001E4A29"/>
    <w:rsid w:val="001E4EAB"/>
    <w:rsid w:val="001E5219"/>
    <w:rsid w:val="001E548F"/>
    <w:rsid w:val="001E55DB"/>
    <w:rsid w:val="001E5A25"/>
    <w:rsid w:val="001E5BEC"/>
    <w:rsid w:val="001E60A9"/>
    <w:rsid w:val="001E628C"/>
    <w:rsid w:val="001E7079"/>
    <w:rsid w:val="001F006D"/>
    <w:rsid w:val="001F09CB"/>
    <w:rsid w:val="001F0A54"/>
    <w:rsid w:val="001F0C2B"/>
    <w:rsid w:val="001F1661"/>
    <w:rsid w:val="001F182E"/>
    <w:rsid w:val="001F18A3"/>
    <w:rsid w:val="001F1D09"/>
    <w:rsid w:val="001F22F6"/>
    <w:rsid w:val="001F3A62"/>
    <w:rsid w:val="001F43EC"/>
    <w:rsid w:val="001F48EE"/>
    <w:rsid w:val="001F4B11"/>
    <w:rsid w:val="001F561A"/>
    <w:rsid w:val="001F5B33"/>
    <w:rsid w:val="001F5D4D"/>
    <w:rsid w:val="001F63EE"/>
    <w:rsid w:val="001F7138"/>
    <w:rsid w:val="001F71F2"/>
    <w:rsid w:val="001F7BAC"/>
    <w:rsid w:val="002002D1"/>
    <w:rsid w:val="002005A9"/>
    <w:rsid w:val="00200D57"/>
    <w:rsid w:val="00200EDF"/>
    <w:rsid w:val="00201493"/>
    <w:rsid w:val="00201664"/>
    <w:rsid w:val="0020258A"/>
    <w:rsid w:val="00202B5A"/>
    <w:rsid w:val="00202BF2"/>
    <w:rsid w:val="00203805"/>
    <w:rsid w:val="002039FF"/>
    <w:rsid w:val="002048CE"/>
    <w:rsid w:val="00205095"/>
    <w:rsid w:val="002051AF"/>
    <w:rsid w:val="00205725"/>
    <w:rsid w:val="00205791"/>
    <w:rsid w:val="0020587F"/>
    <w:rsid w:val="00205D08"/>
    <w:rsid w:val="00205E75"/>
    <w:rsid w:val="00207102"/>
    <w:rsid w:val="00207909"/>
    <w:rsid w:val="0020797F"/>
    <w:rsid w:val="002079C1"/>
    <w:rsid w:val="00210251"/>
    <w:rsid w:val="00210F54"/>
    <w:rsid w:val="0021114B"/>
    <w:rsid w:val="002115E4"/>
    <w:rsid w:val="002115E7"/>
    <w:rsid w:val="00211A02"/>
    <w:rsid w:val="00211A6A"/>
    <w:rsid w:val="00211AC5"/>
    <w:rsid w:val="00211C8E"/>
    <w:rsid w:val="0021275C"/>
    <w:rsid w:val="00212CC9"/>
    <w:rsid w:val="00212E00"/>
    <w:rsid w:val="002132E0"/>
    <w:rsid w:val="00213BDD"/>
    <w:rsid w:val="00213E38"/>
    <w:rsid w:val="00213E7D"/>
    <w:rsid w:val="00214E00"/>
    <w:rsid w:val="00215425"/>
    <w:rsid w:val="00215F05"/>
    <w:rsid w:val="00216E8B"/>
    <w:rsid w:val="002175A3"/>
    <w:rsid w:val="00217B41"/>
    <w:rsid w:val="00217B63"/>
    <w:rsid w:val="00217BF2"/>
    <w:rsid w:val="00217EED"/>
    <w:rsid w:val="002205F4"/>
    <w:rsid w:val="0022068F"/>
    <w:rsid w:val="00220753"/>
    <w:rsid w:val="00220757"/>
    <w:rsid w:val="00220E82"/>
    <w:rsid w:val="00220EAE"/>
    <w:rsid w:val="00220ED3"/>
    <w:rsid w:val="0022258F"/>
    <w:rsid w:val="0022286E"/>
    <w:rsid w:val="002228E4"/>
    <w:rsid w:val="00222B4A"/>
    <w:rsid w:val="00223138"/>
    <w:rsid w:val="002233F2"/>
    <w:rsid w:val="002235BA"/>
    <w:rsid w:val="002237D9"/>
    <w:rsid w:val="00223ABB"/>
    <w:rsid w:val="00223B46"/>
    <w:rsid w:val="00224118"/>
    <w:rsid w:val="00224EC6"/>
    <w:rsid w:val="00225900"/>
    <w:rsid w:val="00226007"/>
    <w:rsid w:val="002264C4"/>
    <w:rsid w:val="00226771"/>
    <w:rsid w:val="00226BC3"/>
    <w:rsid w:val="00226E4C"/>
    <w:rsid w:val="00226E7E"/>
    <w:rsid w:val="002275E3"/>
    <w:rsid w:val="00230735"/>
    <w:rsid w:val="002309D9"/>
    <w:rsid w:val="00230F1B"/>
    <w:rsid w:val="002312C4"/>
    <w:rsid w:val="00231B7A"/>
    <w:rsid w:val="00231B7E"/>
    <w:rsid w:val="00232C76"/>
    <w:rsid w:val="00233EE4"/>
    <w:rsid w:val="00235026"/>
    <w:rsid w:val="002353DA"/>
    <w:rsid w:val="0023589A"/>
    <w:rsid w:val="00236E5E"/>
    <w:rsid w:val="00236F5A"/>
    <w:rsid w:val="00237DE2"/>
    <w:rsid w:val="00240322"/>
    <w:rsid w:val="00240500"/>
    <w:rsid w:val="00240556"/>
    <w:rsid w:val="00240C53"/>
    <w:rsid w:val="00241054"/>
    <w:rsid w:val="00241298"/>
    <w:rsid w:val="00241BAA"/>
    <w:rsid w:val="00241F2C"/>
    <w:rsid w:val="00242B83"/>
    <w:rsid w:val="00242D12"/>
    <w:rsid w:val="002433D4"/>
    <w:rsid w:val="00243AA0"/>
    <w:rsid w:val="00244AEB"/>
    <w:rsid w:val="00244FDC"/>
    <w:rsid w:val="002456F1"/>
    <w:rsid w:val="00245CAF"/>
    <w:rsid w:val="00245FE2"/>
    <w:rsid w:val="00246B0B"/>
    <w:rsid w:val="00246F59"/>
    <w:rsid w:val="00247134"/>
    <w:rsid w:val="00247877"/>
    <w:rsid w:val="002502A9"/>
    <w:rsid w:val="00250600"/>
    <w:rsid w:val="0025067F"/>
    <w:rsid w:val="00250709"/>
    <w:rsid w:val="00250864"/>
    <w:rsid w:val="00251264"/>
    <w:rsid w:val="00252273"/>
    <w:rsid w:val="00252C76"/>
    <w:rsid w:val="00252F8C"/>
    <w:rsid w:val="0025377F"/>
    <w:rsid w:val="00253A83"/>
    <w:rsid w:val="00253C88"/>
    <w:rsid w:val="00253CE6"/>
    <w:rsid w:val="00253F72"/>
    <w:rsid w:val="00253FD6"/>
    <w:rsid w:val="0025428A"/>
    <w:rsid w:val="00254350"/>
    <w:rsid w:val="00254673"/>
    <w:rsid w:val="00254DBF"/>
    <w:rsid w:val="00254E31"/>
    <w:rsid w:val="002550AA"/>
    <w:rsid w:val="00255F4B"/>
    <w:rsid w:val="0025641E"/>
    <w:rsid w:val="002566F2"/>
    <w:rsid w:val="00257ACD"/>
    <w:rsid w:val="0026035E"/>
    <w:rsid w:val="0026054A"/>
    <w:rsid w:val="002605DF"/>
    <w:rsid w:val="00260982"/>
    <w:rsid w:val="00260990"/>
    <w:rsid w:val="00260CDF"/>
    <w:rsid w:val="00260FF6"/>
    <w:rsid w:val="002610C1"/>
    <w:rsid w:val="00261A6F"/>
    <w:rsid w:val="00261D9E"/>
    <w:rsid w:val="00261DB1"/>
    <w:rsid w:val="002623B7"/>
    <w:rsid w:val="00263390"/>
    <w:rsid w:val="0026390F"/>
    <w:rsid w:val="002640E2"/>
    <w:rsid w:val="00264242"/>
    <w:rsid w:val="00264F94"/>
    <w:rsid w:val="00265624"/>
    <w:rsid w:val="002656DD"/>
    <w:rsid w:val="002658B3"/>
    <w:rsid w:val="002659A7"/>
    <w:rsid w:val="00265CC7"/>
    <w:rsid w:val="00266050"/>
    <w:rsid w:val="00266A2A"/>
    <w:rsid w:val="00266DEB"/>
    <w:rsid w:val="00266EC5"/>
    <w:rsid w:val="00267063"/>
    <w:rsid w:val="0026756C"/>
    <w:rsid w:val="00267FDF"/>
    <w:rsid w:val="0027036A"/>
    <w:rsid w:val="0027047B"/>
    <w:rsid w:val="00270DCB"/>
    <w:rsid w:val="00270FB4"/>
    <w:rsid w:val="00271E67"/>
    <w:rsid w:val="002722C8"/>
    <w:rsid w:val="00272A1C"/>
    <w:rsid w:val="0027317C"/>
    <w:rsid w:val="002739CC"/>
    <w:rsid w:val="00273B5C"/>
    <w:rsid w:val="00274285"/>
    <w:rsid w:val="00274441"/>
    <w:rsid w:val="0027462B"/>
    <w:rsid w:val="00274851"/>
    <w:rsid w:val="00274E72"/>
    <w:rsid w:val="00275D27"/>
    <w:rsid w:val="002770D0"/>
    <w:rsid w:val="002772EB"/>
    <w:rsid w:val="0027747E"/>
    <w:rsid w:val="00277604"/>
    <w:rsid w:val="0027777C"/>
    <w:rsid w:val="00277CB2"/>
    <w:rsid w:val="00277FAF"/>
    <w:rsid w:val="00280153"/>
    <w:rsid w:val="0028168B"/>
    <w:rsid w:val="00281F35"/>
    <w:rsid w:val="00282199"/>
    <w:rsid w:val="00282311"/>
    <w:rsid w:val="00282366"/>
    <w:rsid w:val="002831E0"/>
    <w:rsid w:val="00283410"/>
    <w:rsid w:val="00283818"/>
    <w:rsid w:val="002838A4"/>
    <w:rsid w:val="00283960"/>
    <w:rsid w:val="00283D8E"/>
    <w:rsid w:val="00283FA8"/>
    <w:rsid w:val="00284A6D"/>
    <w:rsid w:val="00284E90"/>
    <w:rsid w:val="00285355"/>
    <w:rsid w:val="002858C1"/>
    <w:rsid w:val="002859CA"/>
    <w:rsid w:val="00285E20"/>
    <w:rsid w:val="002860DA"/>
    <w:rsid w:val="0028698C"/>
    <w:rsid w:val="00287447"/>
    <w:rsid w:val="00287F0C"/>
    <w:rsid w:val="00290224"/>
    <w:rsid w:val="0029026C"/>
    <w:rsid w:val="0029064F"/>
    <w:rsid w:val="002909C3"/>
    <w:rsid w:val="00290C15"/>
    <w:rsid w:val="00290CC3"/>
    <w:rsid w:val="00291416"/>
    <w:rsid w:val="0029160C"/>
    <w:rsid w:val="0029165D"/>
    <w:rsid w:val="00293AB9"/>
    <w:rsid w:val="00294C4F"/>
    <w:rsid w:val="00294DB7"/>
    <w:rsid w:val="00295863"/>
    <w:rsid w:val="00295DF4"/>
    <w:rsid w:val="00296076"/>
    <w:rsid w:val="002966CE"/>
    <w:rsid w:val="00296AD9"/>
    <w:rsid w:val="0029754F"/>
    <w:rsid w:val="00297AA6"/>
    <w:rsid w:val="00297FD4"/>
    <w:rsid w:val="002A0AB6"/>
    <w:rsid w:val="002A0C30"/>
    <w:rsid w:val="002A0D1C"/>
    <w:rsid w:val="002A17A9"/>
    <w:rsid w:val="002A2863"/>
    <w:rsid w:val="002A2A26"/>
    <w:rsid w:val="002A2A53"/>
    <w:rsid w:val="002A3929"/>
    <w:rsid w:val="002A3D69"/>
    <w:rsid w:val="002A42B4"/>
    <w:rsid w:val="002A4381"/>
    <w:rsid w:val="002A4D94"/>
    <w:rsid w:val="002A52D1"/>
    <w:rsid w:val="002A5325"/>
    <w:rsid w:val="002A592A"/>
    <w:rsid w:val="002A5DA8"/>
    <w:rsid w:val="002A604A"/>
    <w:rsid w:val="002A60EA"/>
    <w:rsid w:val="002A69E7"/>
    <w:rsid w:val="002A6C36"/>
    <w:rsid w:val="002A6E35"/>
    <w:rsid w:val="002A76BE"/>
    <w:rsid w:val="002A7B6A"/>
    <w:rsid w:val="002A7E13"/>
    <w:rsid w:val="002A7ECA"/>
    <w:rsid w:val="002A7F3D"/>
    <w:rsid w:val="002B05B2"/>
    <w:rsid w:val="002B0C35"/>
    <w:rsid w:val="002B1355"/>
    <w:rsid w:val="002B13C1"/>
    <w:rsid w:val="002B1650"/>
    <w:rsid w:val="002B1730"/>
    <w:rsid w:val="002B1935"/>
    <w:rsid w:val="002B1A6F"/>
    <w:rsid w:val="002B2B75"/>
    <w:rsid w:val="002B2BAF"/>
    <w:rsid w:val="002B2BC7"/>
    <w:rsid w:val="002B2BF4"/>
    <w:rsid w:val="002B3807"/>
    <w:rsid w:val="002B3987"/>
    <w:rsid w:val="002B3BF6"/>
    <w:rsid w:val="002B3CF8"/>
    <w:rsid w:val="002B3DAC"/>
    <w:rsid w:val="002B4DD0"/>
    <w:rsid w:val="002B4E60"/>
    <w:rsid w:val="002B6478"/>
    <w:rsid w:val="002B686F"/>
    <w:rsid w:val="002B6F7F"/>
    <w:rsid w:val="002B7074"/>
    <w:rsid w:val="002B707A"/>
    <w:rsid w:val="002B7758"/>
    <w:rsid w:val="002B783F"/>
    <w:rsid w:val="002B7B98"/>
    <w:rsid w:val="002BE071"/>
    <w:rsid w:val="002C0376"/>
    <w:rsid w:val="002C07BF"/>
    <w:rsid w:val="002C1109"/>
    <w:rsid w:val="002C12D8"/>
    <w:rsid w:val="002C15AC"/>
    <w:rsid w:val="002C2944"/>
    <w:rsid w:val="002C296E"/>
    <w:rsid w:val="002C2AAA"/>
    <w:rsid w:val="002C2B08"/>
    <w:rsid w:val="002C2B0C"/>
    <w:rsid w:val="002C31B2"/>
    <w:rsid w:val="002C348C"/>
    <w:rsid w:val="002C350E"/>
    <w:rsid w:val="002C3750"/>
    <w:rsid w:val="002C407E"/>
    <w:rsid w:val="002C468F"/>
    <w:rsid w:val="002C4C6A"/>
    <w:rsid w:val="002C58C1"/>
    <w:rsid w:val="002C5918"/>
    <w:rsid w:val="002C629C"/>
    <w:rsid w:val="002C67B1"/>
    <w:rsid w:val="002C6AC7"/>
    <w:rsid w:val="002C7AB5"/>
    <w:rsid w:val="002D0284"/>
    <w:rsid w:val="002D0452"/>
    <w:rsid w:val="002D0F1C"/>
    <w:rsid w:val="002D11AF"/>
    <w:rsid w:val="002D1238"/>
    <w:rsid w:val="002D1FFB"/>
    <w:rsid w:val="002D254B"/>
    <w:rsid w:val="002D2B37"/>
    <w:rsid w:val="002D36DF"/>
    <w:rsid w:val="002D3979"/>
    <w:rsid w:val="002D39E9"/>
    <w:rsid w:val="002D4029"/>
    <w:rsid w:val="002D48EE"/>
    <w:rsid w:val="002D4CE9"/>
    <w:rsid w:val="002D4DF9"/>
    <w:rsid w:val="002D516A"/>
    <w:rsid w:val="002D5171"/>
    <w:rsid w:val="002D5580"/>
    <w:rsid w:val="002D5B57"/>
    <w:rsid w:val="002D5DF3"/>
    <w:rsid w:val="002D61F9"/>
    <w:rsid w:val="002D6B88"/>
    <w:rsid w:val="002D6CD8"/>
    <w:rsid w:val="002D755B"/>
    <w:rsid w:val="002E04A6"/>
    <w:rsid w:val="002E05BC"/>
    <w:rsid w:val="002E05C2"/>
    <w:rsid w:val="002E06D6"/>
    <w:rsid w:val="002E09CF"/>
    <w:rsid w:val="002E0C66"/>
    <w:rsid w:val="002E1126"/>
    <w:rsid w:val="002E112B"/>
    <w:rsid w:val="002E1182"/>
    <w:rsid w:val="002E14EB"/>
    <w:rsid w:val="002E1FC6"/>
    <w:rsid w:val="002E2020"/>
    <w:rsid w:val="002E22B5"/>
    <w:rsid w:val="002E2614"/>
    <w:rsid w:val="002E2744"/>
    <w:rsid w:val="002E2ADA"/>
    <w:rsid w:val="002E2FD8"/>
    <w:rsid w:val="002E33A4"/>
    <w:rsid w:val="002E3913"/>
    <w:rsid w:val="002E3A01"/>
    <w:rsid w:val="002E3D6A"/>
    <w:rsid w:val="002E43C5"/>
    <w:rsid w:val="002E45AF"/>
    <w:rsid w:val="002E4896"/>
    <w:rsid w:val="002E521B"/>
    <w:rsid w:val="002E74C0"/>
    <w:rsid w:val="002E7DA0"/>
    <w:rsid w:val="002E7DA7"/>
    <w:rsid w:val="002F04F6"/>
    <w:rsid w:val="002F05BD"/>
    <w:rsid w:val="002F07B0"/>
    <w:rsid w:val="002F07FD"/>
    <w:rsid w:val="002F0E09"/>
    <w:rsid w:val="002F0F91"/>
    <w:rsid w:val="002F1238"/>
    <w:rsid w:val="002F1341"/>
    <w:rsid w:val="002F1929"/>
    <w:rsid w:val="002F19A1"/>
    <w:rsid w:val="002F1BDC"/>
    <w:rsid w:val="002F1D94"/>
    <w:rsid w:val="002F264D"/>
    <w:rsid w:val="002F2A7E"/>
    <w:rsid w:val="002F2E86"/>
    <w:rsid w:val="002F37CD"/>
    <w:rsid w:val="002F3FC4"/>
    <w:rsid w:val="002F457A"/>
    <w:rsid w:val="002F4C03"/>
    <w:rsid w:val="002F4F83"/>
    <w:rsid w:val="002F5D1C"/>
    <w:rsid w:val="002F756A"/>
    <w:rsid w:val="002F76AF"/>
    <w:rsid w:val="002F7BC6"/>
    <w:rsid w:val="00300164"/>
    <w:rsid w:val="00300F1A"/>
    <w:rsid w:val="003015FC"/>
    <w:rsid w:val="0030221B"/>
    <w:rsid w:val="00302588"/>
    <w:rsid w:val="00302B12"/>
    <w:rsid w:val="0030331F"/>
    <w:rsid w:val="00303E9E"/>
    <w:rsid w:val="00305AA2"/>
    <w:rsid w:val="00306E6E"/>
    <w:rsid w:val="003070C5"/>
    <w:rsid w:val="003079B9"/>
    <w:rsid w:val="00307FE8"/>
    <w:rsid w:val="00310239"/>
    <w:rsid w:val="00311101"/>
    <w:rsid w:val="00311397"/>
    <w:rsid w:val="003118BE"/>
    <w:rsid w:val="00311C11"/>
    <w:rsid w:val="00311EA3"/>
    <w:rsid w:val="003124F3"/>
    <w:rsid w:val="003126E0"/>
    <w:rsid w:val="00312B7D"/>
    <w:rsid w:val="00312BFC"/>
    <w:rsid w:val="00313CDD"/>
    <w:rsid w:val="003143C4"/>
    <w:rsid w:val="0031440F"/>
    <w:rsid w:val="0031442F"/>
    <w:rsid w:val="003144CC"/>
    <w:rsid w:val="00314590"/>
    <w:rsid w:val="00314A2F"/>
    <w:rsid w:val="00314C2E"/>
    <w:rsid w:val="00315798"/>
    <w:rsid w:val="00316864"/>
    <w:rsid w:val="00316E97"/>
    <w:rsid w:val="00316FDE"/>
    <w:rsid w:val="003170CF"/>
    <w:rsid w:val="003172C0"/>
    <w:rsid w:val="00317849"/>
    <w:rsid w:val="0032050F"/>
    <w:rsid w:val="00320743"/>
    <w:rsid w:val="0032080E"/>
    <w:rsid w:val="00321F14"/>
    <w:rsid w:val="00322758"/>
    <w:rsid w:val="00322BDB"/>
    <w:rsid w:val="00323266"/>
    <w:rsid w:val="003234CC"/>
    <w:rsid w:val="00323BBE"/>
    <w:rsid w:val="00324006"/>
    <w:rsid w:val="00324FD8"/>
    <w:rsid w:val="003250B3"/>
    <w:rsid w:val="003255E1"/>
    <w:rsid w:val="00325798"/>
    <w:rsid w:val="00325966"/>
    <w:rsid w:val="0032662E"/>
    <w:rsid w:val="003266DF"/>
    <w:rsid w:val="00326A7F"/>
    <w:rsid w:val="0032799B"/>
    <w:rsid w:val="00327C6B"/>
    <w:rsid w:val="00330614"/>
    <w:rsid w:val="00330AD7"/>
    <w:rsid w:val="00330F1D"/>
    <w:rsid w:val="00331B06"/>
    <w:rsid w:val="003321B0"/>
    <w:rsid w:val="003324B2"/>
    <w:rsid w:val="00332987"/>
    <w:rsid w:val="003337A0"/>
    <w:rsid w:val="0033447B"/>
    <w:rsid w:val="003344BE"/>
    <w:rsid w:val="00334DF5"/>
    <w:rsid w:val="00334E20"/>
    <w:rsid w:val="00335381"/>
    <w:rsid w:val="0033573C"/>
    <w:rsid w:val="00335755"/>
    <w:rsid w:val="0033615E"/>
    <w:rsid w:val="00336693"/>
    <w:rsid w:val="00336A60"/>
    <w:rsid w:val="00336BB6"/>
    <w:rsid w:val="003373FA"/>
    <w:rsid w:val="00337A7A"/>
    <w:rsid w:val="003402CA"/>
    <w:rsid w:val="0034045E"/>
    <w:rsid w:val="00340816"/>
    <w:rsid w:val="00341277"/>
    <w:rsid w:val="003418D2"/>
    <w:rsid w:val="00342526"/>
    <w:rsid w:val="0034370C"/>
    <w:rsid w:val="003438D2"/>
    <w:rsid w:val="00343AAF"/>
    <w:rsid w:val="00343D33"/>
    <w:rsid w:val="0034436C"/>
    <w:rsid w:val="00344EC6"/>
    <w:rsid w:val="003457A8"/>
    <w:rsid w:val="00345E0D"/>
    <w:rsid w:val="00346AEC"/>
    <w:rsid w:val="00346F8E"/>
    <w:rsid w:val="003502A6"/>
    <w:rsid w:val="003505A6"/>
    <w:rsid w:val="003506E0"/>
    <w:rsid w:val="00351850"/>
    <w:rsid w:val="00351A70"/>
    <w:rsid w:val="00352132"/>
    <w:rsid w:val="0035317B"/>
    <w:rsid w:val="0035332A"/>
    <w:rsid w:val="00353941"/>
    <w:rsid w:val="003543B5"/>
    <w:rsid w:val="003549E4"/>
    <w:rsid w:val="00354FDB"/>
    <w:rsid w:val="0035681D"/>
    <w:rsid w:val="00356D93"/>
    <w:rsid w:val="00356E33"/>
    <w:rsid w:val="0035737B"/>
    <w:rsid w:val="00357F8D"/>
    <w:rsid w:val="003613AF"/>
    <w:rsid w:val="00361807"/>
    <w:rsid w:val="0036297E"/>
    <w:rsid w:val="0036330F"/>
    <w:rsid w:val="00363C3D"/>
    <w:rsid w:val="00363F47"/>
    <w:rsid w:val="0036421E"/>
    <w:rsid w:val="003642E6"/>
    <w:rsid w:val="00364411"/>
    <w:rsid w:val="00364916"/>
    <w:rsid w:val="00365259"/>
    <w:rsid w:val="003652D9"/>
    <w:rsid w:val="003660EB"/>
    <w:rsid w:val="003663A9"/>
    <w:rsid w:val="00366EEA"/>
    <w:rsid w:val="003670D7"/>
    <w:rsid w:val="003672FC"/>
    <w:rsid w:val="0036736A"/>
    <w:rsid w:val="00370131"/>
    <w:rsid w:val="00370273"/>
    <w:rsid w:val="00370344"/>
    <w:rsid w:val="003703F1"/>
    <w:rsid w:val="00370822"/>
    <w:rsid w:val="00370C26"/>
    <w:rsid w:val="00371386"/>
    <w:rsid w:val="003717C0"/>
    <w:rsid w:val="00372A85"/>
    <w:rsid w:val="0037355F"/>
    <w:rsid w:val="00373E42"/>
    <w:rsid w:val="00374D62"/>
    <w:rsid w:val="00375218"/>
    <w:rsid w:val="00375891"/>
    <w:rsid w:val="00375E71"/>
    <w:rsid w:val="00375EB0"/>
    <w:rsid w:val="0037607E"/>
    <w:rsid w:val="00376C7A"/>
    <w:rsid w:val="00376EDC"/>
    <w:rsid w:val="00377C26"/>
    <w:rsid w:val="00377EF8"/>
    <w:rsid w:val="00380949"/>
    <w:rsid w:val="00380AC4"/>
    <w:rsid w:val="00380D04"/>
    <w:rsid w:val="00380DB2"/>
    <w:rsid w:val="00380FC7"/>
    <w:rsid w:val="0038129B"/>
    <w:rsid w:val="00381322"/>
    <w:rsid w:val="00381502"/>
    <w:rsid w:val="00381971"/>
    <w:rsid w:val="003820F3"/>
    <w:rsid w:val="00383360"/>
    <w:rsid w:val="003833E4"/>
    <w:rsid w:val="003834A2"/>
    <w:rsid w:val="00383A81"/>
    <w:rsid w:val="00383E95"/>
    <w:rsid w:val="0038400D"/>
    <w:rsid w:val="00384307"/>
    <w:rsid w:val="00384720"/>
    <w:rsid w:val="00384BA5"/>
    <w:rsid w:val="00384C1F"/>
    <w:rsid w:val="00384C4C"/>
    <w:rsid w:val="00385010"/>
    <w:rsid w:val="00385A70"/>
    <w:rsid w:val="00385E92"/>
    <w:rsid w:val="00386CE1"/>
    <w:rsid w:val="003871A8"/>
    <w:rsid w:val="0038744D"/>
    <w:rsid w:val="00387518"/>
    <w:rsid w:val="003876B6"/>
    <w:rsid w:val="00387C4C"/>
    <w:rsid w:val="0038CD21"/>
    <w:rsid w:val="003903FB"/>
    <w:rsid w:val="00390ACC"/>
    <w:rsid w:val="00390CF2"/>
    <w:rsid w:val="003917BF"/>
    <w:rsid w:val="00391829"/>
    <w:rsid w:val="00391873"/>
    <w:rsid w:val="00391AC4"/>
    <w:rsid w:val="00391CA2"/>
    <w:rsid w:val="00392270"/>
    <w:rsid w:val="003922EB"/>
    <w:rsid w:val="00393130"/>
    <w:rsid w:val="003935F1"/>
    <w:rsid w:val="00393625"/>
    <w:rsid w:val="00393815"/>
    <w:rsid w:val="00393B43"/>
    <w:rsid w:val="00393F54"/>
    <w:rsid w:val="0039409D"/>
    <w:rsid w:val="003940A8"/>
    <w:rsid w:val="003945DA"/>
    <w:rsid w:val="0039491F"/>
    <w:rsid w:val="00395076"/>
    <w:rsid w:val="003957BC"/>
    <w:rsid w:val="00395D7F"/>
    <w:rsid w:val="003963FF"/>
    <w:rsid w:val="00396603"/>
    <w:rsid w:val="0039696D"/>
    <w:rsid w:val="00396B24"/>
    <w:rsid w:val="00396FEA"/>
    <w:rsid w:val="00397A77"/>
    <w:rsid w:val="00397F0D"/>
    <w:rsid w:val="00397F3B"/>
    <w:rsid w:val="003A02F1"/>
    <w:rsid w:val="003A0464"/>
    <w:rsid w:val="003A0C18"/>
    <w:rsid w:val="003A1430"/>
    <w:rsid w:val="003A143C"/>
    <w:rsid w:val="003A17B2"/>
    <w:rsid w:val="003A194F"/>
    <w:rsid w:val="003A1A6C"/>
    <w:rsid w:val="003A1E67"/>
    <w:rsid w:val="003A1F02"/>
    <w:rsid w:val="003A21C8"/>
    <w:rsid w:val="003A2521"/>
    <w:rsid w:val="003A2DA8"/>
    <w:rsid w:val="003A2EA7"/>
    <w:rsid w:val="003A3669"/>
    <w:rsid w:val="003A466A"/>
    <w:rsid w:val="003A4E47"/>
    <w:rsid w:val="003A51A8"/>
    <w:rsid w:val="003A528E"/>
    <w:rsid w:val="003A55B9"/>
    <w:rsid w:val="003A5A5B"/>
    <w:rsid w:val="003A6681"/>
    <w:rsid w:val="003A6E4D"/>
    <w:rsid w:val="003A7138"/>
    <w:rsid w:val="003A7170"/>
    <w:rsid w:val="003A7C04"/>
    <w:rsid w:val="003A7F15"/>
    <w:rsid w:val="003B0982"/>
    <w:rsid w:val="003B0B80"/>
    <w:rsid w:val="003B122C"/>
    <w:rsid w:val="003B178A"/>
    <w:rsid w:val="003B1B0F"/>
    <w:rsid w:val="003B1F55"/>
    <w:rsid w:val="003B2058"/>
    <w:rsid w:val="003B23C9"/>
    <w:rsid w:val="003B24D2"/>
    <w:rsid w:val="003B25D8"/>
    <w:rsid w:val="003B4B25"/>
    <w:rsid w:val="003B4D62"/>
    <w:rsid w:val="003B5500"/>
    <w:rsid w:val="003B5723"/>
    <w:rsid w:val="003B5A04"/>
    <w:rsid w:val="003B5A33"/>
    <w:rsid w:val="003B5A64"/>
    <w:rsid w:val="003B5D10"/>
    <w:rsid w:val="003B5EB5"/>
    <w:rsid w:val="003B6854"/>
    <w:rsid w:val="003B714B"/>
    <w:rsid w:val="003C00A7"/>
    <w:rsid w:val="003C0138"/>
    <w:rsid w:val="003C138D"/>
    <w:rsid w:val="003C1495"/>
    <w:rsid w:val="003C1A7E"/>
    <w:rsid w:val="003C1BEB"/>
    <w:rsid w:val="003C1D13"/>
    <w:rsid w:val="003C2669"/>
    <w:rsid w:val="003C2F3C"/>
    <w:rsid w:val="003C31B9"/>
    <w:rsid w:val="003C3BB4"/>
    <w:rsid w:val="003C3C6F"/>
    <w:rsid w:val="003C40BF"/>
    <w:rsid w:val="003C43F7"/>
    <w:rsid w:val="003C48DF"/>
    <w:rsid w:val="003C4BAD"/>
    <w:rsid w:val="003C4CF4"/>
    <w:rsid w:val="003C4F66"/>
    <w:rsid w:val="003C5253"/>
    <w:rsid w:val="003C5893"/>
    <w:rsid w:val="003C5910"/>
    <w:rsid w:val="003C5D2E"/>
    <w:rsid w:val="003C621B"/>
    <w:rsid w:val="003C6435"/>
    <w:rsid w:val="003C6CA2"/>
    <w:rsid w:val="003C6F44"/>
    <w:rsid w:val="003D058C"/>
    <w:rsid w:val="003D06B3"/>
    <w:rsid w:val="003D0F18"/>
    <w:rsid w:val="003D1967"/>
    <w:rsid w:val="003D1C27"/>
    <w:rsid w:val="003D1D73"/>
    <w:rsid w:val="003D2182"/>
    <w:rsid w:val="003D2567"/>
    <w:rsid w:val="003D2686"/>
    <w:rsid w:val="003D28B7"/>
    <w:rsid w:val="003D2924"/>
    <w:rsid w:val="003D2B47"/>
    <w:rsid w:val="003D2E50"/>
    <w:rsid w:val="003D2EFA"/>
    <w:rsid w:val="003D3700"/>
    <w:rsid w:val="003D401E"/>
    <w:rsid w:val="003D4077"/>
    <w:rsid w:val="003D5B06"/>
    <w:rsid w:val="003D62AC"/>
    <w:rsid w:val="003D6DFA"/>
    <w:rsid w:val="003D7517"/>
    <w:rsid w:val="003E019E"/>
    <w:rsid w:val="003E0396"/>
    <w:rsid w:val="003E0AD1"/>
    <w:rsid w:val="003E1BFD"/>
    <w:rsid w:val="003E2A6A"/>
    <w:rsid w:val="003E2CE6"/>
    <w:rsid w:val="003E2E02"/>
    <w:rsid w:val="003E2F78"/>
    <w:rsid w:val="003E33CE"/>
    <w:rsid w:val="003E3DB7"/>
    <w:rsid w:val="003E44E3"/>
    <w:rsid w:val="003E4652"/>
    <w:rsid w:val="003E4720"/>
    <w:rsid w:val="003E4A5A"/>
    <w:rsid w:val="003E56F5"/>
    <w:rsid w:val="003E5A02"/>
    <w:rsid w:val="003E6944"/>
    <w:rsid w:val="003E6C6B"/>
    <w:rsid w:val="003E6C74"/>
    <w:rsid w:val="003E6DDA"/>
    <w:rsid w:val="003E7C1C"/>
    <w:rsid w:val="003E7DAA"/>
    <w:rsid w:val="003F01B5"/>
    <w:rsid w:val="003F04EF"/>
    <w:rsid w:val="003F06EF"/>
    <w:rsid w:val="003F0BA1"/>
    <w:rsid w:val="003F0F87"/>
    <w:rsid w:val="003F133C"/>
    <w:rsid w:val="003F1829"/>
    <w:rsid w:val="003F19D0"/>
    <w:rsid w:val="003F1ED2"/>
    <w:rsid w:val="003F1F34"/>
    <w:rsid w:val="003F31C6"/>
    <w:rsid w:val="003F324F"/>
    <w:rsid w:val="003F3337"/>
    <w:rsid w:val="003F382F"/>
    <w:rsid w:val="003F39D3"/>
    <w:rsid w:val="003F3EB1"/>
    <w:rsid w:val="003F412E"/>
    <w:rsid w:val="003F416A"/>
    <w:rsid w:val="003F530A"/>
    <w:rsid w:val="003F5938"/>
    <w:rsid w:val="003F5DC2"/>
    <w:rsid w:val="003F6112"/>
    <w:rsid w:val="003F616F"/>
    <w:rsid w:val="003F6EAE"/>
    <w:rsid w:val="003F6ED3"/>
    <w:rsid w:val="003F6EF5"/>
    <w:rsid w:val="003F6FDA"/>
    <w:rsid w:val="003F73D4"/>
    <w:rsid w:val="003F7878"/>
    <w:rsid w:val="003F78DB"/>
    <w:rsid w:val="003F78F6"/>
    <w:rsid w:val="00400122"/>
    <w:rsid w:val="00400708"/>
    <w:rsid w:val="0040101F"/>
    <w:rsid w:val="004011A2"/>
    <w:rsid w:val="00401966"/>
    <w:rsid w:val="00402112"/>
    <w:rsid w:val="0040272B"/>
    <w:rsid w:val="004028F6"/>
    <w:rsid w:val="0040344B"/>
    <w:rsid w:val="0040377C"/>
    <w:rsid w:val="00403DFC"/>
    <w:rsid w:val="00403FC5"/>
    <w:rsid w:val="00404065"/>
    <w:rsid w:val="0040406B"/>
    <w:rsid w:val="004052FA"/>
    <w:rsid w:val="0040569A"/>
    <w:rsid w:val="00405766"/>
    <w:rsid w:val="00405A7B"/>
    <w:rsid w:val="00405C83"/>
    <w:rsid w:val="00405E9B"/>
    <w:rsid w:val="00406C9B"/>
    <w:rsid w:val="0040701E"/>
    <w:rsid w:val="004070FF"/>
    <w:rsid w:val="0040736C"/>
    <w:rsid w:val="00407833"/>
    <w:rsid w:val="00407993"/>
    <w:rsid w:val="00407E5D"/>
    <w:rsid w:val="00407F03"/>
    <w:rsid w:val="00407F1C"/>
    <w:rsid w:val="0041061F"/>
    <w:rsid w:val="00410A3B"/>
    <w:rsid w:val="00410F5D"/>
    <w:rsid w:val="00411003"/>
    <w:rsid w:val="00411033"/>
    <w:rsid w:val="00412120"/>
    <w:rsid w:val="00412600"/>
    <w:rsid w:val="004127C7"/>
    <w:rsid w:val="00412950"/>
    <w:rsid w:val="00412E26"/>
    <w:rsid w:val="00413602"/>
    <w:rsid w:val="00414E7C"/>
    <w:rsid w:val="00415924"/>
    <w:rsid w:val="00415C21"/>
    <w:rsid w:val="00415C87"/>
    <w:rsid w:val="00415F4B"/>
    <w:rsid w:val="00415FC3"/>
    <w:rsid w:val="0041701E"/>
    <w:rsid w:val="00417055"/>
    <w:rsid w:val="004171F2"/>
    <w:rsid w:val="004176BE"/>
    <w:rsid w:val="00420198"/>
    <w:rsid w:val="0042050A"/>
    <w:rsid w:val="00421166"/>
    <w:rsid w:val="00421B4A"/>
    <w:rsid w:val="00421E12"/>
    <w:rsid w:val="00421EF7"/>
    <w:rsid w:val="00422181"/>
    <w:rsid w:val="004221C1"/>
    <w:rsid w:val="004226D4"/>
    <w:rsid w:val="00422AA4"/>
    <w:rsid w:val="00422CA5"/>
    <w:rsid w:val="00422DEA"/>
    <w:rsid w:val="00423005"/>
    <w:rsid w:val="00424014"/>
    <w:rsid w:val="004249C1"/>
    <w:rsid w:val="0042571C"/>
    <w:rsid w:val="00425A43"/>
    <w:rsid w:val="00425E18"/>
    <w:rsid w:val="00425F2F"/>
    <w:rsid w:val="00426447"/>
    <w:rsid w:val="004266D4"/>
    <w:rsid w:val="00426942"/>
    <w:rsid w:val="00426AB0"/>
    <w:rsid w:val="00426B5E"/>
    <w:rsid w:val="00427197"/>
    <w:rsid w:val="00427714"/>
    <w:rsid w:val="00427BE2"/>
    <w:rsid w:val="00427BFA"/>
    <w:rsid w:val="004301F8"/>
    <w:rsid w:val="00430685"/>
    <w:rsid w:val="004306A2"/>
    <w:rsid w:val="0043158C"/>
    <w:rsid w:val="00431657"/>
    <w:rsid w:val="004319CC"/>
    <w:rsid w:val="00431C36"/>
    <w:rsid w:val="00431DDC"/>
    <w:rsid w:val="0043258C"/>
    <w:rsid w:val="004334BB"/>
    <w:rsid w:val="00433724"/>
    <w:rsid w:val="00433C25"/>
    <w:rsid w:val="004342ED"/>
    <w:rsid w:val="00434382"/>
    <w:rsid w:val="00434544"/>
    <w:rsid w:val="00434A71"/>
    <w:rsid w:val="00435845"/>
    <w:rsid w:val="00436494"/>
    <w:rsid w:val="00436B6A"/>
    <w:rsid w:val="00436CCC"/>
    <w:rsid w:val="00436F3E"/>
    <w:rsid w:val="004371D2"/>
    <w:rsid w:val="0043747D"/>
    <w:rsid w:val="004374BB"/>
    <w:rsid w:val="00437564"/>
    <w:rsid w:val="00437BBD"/>
    <w:rsid w:val="004407E9"/>
    <w:rsid w:val="00440815"/>
    <w:rsid w:val="004411D6"/>
    <w:rsid w:val="00442071"/>
    <w:rsid w:val="00442596"/>
    <w:rsid w:val="00442A2E"/>
    <w:rsid w:val="00442B8F"/>
    <w:rsid w:val="00442F34"/>
    <w:rsid w:val="004431DC"/>
    <w:rsid w:val="00443DF8"/>
    <w:rsid w:val="00444002"/>
    <w:rsid w:val="0044474D"/>
    <w:rsid w:val="00445999"/>
    <w:rsid w:val="00447549"/>
    <w:rsid w:val="00447EA6"/>
    <w:rsid w:val="004503EC"/>
    <w:rsid w:val="004503FE"/>
    <w:rsid w:val="00451110"/>
    <w:rsid w:val="00451FDD"/>
    <w:rsid w:val="004524FF"/>
    <w:rsid w:val="00452514"/>
    <w:rsid w:val="00452AC5"/>
    <w:rsid w:val="00452B2E"/>
    <w:rsid w:val="00452FEB"/>
    <w:rsid w:val="004535D7"/>
    <w:rsid w:val="004538F6"/>
    <w:rsid w:val="004539C6"/>
    <w:rsid w:val="00453BD2"/>
    <w:rsid w:val="00454B98"/>
    <w:rsid w:val="00454C9D"/>
    <w:rsid w:val="00455BC4"/>
    <w:rsid w:val="00455D31"/>
    <w:rsid w:val="00455D38"/>
    <w:rsid w:val="00455D7F"/>
    <w:rsid w:val="00455DCA"/>
    <w:rsid w:val="00456486"/>
    <w:rsid w:val="00457BD4"/>
    <w:rsid w:val="00457F61"/>
    <w:rsid w:val="004602EF"/>
    <w:rsid w:val="0046081E"/>
    <w:rsid w:val="00460ABD"/>
    <w:rsid w:val="004612E8"/>
    <w:rsid w:val="00461C6A"/>
    <w:rsid w:val="00462C45"/>
    <w:rsid w:val="0046306E"/>
    <w:rsid w:val="0046541D"/>
    <w:rsid w:val="00465736"/>
    <w:rsid w:val="00465FC2"/>
    <w:rsid w:val="00466E5A"/>
    <w:rsid w:val="004670BC"/>
    <w:rsid w:val="004673A7"/>
    <w:rsid w:val="00467C17"/>
    <w:rsid w:val="0047094C"/>
    <w:rsid w:val="0047196D"/>
    <w:rsid w:val="00471CEB"/>
    <w:rsid w:val="00472724"/>
    <w:rsid w:val="00472CDD"/>
    <w:rsid w:val="00472DEC"/>
    <w:rsid w:val="00472EE9"/>
    <w:rsid w:val="0047334B"/>
    <w:rsid w:val="004736EF"/>
    <w:rsid w:val="00473817"/>
    <w:rsid w:val="00474DA4"/>
    <w:rsid w:val="00475382"/>
    <w:rsid w:val="0047593B"/>
    <w:rsid w:val="0047597B"/>
    <w:rsid w:val="00475AFA"/>
    <w:rsid w:val="00476132"/>
    <w:rsid w:val="004769AE"/>
    <w:rsid w:val="00476C54"/>
    <w:rsid w:val="004770AE"/>
    <w:rsid w:val="0047796B"/>
    <w:rsid w:val="0047FAE1"/>
    <w:rsid w:val="00480AEF"/>
    <w:rsid w:val="00480B31"/>
    <w:rsid w:val="00480B64"/>
    <w:rsid w:val="00481959"/>
    <w:rsid w:val="00481DF4"/>
    <w:rsid w:val="00482322"/>
    <w:rsid w:val="00482B7D"/>
    <w:rsid w:val="004833F4"/>
    <w:rsid w:val="00483CCA"/>
    <w:rsid w:val="00483D8F"/>
    <w:rsid w:val="00483FF3"/>
    <w:rsid w:val="00484398"/>
    <w:rsid w:val="004843B4"/>
    <w:rsid w:val="00484932"/>
    <w:rsid w:val="00484C90"/>
    <w:rsid w:val="00484DC8"/>
    <w:rsid w:val="00484E03"/>
    <w:rsid w:val="0048516B"/>
    <w:rsid w:val="004852F6"/>
    <w:rsid w:val="0048546B"/>
    <w:rsid w:val="004858D3"/>
    <w:rsid w:val="00486242"/>
    <w:rsid w:val="004866D2"/>
    <w:rsid w:val="004867CA"/>
    <w:rsid w:val="00486DE6"/>
    <w:rsid w:val="00486FA5"/>
    <w:rsid w:val="0048704B"/>
    <w:rsid w:val="00487ECC"/>
    <w:rsid w:val="004900B7"/>
    <w:rsid w:val="004903D1"/>
    <w:rsid w:val="0049046B"/>
    <w:rsid w:val="004907A7"/>
    <w:rsid w:val="00490945"/>
    <w:rsid w:val="00490C88"/>
    <w:rsid w:val="004913CF"/>
    <w:rsid w:val="004919E0"/>
    <w:rsid w:val="004928CB"/>
    <w:rsid w:val="00493202"/>
    <w:rsid w:val="00494898"/>
    <w:rsid w:val="004948C8"/>
    <w:rsid w:val="004951E9"/>
    <w:rsid w:val="004956BB"/>
    <w:rsid w:val="004956D0"/>
    <w:rsid w:val="00495814"/>
    <w:rsid w:val="0049581A"/>
    <w:rsid w:val="00496DFE"/>
    <w:rsid w:val="00497178"/>
    <w:rsid w:val="00497519"/>
    <w:rsid w:val="004A026A"/>
    <w:rsid w:val="004A044F"/>
    <w:rsid w:val="004A0490"/>
    <w:rsid w:val="004A04BC"/>
    <w:rsid w:val="004A0E5D"/>
    <w:rsid w:val="004A0EDC"/>
    <w:rsid w:val="004A14A8"/>
    <w:rsid w:val="004A1795"/>
    <w:rsid w:val="004A2220"/>
    <w:rsid w:val="004A24B0"/>
    <w:rsid w:val="004A2C00"/>
    <w:rsid w:val="004A460F"/>
    <w:rsid w:val="004A4EB6"/>
    <w:rsid w:val="004A5351"/>
    <w:rsid w:val="004A5C50"/>
    <w:rsid w:val="004A5C9C"/>
    <w:rsid w:val="004A5E9A"/>
    <w:rsid w:val="004A6A8F"/>
    <w:rsid w:val="004A6CA7"/>
    <w:rsid w:val="004A7254"/>
    <w:rsid w:val="004A729F"/>
    <w:rsid w:val="004A750C"/>
    <w:rsid w:val="004A779D"/>
    <w:rsid w:val="004A7C2D"/>
    <w:rsid w:val="004B00FD"/>
    <w:rsid w:val="004B01DD"/>
    <w:rsid w:val="004B03D3"/>
    <w:rsid w:val="004B10A9"/>
    <w:rsid w:val="004B1E36"/>
    <w:rsid w:val="004B22D8"/>
    <w:rsid w:val="004B2330"/>
    <w:rsid w:val="004B235B"/>
    <w:rsid w:val="004B260F"/>
    <w:rsid w:val="004B2B27"/>
    <w:rsid w:val="004B2E0E"/>
    <w:rsid w:val="004B2F7B"/>
    <w:rsid w:val="004B34D2"/>
    <w:rsid w:val="004B3793"/>
    <w:rsid w:val="004B3C36"/>
    <w:rsid w:val="004B4267"/>
    <w:rsid w:val="004B43C6"/>
    <w:rsid w:val="004B4C19"/>
    <w:rsid w:val="004B4C60"/>
    <w:rsid w:val="004B4D80"/>
    <w:rsid w:val="004B520B"/>
    <w:rsid w:val="004B52F6"/>
    <w:rsid w:val="004B5463"/>
    <w:rsid w:val="004B6A77"/>
    <w:rsid w:val="004B705A"/>
    <w:rsid w:val="004B709E"/>
    <w:rsid w:val="004B744F"/>
    <w:rsid w:val="004B7D40"/>
    <w:rsid w:val="004B7ED0"/>
    <w:rsid w:val="004C051E"/>
    <w:rsid w:val="004C0C21"/>
    <w:rsid w:val="004C0D61"/>
    <w:rsid w:val="004C15E0"/>
    <w:rsid w:val="004C1822"/>
    <w:rsid w:val="004C192D"/>
    <w:rsid w:val="004C1D54"/>
    <w:rsid w:val="004C1EF4"/>
    <w:rsid w:val="004C250C"/>
    <w:rsid w:val="004C3A30"/>
    <w:rsid w:val="004C3B17"/>
    <w:rsid w:val="004C43F7"/>
    <w:rsid w:val="004C46A4"/>
    <w:rsid w:val="004C4A87"/>
    <w:rsid w:val="004C5C09"/>
    <w:rsid w:val="004C6A0A"/>
    <w:rsid w:val="004C6B3E"/>
    <w:rsid w:val="004C6C9A"/>
    <w:rsid w:val="004C74CC"/>
    <w:rsid w:val="004C7894"/>
    <w:rsid w:val="004C78E4"/>
    <w:rsid w:val="004C7914"/>
    <w:rsid w:val="004C7F14"/>
    <w:rsid w:val="004C7F48"/>
    <w:rsid w:val="004D0300"/>
    <w:rsid w:val="004D0998"/>
    <w:rsid w:val="004D0CA5"/>
    <w:rsid w:val="004D0DC6"/>
    <w:rsid w:val="004D0DE9"/>
    <w:rsid w:val="004D0FA5"/>
    <w:rsid w:val="004D124E"/>
    <w:rsid w:val="004D130E"/>
    <w:rsid w:val="004D15FC"/>
    <w:rsid w:val="004D172A"/>
    <w:rsid w:val="004D2823"/>
    <w:rsid w:val="004D2882"/>
    <w:rsid w:val="004D29C0"/>
    <w:rsid w:val="004D29E4"/>
    <w:rsid w:val="004D3426"/>
    <w:rsid w:val="004D37D3"/>
    <w:rsid w:val="004D3CBD"/>
    <w:rsid w:val="004D3ECD"/>
    <w:rsid w:val="004D427A"/>
    <w:rsid w:val="004D44EB"/>
    <w:rsid w:val="004D4808"/>
    <w:rsid w:val="004D528E"/>
    <w:rsid w:val="004D57BC"/>
    <w:rsid w:val="004D58EA"/>
    <w:rsid w:val="004D5E7A"/>
    <w:rsid w:val="004D6464"/>
    <w:rsid w:val="004D6C69"/>
    <w:rsid w:val="004D72E9"/>
    <w:rsid w:val="004D7914"/>
    <w:rsid w:val="004D79B2"/>
    <w:rsid w:val="004E03B6"/>
    <w:rsid w:val="004E071E"/>
    <w:rsid w:val="004E183C"/>
    <w:rsid w:val="004E19E1"/>
    <w:rsid w:val="004E1A3A"/>
    <w:rsid w:val="004E1A7D"/>
    <w:rsid w:val="004E1AD0"/>
    <w:rsid w:val="004E1AF9"/>
    <w:rsid w:val="004E26B5"/>
    <w:rsid w:val="004E2855"/>
    <w:rsid w:val="004E3029"/>
    <w:rsid w:val="004E3644"/>
    <w:rsid w:val="004E3770"/>
    <w:rsid w:val="004E3BCF"/>
    <w:rsid w:val="004E3D11"/>
    <w:rsid w:val="004E476C"/>
    <w:rsid w:val="004E4C33"/>
    <w:rsid w:val="004E53EF"/>
    <w:rsid w:val="004E5A4F"/>
    <w:rsid w:val="004E5B5D"/>
    <w:rsid w:val="004E6AE3"/>
    <w:rsid w:val="004E6F6D"/>
    <w:rsid w:val="004E6FAD"/>
    <w:rsid w:val="004E7409"/>
    <w:rsid w:val="004F01F3"/>
    <w:rsid w:val="004F0463"/>
    <w:rsid w:val="004F0C56"/>
    <w:rsid w:val="004F12FA"/>
    <w:rsid w:val="004F1C06"/>
    <w:rsid w:val="004F29B0"/>
    <w:rsid w:val="004F31D8"/>
    <w:rsid w:val="004F365F"/>
    <w:rsid w:val="004F39DC"/>
    <w:rsid w:val="004F3A7C"/>
    <w:rsid w:val="004F3E7D"/>
    <w:rsid w:val="004F4173"/>
    <w:rsid w:val="004F42C3"/>
    <w:rsid w:val="004F42DF"/>
    <w:rsid w:val="004F4417"/>
    <w:rsid w:val="004F4473"/>
    <w:rsid w:val="004F523D"/>
    <w:rsid w:val="004F5859"/>
    <w:rsid w:val="004F5AAE"/>
    <w:rsid w:val="004F5CBF"/>
    <w:rsid w:val="004F5E38"/>
    <w:rsid w:val="004F5E9B"/>
    <w:rsid w:val="004F5F78"/>
    <w:rsid w:val="004F646B"/>
    <w:rsid w:val="004F6E25"/>
    <w:rsid w:val="004F702A"/>
    <w:rsid w:val="004F7A55"/>
    <w:rsid w:val="004F7C5D"/>
    <w:rsid w:val="0050010C"/>
    <w:rsid w:val="005003E2"/>
    <w:rsid w:val="00501F0A"/>
    <w:rsid w:val="00502545"/>
    <w:rsid w:val="0050301A"/>
    <w:rsid w:val="00503D25"/>
    <w:rsid w:val="00503D2A"/>
    <w:rsid w:val="00503F72"/>
    <w:rsid w:val="00504673"/>
    <w:rsid w:val="00504B35"/>
    <w:rsid w:val="005051B9"/>
    <w:rsid w:val="005051D9"/>
    <w:rsid w:val="0050567D"/>
    <w:rsid w:val="005063DB"/>
    <w:rsid w:val="005064CA"/>
    <w:rsid w:val="005065BE"/>
    <w:rsid w:val="005067B5"/>
    <w:rsid w:val="00506F4C"/>
    <w:rsid w:val="005070B7"/>
    <w:rsid w:val="005070EC"/>
    <w:rsid w:val="0050762B"/>
    <w:rsid w:val="00507670"/>
    <w:rsid w:val="00507EDB"/>
    <w:rsid w:val="00507F70"/>
    <w:rsid w:val="0051013C"/>
    <w:rsid w:val="005105E0"/>
    <w:rsid w:val="00510878"/>
    <w:rsid w:val="00510B8B"/>
    <w:rsid w:val="00510C79"/>
    <w:rsid w:val="00510C86"/>
    <w:rsid w:val="0051110D"/>
    <w:rsid w:val="005117E2"/>
    <w:rsid w:val="0051229D"/>
    <w:rsid w:val="005122CD"/>
    <w:rsid w:val="00512313"/>
    <w:rsid w:val="005123A6"/>
    <w:rsid w:val="0051244E"/>
    <w:rsid w:val="00512C3D"/>
    <w:rsid w:val="0051463A"/>
    <w:rsid w:val="005146EF"/>
    <w:rsid w:val="00515867"/>
    <w:rsid w:val="005163CB"/>
    <w:rsid w:val="00516D49"/>
    <w:rsid w:val="00516ECA"/>
    <w:rsid w:val="0051702B"/>
    <w:rsid w:val="0051785F"/>
    <w:rsid w:val="00517A44"/>
    <w:rsid w:val="00517FC9"/>
    <w:rsid w:val="00520A32"/>
    <w:rsid w:val="00520A84"/>
    <w:rsid w:val="00522BD6"/>
    <w:rsid w:val="005234D3"/>
    <w:rsid w:val="00523578"/>
    <w:rsid w:val="00523AEE"/>
    <w:rsid w:val="0052438A"/>
    <w:rsid w:val="00524586"/>
    <w:rsid w:val="0052473D"/>
    <w:rsid w:val="00524FC2"/>
    <w:rsid w:val="005273CD"/>
    <w:rsid w:val="00527813"/>
    <w:rsid w:val="00527A6D"/>
    <w:rsid w:val="00527DD8"/>
    <w:rsid w:val="00530251"/>
    <w:rsid w:val="0053026F"/>
    <w:rsid w:val="00530898"/>
    <w:rsid w:val="00530F52"/>
    <w:rsid w:val="0053110E"/>
    <w:rsid w:val="005311C7"/>
    <w:rsid w:val="005316C2"/>
    <w:rsid w:val="00531959"/>
    <w:rsid w:val="00531DF7"/>
    <w:rsid w:val="005322E0"/>
    <w:rsid w:val="00532991"/>
    <w:rsid w:val="00532EA9"/>
    <w:rsid w:val="005332EA"/>
    <w:rsid w:val="005347CC"/>
    <w:rsid w:val="00534844"/>
    <w:rsid w:val="00534F5B"/>
    <w:rsid w:val="00535754"/>
    <w:rsid w:val="00535C01"/>
    <w:rsid w:val="00535ED9"/>
    <w:rsid w:val="00535F1D"/>
    <w:rsid w:val="005360D5"/>
    <w:rsid w:val="00536A73"/>
    <w:rsid w:val="00536A82"/>
    <w:rsid w:val="00536D17"/>
    <w:rsid w:val="00536F6A"/>
    <w:rsid w:val="00540337"/>
    <w:rsid w:val="005405C7"/>
    <w:rsid w:val="0054093F"/>
    <w:rsid w:val="0054126A"/>
    <w:rsid w:val="005415BD"/>
    <w:rsid w:val="00542441"/>
    <w:rsid w:val="00542C71"/>
    <w:rsid w:val="00543092"/>
    <w:rsid w:val="0054314C"/>
    <w:rsid w:val="0054336A"/>
    <w:rsid w:val="005433D9"/>
    <w:rsid w:val="00543CFC"/>
    <w:rsid w:val="0054460E"/>
    <w:rsid w:val="00544618"/>
    <w:rsid w:val="00544944"/>
    <w:rsid w:val="00544A6F"/>
    <w:rsid w:val="0054519A"/>
    <w:rsid w:val="00545710"/>
    <w:rsid w:val="005457CF"/>
    <w:rsid w:val="0054599F"/>
    <w:rsid w:val="00545A00"/>
    <w:rsid w:val="00545DBF"/>
    <w:rsid w:val="005463B0"/>
    <w:rsid w:val="00546627"/>
    <w:rsid w:val="0054683B"/>
    <w:rsid w:val="00546DF6"/>
    <w:rsid w:val="005472B5"/>
    <w:rsid w:val="00547609"/>
    <w:rsid w:val="00548842"/>
    <w:rsid w:val="00550764"/>
    <w:rsid w:val="00550941"/>
    <w:rsid w:val="00551872"/>
    <w:rsid w:val="00551B5F"/>
    <w:rsid w:val="00551FB9"/>
    <w:rsid w:val="00552360"/>
    <w:rsid w:val="00552487"/>
    <w:rsid w:val="005527EC"/>
    <w:rsid w:val="0055288E"/>
    <w:rsid w:val="0055297D"/>
    <w:rsid w:val="00553111"/>
    <w:rsid w:val="00553BA6"/>
    <w:rsid w:val="00553EC3"/>
    <w:rsid w:val="00553F6D"/>
    <w:rsid w:val="005543CD"/>
    <w:rsid w:val="00554686"/>
    <w:rsid w:val="00554750"/>
    <w:rsid w:val="005549C6"/>
    <w:rsid w:val="00555326"/>
    <w:rsid w:val="005554CA"/>
    <w:rsid w:val="00555834"/>
    <w:rsid w:val="00555F33"/>
    <w:rsid w:val="00556893"/>
    <w:rsid w:val="00556EC6"/>
    <w:rsid w:val="00556FEF"/>
    <w:rsid w:val="005572A1"/>
    <w:rsid w:val="005577D0"/>
    <w:rsid w:val="00557A2B"/>
    <w:rsid w:val="00557B98"/>
    <w:rsid w:val="00560A12"/>
    <w:rsid w:val="00561070"/>
    <w:rsid w:val="00561329"/>
    <w:rsid w:val="00561565"/>
    <w:rsid w:val="00561FBE"/>
    <w:rsid w:val="00562037"/>
    <w:rsid w:val="005620E7"/>
    <w:rsid w:val="005622AE"/>
    <w:rsid w:val="005629B5"/>
    <w:rsid w:val="00562D59"/>
    <w:rsid w:val="00562D99"/>
    <w:rsid w:val="0056339E"/>
    <w:rsid w:val="00563918"/>
    <w:rsid w:val="00564169"/>
    <w:rsid w:val="005641C0"/>
    <w:rsid w:val="00564844"/>
    <w:rsid w:val="005649BF"/>
    <w:rsid w:val="00564D60"/>
    <w:rsid w:val="00564ED2"/>
    <w:rsid w:val="00565815"/>
    <w:rsid w:val="00565D9C"/>
    <w:rsid w:val="00565E01"/>
    <w:rsid w:val="0056619A"/>
    <w:rsid w:val="005668D6"/>
    <w:rsid w:val="005668F5"/>
    <w:rsid w:val="00566BB7"/>
    <w:rsid w:val="00566FDB"/>
    <w:rsid w:val="00566FE0"/>
    <w:rsid w:val="00567BAE"/>
    <w:rsid w:val="00567CAD"/>
    <w:rsid w:val="0057023C"/>
    <w:rsid w:val="005702BD"/>
    <w:rsid w:val="00570983"/>
    <w:rsid w:val="0057103F"/>
    <w:rsid w:val="00571052"/>
    <w:rsid w:val="00571609"/>
    <w:rsid w:val="00571656"/>
    <w:rsid w:val="00571773"/>
    <w:rsid w:val="005723C7"/>
    <w:rsid w:val="005728A0"/>
    <w:rsid w:val="00572E0E"/>
    <w:rsid w:val="005734B7"/>
    <w:rsid w:val="00573E48"/>
    <w:rsid w:val="005741A2"/>
    <w:rsid w:val="005747E3"/>
    <w:rsid w:val="00575062"/>
    <w:rsid w:val="00575395"/>
    <w:rsid w:val="00575468"/>
    <w:rsid w:val="00575718"/>
    <w:rsid w:val="005758BD"/>
    <w:rsid w:val="00576491"/>
    <w:rsid w:val="005774AF"/>
    <w:rsid w:val="00578EE7"/>
    <w:rsid w:val="005800FD"/>
    <w:rsid w:val="005812B1"/>
    <w:rsid w:val="0058161B"/>
    <w:rsid w:val="00581E37"/>
    <w:rsid w:val="00582060"/>
    <w:rsid w:val="005824DC"/>
    <w:rsid w:val="00582BFB"/>
    <w:rsid w:val="00582D2A"/>
    <w:rsid w:val="00582E58"/>
    <w:rsid w:val="0058332A"/>
    <w:rsid w:val="00583518"/>
    <w:rsid w:val="00583BF5"/>
    <w:rsid w:val="0058408F"/>
    <w:rsid w:val="0058439E"/>
    <w:rsid w:val="00584521"/>
    <w:rsid w:val="00584EFD"/>
    <w:rsid w:val="00585E0B"/>
    <w:rsid w:val="00586219"/>
    <w:rsid w:val="00586952"/>
    <w:rsid w:val="00586C6A"/>
    <w:rsid w:val="00587BC9"/>
    <w:rsid w:val="0059016E"/>
    <w:rsid w:val="005902E3"/>
    <w:rsid w:val="005904D8"/>
    <w:rsid w:val="005905C4"/>
    <w:rsid w:val="00590E4F"/>
    <w:rsid w:val="00590FF3"/>
    <w:rsid w:val="0059284B"/>
    <w:rsid w:val="0059288A"/>
    <w:rsid w:val="00593533"/>
    <w:rsid w:val="00593B3E"/>
    <w:rsid w:val="00593E2F"/>
    <w:rsid w:val="00594209"/>
    <w:rsid w:val="00594986"/>
    <w:rsid w:val="00595B71"/>
    <w:rsid w:val="005971B7"/>
    <w:rsid w:val="00597506"/>
    <w:rsid w:val="005975D2"/>
    <w:rsid w:val="00597A98"/>
    <w:rsid w:val="00597FF9"/>
    <w:rsid w:val="005A069F"/>
    <w:rsid w:val="005A0A84"/>
    <w:rsid w:val="005A0C0A"/>
    <w:rsid w:val="005A0D24"/>
    <w:rsid w:val="005A103A"/>
    <w:rsid w:val="005A18E8"/>
    <w:rsid w:val="005A1BE3"/>
    <w:rsid w:val="005A1D37"/>
    <w:rsid w:val="005A1D38"/>
    <w:rsid w:val="005A20CF"/>
    <w:rsid w:val="005A22DA"/>
    <w:rsid w:val="005A23DC"/>
    <w:rsid w:val="005A2884"/>
    <w:rsid w:val="005A2CB6"/>
    <w:rsid w:val="005A31F4"/>
    <w:rsid w:val="005A348F"/>
    <w:rsid w:val="005A355D"/>
    <w:rsid w:val="005A3865"/>
    <w:rsid w:val="005A38B9"/>
    <w:rsid w:val="005A4A3B"/>
    <w:rsid w:val="005A4B11"/>
    <w:rsid w:val="005A4DB2"/>
    <w:rsid w:val="005A5840"/>
    <w:rsid w:val="005A5FCC"/>
    <w:rsid w:val="005A616B"/>
    <w:rsid w:val="005A7CD7"/>
    <w:rsid w:val="005B00C4"/>
    <w:rsid w:val="005B1F8C"/>
    <w:rsid w:val="005B27E3"/>
    <w:rsid w:val="005B31DE"/>
    <w:rsid w:val="005B3B9C"/>
    <w:rsid w:val="005B3F18"/>
    <w:rsid w:val="005B44EC"/>
    <w:rsid w:val="005B4D16"/>
    <w:rsid w:val="005B5F49"/>
    <w:rsid w:val="005B6102"/>
    <w:rsid w:val="005B6862"/>
    <w:rsid w:val="005B6A44"/>
    <w:rsid w:val="005B72F2"/>
    <w:rsid w:val="005B7BED"/>
    <w:rsid w:val="005C06BE"/>
    <w:rsid w:val="005C1039"/>
    <w:rsid w:val="005C1381"/>
    <w:rsid w:val="005C15EC"/>
    <w:rsid w:val="005C173A"/>
    <w:rsid w:val="005C188A"/>
    <w:rsid w:val="005C2542"/>
    <w:rsid w:val="005C28F7"/>
    <w:rsid w:val="005C2DB6"/>
    <w:rsid w:val="005C2E19"/>
    <w:rsid w:val="005C33D6"/>
    <w:rsid w:val="005C34F8"/>
    <w:rsid w:val="005C3816"/>
    <w:rsid w:val="005C3832"/>
    <w:rsid w:val="005C3A28"/>
    <w:rsid w:val="005C4526"/>
    <w:rsid w:val="005C4B2C"/>
    <w:rsid w:val="005C5531"/>
    <w:rsid w:val="005C5786"/>
    <w:rsid w:val="005C5E4E"/>
    <w:rsid w:val="005C6173"/>
    <w:rsid w:val="005C67AE"/>
    <w:rsid w:val="005C69D3"/>
    <w:rsid w:val="005C6A12"/>
    <w:rsid w:val="005C7910"/>
    <w:rsid w:val="005D07EE"/>
    <w:rsid w:val="005D0AFC"/>
    <w:rsid w:val="005D12C3"/>
    <w:rsid w:val="005D21BB"/>
    <w:rsid w:val="005D22BB"/>
    <w:rsid w:val="005D25CD"/>
    <w:rsid w:val="005D2A52"/>
    <w:rsid w:val="005D2D50"/>
    <w:rsid w:val="005D307E"/>
    <w:rsid w:val="005D368A"/>
    <w:rsid w:val="005D37F4"/>
    <w:rsid w:val="005D4A6B"/>
    <w:rsid w:val="005D4FBC"/>
    <w:rsid w:val="005D50D2"/>
    <w:rsid w:val="005D554E"/>
    <w:rsid w:val="005D5674"/>
    <w:rsid w:val="005D5C89"/>
    <w:rsid w:val="005D5DD7"/>
    <w:rsid w:val="005D5FB5"/>
    <w:rsid w:val="005D6214"/>
    <w:rsid w:val="005D6408"/>
    <w:rsid w:val="005D64E3"/>
    <w:rsid w:val="005D6F26"/>
    <w:rsid w:val="005D76C6"/>
    <w:rsid w:val="005E007C"/>
    <w:rsid w:val="005E10FF"/>
    <w:rsid w:val="005E13A4"/>
    <w:rsid w:val="005E1975"/>
    <w:rsid w:val="005E22FF"/>
    <w:rsid w:val="005E239D"/>
    <w:rsid w:val="005E2A86"/>
    <w:rsid w:val="005E2ADC"/>
    <w:rsid w:val="005E2C0F"/>
    <w:rsid w:val="005E2C57"/>
    <w:rsid w:val="005E373E"/>
    <w:rsid w:val="005E3EC4"/>
    <w:rsid w:val="005E42BB"/>
    <w:rsid w:val="005E4F34"/>
    <w:rsid w:val="005E502A"/>
    <w:rsid w:val="005E5EB5"/>
    <w:rsid w:val="005E65E6"/>
    <w:rsid w:val="005E71BF"/>
    <w:rsid w:val="005F0403"/>
    <w:rsid w:val="005F1512"/>
    <w:rsid w:val="005F17C3"/>
    <w:rsid w:val="005F1D6F"/>
    <w:rsid w:val="005F1E61"/>
    <w:rsid w:val="005F2641"/>
    <w:rsid w:val="005F2B4C"/>
    <w:rsid w:val="005F2E83"/>
    <w:rsid w:val="005F3124"/>
    <w:rsid w:val="005F31A8"/>
    <w:rsid w:val="005F333D"/>
    <w:rsid w:val="005F36D4"/>
    <w:rsid w:val="005F374E"/>
    <w:rsid w:val="005F3E3F"/>
    <w:rsid w:val="005F404F"/>
    <w:rsid w:val="005F4909"/>
    <w:rsid w:val="005F5806"/>
    <w:rsid w:val="005F5E40"/>
    <w:rsid w:val="005F66A5"/>
    <w:rsid w:val="005F7510"/>
    <w:rsid w:val="005F7D82"/>
    <w:rsid w:val="00600FB8"/>
    <w:rsid w:val="006011D6"/>
    <w:rsid w:val="0060135C"/>
    <w:rsid w:val="00601373"/>
    <w:rsid w:val="0060140A"/>
    <w:rsid w:val="00601617"/>
    <w:rsid w:val="0060285E"/>
    <w:rsid w:val="00602DE6"/>
    <w:rsid w:val="006030DC"/>
    <w:rsid w:val="006031D0"/>
    <w:rsid w:val="006036A1"/>
    <w:rsid w:val="006038B8"/>
    <w:rsid w:val="006038CA"/>
    <w:rsid w:val="0060409B"/>
    <w:rsid w:val="00604308"/>
    <w:rsid w:val="006051CF"/>
    <w:rsid w:val="00605313"/>
    <w:rsid w:val="0060589C"/>
    <w:rsid w:val="0060721D"/>
    <w:rsid w:val="00611DB8"/>
    <w:rsid w:val="00611EBD"/>
    <w:rsid w:val="006121BB"/>
    <w:rsid w:val="0061250D"/>
    <w:rsid w:val="0061463E"/>
    <w:rsid w:val="006146C4"/>
    <w:rsid w:val="0061478D"/>
    <w:rsid w:val="00615003"/>
    <w:rsid w:val="006152A9"/>
    <w:rsid w:val="00615678"/>
    <w:rsid w:val="00615774"/>
    <w:rsid w:val="00615A3D"/>
    <w:rsid w:val="00615D72"/>
    <w:rsid w:val="00615E17"/>
    <w:rsid w:val="006165A0"/>
    <w:rsid w:val="00616F34"/>
    <w:rsid w:val="006171E0"/>
    <w:rsid w:val="00617251"/>
    <w:rsid w:val="00617649"/>
    <w:rsid w:val="00617A05"/>
    <w:rsid w:val="00617D3C"/>
    <w:rsid w:val="00620019"/>
    <w:rsid w:val="006206F9"/>
    <w:rsid w:val="006218F8"/>
    <w:rsid w:val="00621A12"/>
    <w:rsid w:val="00622296"/>
    <w:rsid w:val="0062230E"/>
    <w:rsid w:val="006227C3"/>
    <w:rsid w:val="00622AC0"/>
    <w:rsid w:val="00622EE9"/>
    <w:rsid w:val="00623304"/>
    <w:rsid w:val="00623E70"/>
    <w:rsid w:val="00624D3E"/>
    <w:rsid w:val="00624D76"/>
    <w:rsid w:val="00624EB3"/>
    <w:rsid w:val="00624EDD"/>
    <w:rsid w:val="00625443"/>
    <w:rsid w:val="00626077"/>
    <w:rsid w:val="006263E9"/>
    <w:rsid w:val="00630441"/>
    <w:rsid w:val="00630AA1"/>
    <w:rsid w:val="00631871"/>
    <w:rsid w:val="00631BD1"/>
    <w:rsid w:val="00631DF7"/>
    <w:rsid w:val="006320A4"/>
    <w:rsid w:val="006322C5"/>
    <w:rsid w:val="006322DF"/>
    <w:rsid w:val="0063248C"/>
    <w:rsid w:val="00632554"/>
    <w:rsid w:val="0063299C"/>
    <w:rsid w:val="00632BC7"/>
    <w:rsid w:val="00632D68"/>
    <w:rsid w:val="00632F21"/>
    <w:rsid w:val="00633992"/>
    <w:rsid w:val="00633C50"/>
    <w:rsid w:val="0063432A"/>
    <w:rsid w:val="00634E17"/>
    <w:rsid w:val="00634E9D"/>
    <w:rsid w:val="006350FF"/>
    <w:rsid w:val="00635FC7"/>
    <w:rsid w:val="0063603B"/>
    <w:rsid w:val="006368F6"/>
    <w:rsid w:val="00636E25"/>
    <w:rsid w:val="0063789E"/>
    <w:rsid w:val="00637C08"/>
    <w:rsid w:val="00637D12"/>
    <w:rsid w:val="00640154"/>
    <w:rsid w:val="00640804"/>
    <w:rsid w:val="00641A54"/>
    <w:rsid w:val="00641DB9"/>
    <w:rsid w:val="006423CD"/>
    <w:rsid w:val="00642BF3"/>
    <w:rsid w:val="00642F0E"/>
    <w:rsid w:val="00643B10"/>
    <w:rsid w:val="00644313"/>
    <w:rsid w:val="0064437B"/>
    <w:rsid w:val="00644905"/>
    <w:rsid w:val="00644D98"/>
    <w:rsid w:val="0064516E"/>
    <w:rsid w:val="00645272"/>
    <w:rsid w:val="006455D9"/>
    <w:rsid w:val="00645D2F"/>
    <w:rsid w:val="00646249"/>
    <w:rsid w:val="00647ADB"/>
    <w:rsid w:val="0065000C"/>
    <w:rsid w:val="006502FE"/>
    <w:rsid w:val="006503B5"/>
    <w:rsid w:val="00650D0A"/>
    <w:rsid w:val="00651F70"/>
    <w:rsid w:val="00651F81"/>
    <w:rsid w:val="00651F90"/>
    <w:rsid w:val="00652593"/>
    <w:rsid w:val="00652BB8"/>
    <w:rsid w:val="00652D69"/>
    <w:rsid w:val="00652D96"/>
    <w:rsid w:val="00652F3D"/>
    <w:rsid w:val="00653118"/>
    <w:rsid w:val="00653935"/>
    <w:rsid w:val="00653E61"/>
    <w:rsid w:val="00654505"/>
    <w:rsid w:val="00654C77"/>
    <w:rsid w:val="006554E5"/>
    <w:rsid w:val="006555C7"/>
    <w:rsid w:val="0065601D"/>
    <w:rsid w:val="00656540"/>
    <w:rsid w:val="00656A16"/>
    <w:rsid w:val="00656FD0"/>
    <w:rsid w:val="0065704C"/>
    <w:rsid w:val="00660706"/>
    <w:rsid w:val="0066128F"/>
    <w:rsid w:val="00661464"/>
    <w:rsid w:val="006619D1"/>
    <w:rsid w:val="00661F6B"/>
    <w:rsid w:val="006620FF"/>
    <w:rsid w:val="0066240E"/>
    <w:rsid w:val="006627AE"/>
    <w:rsid w:val="006629D0"/>
    <w:rsid w:val="00662C6E"/>
    <w:rsid w:val="00662EF6"/>
    <w:rsid w:val="00663495"/>
    <w:rsid w:val="00663EDA"/>
    <w:rsid w:val="00663F08"/>
    <w:rsid w:val="00664A29"/>
    <w:rsid w:val="00664D7B"/>
    <w:rsid w:val="00665F5F"/>
    <w:rsid w:val="00665F6A"/>
    <w:rsid w:val="00667047"/>
    <w:rsid w:val="00667307"/>
    <w:rsid w:val="0066759F"/>
    <w:rsid w:val="00667984"/>
    <w:rsid w:val="006702BD"/>
    <w:rsid w:val="0067061B"/>
    <w:rsid w:val="00670920"/>
    <w:rsid w:val="00670BED"/>
    <w:rsid w:val="00670F72"/>
    <w:rsid w:val="00671358"/>
    <w:rsid w:val="0067166E"/>
    <w:rsid w:val="0067185D"/>
    <w:rsid w:val="00671904"/>
    <w:rsid w:val="00671B13"/>
    <w:rsid w:val="006720C2"/>
    <w:rsid w:val="00672504"/>
    <w:rsid w:val="00672830"/>
    <w:rsid w:val="00673194"/>
    <w:rsid w:val="00673477"/>
    <w:rsid w:val="006735B6"/>
    <w:rsid w:val="00673707"/>
    <w:rsid w:val="00673882"/>
    <w:rsid w:val="00673B54"/>
    <w:rsid w:val="00674138"/>
    <w:rsid w:val="00675029"/>
    <w:rsid w:val="0067550D"/>
    <w:rsid w:val="006755A7"/>
    <w:rsid w:val="00675818"/>
    <w:rsid w:val="0067606F"/>
    <w:rsid w:val="00676C3B"/>
    <w:rsid w:val="00676FB7"/>
    <w:rsid w:val="006775AC"/>
    <w:rsid w:val="0067763B"/>
    <w:rsid w:val="00680A54"/>
    <w:rsid w:val="00681656"/>
    <w:rsid w:val="00681FEB"/>
    <w:rsid w:val="006820E9"/>
    <w:rsid w:val="00682B91"/>
    <w:rsid w:val="00682C02"/>
    <w:rsid w:val="006831A5"/>
    <w:rsid w:val="00683FB2"/>
    <w:rsid w:val="006841E8"/>
    <w:rsid w:val="00684653"/>
    <w:rsid w:val="006855D8"/>
    <w:rsid w:val="00685C45"/>
    <w:rsid w:val="00686420"/>
    <w:rsid w:val="00686914"/>
    <w:rsid w:val="00687044"/>
    <w:rsid w:val="00687200"/>
    <w:rsid w:val="006875FF"/>
    <w:rsid w:val="00687A78"/>
    <w:rsid w:val="00687C24"/>
    <w:rsid w:val="006903E8"/>
    <w:rsid w:val="00691436"/>
    <w:rsid w:val="00692378"/>
    <w:rsid w:val="006928BC"/>
    <w:rsid w:val="00692B05"/>
    <w:rsid w:val="00693EF7"/>
    <w:rsid w:val="00693F59"/>
    <w:rsid w:val="0069400B"/>
    <w:rsid w:val="0069432D"/>
    <w:rsid w:val="00694E9B"/>
    <w:rsid w:val="006952AC"/>
    <w:rsid w:val="0069542F"/>
    <w:rsid w:val="00695829"/>
    <w:rsid w:val="00695883"/>
    <w:rsid w:val="00696501"/>
    <w:rsid w:val="00696BCD"/>
    <w:rsid w:val="00696E27"/>
    <w:rsid w:val="006971CE"/>
    <w:rsid w:val="0069766D"/>
    <w:rsid w:val="00697A52"/>
    <w:rsid w:val="006A00C6"/>
    <w:rsid w:val="006A073A"/>
    <w:rsid w:val="006A1711"/>
    <w:rsid w:val="006A17C3"/>
    <w:rsid w:val="006A1900"/>
    <w:rsid w:val="006A1BC4"/>
    <w:rsid w:val="006A1D08"/>
    <w:rsid w:val="006A2011"/>
    <w:rsid w:val="006A27F4"/>
    <w:rsid w:val="006A2FC3"/>
    <w:rsid w:val="006A42D3"/>
    <w:rsid w:val="006A478F"/>
    <w:rsid w:val="006A5A12"/>
    <w:rsid w:val="006A5A2F"/>
    <w:rsid w:val="006A6948"/>
    <w:rsid w:val="006A6CEB"/>
    <w:rsid w:val="006A6D19"/>
    <w:rsid w:val="006A6F3A"/>
    <w:rsid w:val="006A7218"/>
    <w:rsid w:val="006A73C3"/>
    <w:rsid w:val="006A76E1"/>
    <w:rsid w:val="006A7FC1"/>
    <w:rsid w:val="006B107F"/>
    <w:rsid w:val="006B10F0"/>
    <w:rsid w:val="006B127E"/>
    <w:rsid w:val="006B17C3"/>
    <w:rsid w:val="006B2368"/>
    <w:rsid w:val="006B23AB"/>
    <w:rsid w:val="006B25F7"/>
    <w:rsid w:val="006B3522"/>
    <w:rsid w:val="006B3820"/>
    <w:rsid w:val="006B3A2C"/>
    <w:rsid w:val="006B3EDB"/>
    <w:rsid w:val="006B4376"/>
    <w:rsid w:val="006B47F1"/>
    <w:rsid w:val="006B503E"/>
    <w:rsid w:val="006B5475"/>
    <w:rsid w:val="006B5ADB"/>
    <w:rsid w:val="006B5B03"/>
    <w:rsid w:val="006B6DB7"/>
    <w:rsid w:val="006B70E1"/>
    <w:rsid w:val="006B746C"/>
    <w:rsid w:val="006B793D"/>
    <w:rsid w:val="006C05E8"/>
    <w:rsid w:val="006C0AF2"/>
    <w:rsid w:val="006C13A6"/>
    <w:rsid w:val="006C16FC"/>
    <w:rsid w:val="006C172D"/>
    <w:rsid w:val="006C1A1F"/>
    <w:rsid w:val="006C1B8F"/>
    <w:rsid w:val="006C1DBF"/>
    <w:rsid w:val="006C3D35"/>
    <w:rsid w:val="006C4069"/>
    <w:rsid w:val="006C432B"/>
    <w:rsid w:val="006C4DDC"/>
    <w:rsid w:val="006C5059"/>
    <w:rsid w:val="006C5AFD"/>
    <w:rsid w:val="006C5CDA"/>
    <w:rsid w:val="006C5CE6"/>
    <w:rsid w:val="006C60F6"/>
    <w:rsid w:val="006C6210"/>
    <w:rsid w:val="006C679B"/>
    <w:rsid w:val="006C6BE9"/>
    <w:rsid w:val="006C6CBD"/>
    <w:rsid w:val="006C6D53"/>
    <w:rsid w:val="006C70DC"/>
    <w:rsid w:val="006C77B8"/>
    <w:rsid w:val="006D0E17"/>
    <w:rsid w:val="006D1874"/>
    <w:rsid w:val="006D1B42"/>
    <w:rsid w:val="006D2008"/>
    <w:rsid w:val="006D2A50"/>
    <w:rsid w:val="006D36FD"/>
    <w:rsid w:val="006D4592"/>
    <w:rsid w:val="006D46FB"/>
    <w:rsid w:val="006D5322"/>
    <w:rsid w:val="006D5376"/>
    <w:rsid w:val="006D573C"/>
    <w:rsid w:val="006D5A50"/>
    <w:rsid w:val="006D6527"/>
    <w:rsid w:val="006D6E0C"/>
    <w:rsid w:val="006D6E39"/>
    <w:rsid w:val="006D7323"/>
    <w:rsid w:val="006D7629"/>
    <w:rsid w:val="006D7EEE"/>
    <w:rsid w:val="006E0CC8"/>
    <w:rsid w:val="006E0F12"/>
    <w:rsid w:val="006E1F0D"/>
    <w:rsid w:val="006E2CC4"/>
    <w:rsid w:val="006E2CE4"/>
    <w:rsid w:val="006E2D58"/>
    <w:rsid w:val="006E2F64"/>
    <w:rsid w:val="006E2F87"/>
    <w:rsid w:val="006E3841"/>
    <w:rsid w:val="006E4326"/>
    <w:rsid w:val="006E4837"/>
    <w:rsid w:val="006E4F9A"/>
    <w:rsid w:val="006E5496"/>
    <w:rsid w:val="006E5D6C"/>
    <w:rsid w:val="006E6077"/>
    <w:rsid w:val="006E68DA"/>
    <w:rsid w:val="006F0411"/>
    <w:rsid w:val="006F0806"/>
    <w:rsid w:val="006F136A"/>
    <w:rsid w:val="006F16EC"/>
    <w:rsid w:val="006F21B1"/>
    <w:rsid w:val="006F281F"/>
    <w:rsid w:val="006F2894"/>
    <w:rsid w:val="006F328E"/>
    <w:rsid w:val="006F462D"/>
    <w:rsid w:val="006F4E07"/>
    <w:rsid w:val="006F4F80"/>
    <w:rsid w:val="006F51B5"/>
    <w:rsid w:val="006F5A7A"/>
    <w:rsid w:val="006F68E9"/>
    <w:rsid w:val="006F6B28"/>
    <w:rsid w:val="006F7334"/>
    <w:rsid w:val="006F7893"/>
    <w:rsid w:val="006F7DCC"/>
    <w:rsid w:val="007003D5"/>
    <w:rsid w:val="00700DA4"/>
    <w:rsid w:val="00701215"/>
    <w:rsid w:val="007013C6"/>
    <w:rsid w:val="007016B5"/>
    <w:rsid w:val="00701859"/>
    <w:rsid w:val="00701AC5"/>
    <w:rsid w:val="00701E94"/>
    <w:rsid w:val="00701FCE"/>
    <w:rsid w:val="00702471"/>
    <w:rsid w:val="0070330B"/>
    <w:rsid w:val="00703706"/>
    <w:rsid w:val="0070394D"/>
    <w:rsid w:val="00704019"/>
    <w:rsid w:val="00704234"/>
    <w:rsid w:val="0070466A"/>
    <w:rsid w:val="00704A22"/>
    <w:rsid w:val="00704FF6"/>
    <w:rsid w:val="0070518B"/>
    <w:rsid w:val="00705423"/>
    <w:rsid w:val="00705818"/>
    <w:rsid w:val="00705BAE"/>
    <w:rsid w:val="00705CA1"/>
    <w:rsid w:val="00706CE8"/>
    <w:rsid w:val="00706D82"/>
    <w:rsid w:val="00706FEC"/>
    <w:rsid w:val="0070753A"/>
    <w:rsid w:val="007076C4"/>
    <w:rsid w:val="0071203E"/>
    <w:rsid w:val="00712146"/>
    <w:rsid w:val="0071215A"/>
    <w:rsid w:val="007126D6"/>
    <w:rsid w:val="00712B5A"/>
    <w:rsid w:val="00712FD5"/>
    <w:rsid w:val="0071320F"/>
    <w:rsid w:val="007132C2"/>
    <w:rsid w:val="0071352A"/>
    <w:rsid w:val="0071460A"/>
    <w:rsid w:val="00714696"/>
    <w:rsid w:val="0071487B"/>
    <w:rsid w:val="0071576E"/>
    <w:rsid w:val="00716370"/>
    <w:rsid w:val="00716E81"/>
    <w:rsid w:val="0071776C"/>
    <w:rsid w:val="0071792C"/>
    <w:rsid w:val="00720176"/>
    <w:rsid w:val="00720387"/>
    <w:rsid w:val="00720769"/>
    <w:rsid w:val="007217C7"/>
    <w:rsid w:val="007224E8"/>
    <w:rsid w:val="00722843"/>
    <w:rsid w:val="00723C12"/>
    <w:rsid w:val="00723C4E"/>
    <w:rsid w:val="00723FC7"/>
    <w:rsid w:val="00724C14"/>
    <w:rsid w:val="00724FEB"/>
    <w:rsid w:val="00725385"/>
    <w:rsid w:val="00725B83"/>
    <w:rsid w:val="00726001"/>
    <w:rsid w:val="0072652D"/>
    <w:rsid w:val="00727DBC"/>
    <w:rsid w:val="00730134"/>
    <w:rsid w:val="00730B2D"/>
    <w:rsid w:val="00731423"/>
    <w:rsid w:val="00731B11"/>
    <w:rsid w:val="00731F7F"/>
    <w:rsid w:val="00732064"/>
    <w:rsid w:val="0073283C"/>
    <w:rsid w:val="00732CC0"/>
    <w:rsid w:val="00733676"/>
    <w:rsid w:val="007337D8"/>
    <w:rsid w:val="00733969"/>
    <w:rsid w:val="00733FC1"/>
    <w:rsid w:val="00734C46"/>
    <w:rsid w:val="00734C8D"/>
    <w:rsid w:val="00734E86"/>
    <w:rsid w:val="00735603"/>
    <w:rsid w:val="00735BB8"/>
    <w:rsid w:val="007363A0"/>
    <w:rsid w:val="007375FA"/>
    <w:rsid w:val="007378B0"/>
    <w:rsid w:val="00737C3D"/>
    <w:rsid w:val="00737FD0"/>
    <w:rsid w:val="00740068"/>
    <w:rsid w:val="007404E6"/>
    <w:rsid w:val="00740942"/>
    <w:rsid w:val="00740AD1"/>
    <w:rsid w:val="00741AA5"/>
    <w:rsid w:val="00741F48"/>
    <w:rsid w:val="00742582"/>
    <w:rsid w:val="007430A5"/>
    <w:rsid w:val="007432B2"/>
    <w:rsid w:val="00743492"/>
    <w:rsid w:val="00743C0F"/>
    <w:rsid w:val="00743C71"/>
    <w:rsid w:val="00743F34"/>
    <w:rsid w:val="00744735"/>
    <w:rsid w:val="00744F73"/>
    <w:rsid w:val="00745120"/>
    <w:rsid w:val="00745517"/>
    <w:rsid w:val="007458AF"/>
    <w:rsid w:val="00747335"/>
    <w:rsid w:val="00747645"/>
    <w:rsid w:val="007500C7"/>
    <w:rsid w:val="007504B1"/>
    <w:rsid w:val="0075051D"/>
    <w:rsid w:val="00751019"/>
    <w:rsid w:val="00751789"/>
    <w:rsid w:val="00751922"/>
    <w:rsid w:val="00752633"/>
    <w:rsid w:val="00752D99"/>
    <w:rsid w:val="00752FAE"/>
    <w:rsid w:val="00753A34"/>
    <w:rsid w:val="00755038"/>
    <w:rsid w:val="0075574D"/>
    <w:rsid w:val="00755C4D"/>
    <w:rsid w:val="00756388"/>
    <w:rsid w:val="00756A66"/>
    <w:rsid w:val="00756B5D"/>
    <w:rsid w:val="00757276"/>
    <w:rsid w:val="00757CDA"/>
    <w:rsid w:val="00757D3A"/>
    <w:rsid w:val="00760117"/>
    <w:rsid w:val="007606DA"/>
    <w:rsid w:val="0076156F"/>
    <w:rsid w:val="0076172C"/>
    <w:rsid w:val="00761EE0"/>
    <w:rsid w:val="007620B1"/>
    <w:rsid w:val="00762263"/>
    <w:rsid w:val="007629C1"/>
    <w:rsid w:val="00762E15"/>
    <w:rsid w:val="00762EAA"/>
    <w:rsid w:val="00762EE1"/>
    <w:rsid w:val="00763614"/>
    <w:rsid w:val="007640B4"/>
    <w:rsid w:val="007643C7"/>
    <w:rsid w:val="0076462A"/>
    <w:rsid w:val="0076474C"/>
    <w:rsid w:val="00764BE9"/>
    <w:rsid w:val="00764D27"/>
    <w:rsid w:val="00765357"/>
    <w:rsid w:val="00765731"/>
    <w:rsid w:val="00765A22"/>
    <w:rsid w:val="007664AC"/>
    <w:rsid w:val="007668CE"/>
    <w:rsid w:val="00766CEC"/>
    <w:rsid w:val="0076718A"/>
    <w:rsid w:val="00767AF9"/>
    <w:rsid w:val="00767C68"/>
    <w:rsid w:val="00767CE7"/>
    <w:rsid w:val="00767FEA"/>
    <w:rsid w:val="00770905"/>
    <w:rsid w:val="00770AFC"/>
    <w:rsid w:val="0077142C"/>
    <w:rsid w:val="0077173B"/>
    <w:rsid w:val="00772649"/>
    <w:rsid w:val="007726C8"/>
    <w:rsid w:val="00772BC2"/>
    <w:rsid w:val="00773536"/>
    <w:rsid w:val="00773588"/>
    <w:rsid w:val="007749C4"/>
    <w:rsid w:val="00774EBA"/>
    <w:rsid w:val="00775698"/>
    <w:rsid w:val="00775826"/>
    <w:rsid w:val="007764C9"/>
    <w:rsid w:val="00776653"/>
    <w:rsid w:val="00776F59"/>
    <w:rsid w:val="0077778D"/>
    <w:rsid w:val="00777964"/>
    <w:rsid w:val="007807F8"/>
    <w:rsid w:val="00780B01"/>
    <w:rsid w:val="00780D89"/>
    <w:rsid w:val="00780F77"/>
    <w:rsid w:val="007818AD"/>
    <w:rsid w:val="00781B5A"/>
    <w:rsid w:val="00782B55"/>
    <w:rsid w:val="00782BF9"/>
    <w:rsid w:val="007830A9"/>
    <w:rsid w:val="0078366E"/>
    <w:rsid w:val="00783676"/>
    <w:rsid w:val="00784061"/>
    <w:rsid w:val="007848ED"/>
    <w:rsid w:val="00785CA2"/>
    <w:rsid w:val="00786D41"/>
    <w:rsid w:val="00786DEE"/>
    <w:rsid w:val="00786E27"/>
    <w:rsid w:val="00787300"/>
    <w:rsid w:val="007877D9"/>
    <w:rsid w:val="00787892"/>
    <w:rsid w:val="00787957"/>
    <w:rsid w:val="00787F89"/>
    <w:rsid w:val="00790B3A"/>
    <w:rsid w:val="00790C0A"/>
    <w:rsid w:val="007919B1"/>
    <w:rsid w:val="00791D56"/>
    <w:rsid w:val="00791FBE"/>
    <w:rsid w:val="00792220"/>
    <w:rsid w:val="00792604"/>
    <w:rsid w:val="00793255"/>
    <w:rsid w:val="00793B04"/>
    <w:rsid w:val="007945A1"/>
    <w:rsid w:val="0079476A"/>
    <w:rsid w:val="0079607E"/>
    <w:rsid w:val="007960E2"/>
    <w:rsid w:val="00796524"/>
    <w:rsid w:val="007972BC"/>
    <w:rsid w:val="007975ED"/>
    <w:rsid w:val="00797A9F"/>
    <w:rsid w:val="00797EFF"/>
    <w:rsid w:val="007A0360"/>
    <w:rsid w:val="007A088F"/>
    <w:rsid w:val="007A0A30"/>
    <w:rsid w:val="007A1334"/>
    <w:rsid w:val="007A1897"/>
    <w:rsid w:val="007A2353"/>
    <w:rsid w:val="007A2AB0"/>
    <w:rsid w:val="007A2BA5"/>
    <w:rsid w:val="007A3135"/>
    <w:rsid w:val="007A36E1"/>
    <w:rsid w:val="007A397C"/>
    <w:rsid w:val="007A42E7"/>
    <w:rsid w:val="007A46BD"/>
    <w:rsid w:val="007A48FA"/>
    <w:rsid w:val="007A510E"/>
    <w:rsid w:val="007A54A3"/>
    <w:rsid w:val="007A6B4E"/>
    <w:rsid w:val="007A6C9F"/>
    <w:rsid w:val="007A7D9E"/>
    <w:rsid w:val="007B02A3"/>
    <w:rsid w:val="007B071F"/>
    <w:rsid w:val="007B13E1"/>
    <w:rsid w:val="007B17FB"/>
    <w:rsid w:val="007B2410"/>
    <w:rsid w:val="007B27A2"/>
    <w:rsid w:val="007B288A"/>
    <w:rsid w:val="007B2B79"/>
    <w:rsid w:val="007B3A20"/>
    <w:rsid w:val="007B3BDF"/>
    <w:rsid w:val="007B3CD4"/>
    <w:rsid w:val="007B3DA6"/>
    <w:rsid w:val="007B3EA2"/>
    <w:rsid w:val="007B3F63"/>
    <w:rsid w:val="007B4539"/>
    <w:rsid w:val="007B47E4"/>
    <w:rsid w:val="007B47F2"/>
    <w:rsid w:val="007B541E"/>
    <w:rsid w:val="007B5888"/>
    <w:rsid w:val="007B589F"/>
    <w:rsid w:val="007B5DA3"/>
    <w:rsid w:val="007B5EAF"/>
    <w:rsid w:val="007B5F88"/>
    <w:rsid w:val="007B6170"/>
    <w:rsid w:val="007B6511"/>
    <w:rsid w:val="007B65C6"/>
    <w:rsid w:val="007B66E7"/>
    <w:rsid w:val="007B74A2"/>
    <w:rsid w:val="007B7DB1"/>
    <w:rsid w:val="007C0848"/>
    <w:rsid w:val="007C08C1"/>
    <w:rsid w:val="007C1ADA"/>
    <w:rsid w:val="007C226B"/>
    <w:rsid w:val="007C2312"/>
    <w:rsid w:val="007C2A7E"/>
    <w:rsid w:val="007C2EF4"/>
    <w:rsid w:val="007C301A"/>
    <w:rsid w:val="007C3B41"/>
    <w:rsid w:val="007C3BB4"/>
    <w:rsid w:val="007C47D2"/>
    <w:rsid w:val="007C48C2"/>
    <w:rsid w:val="007C5251"/>
    <w:rsid w:val="007C55F1"/>
    <w:rsid w:val="007C5FFD"/>
    <w:rsid w:val="007C60CC"/>
    <w:rsid w:val="007C655F"/>
    <w:rsid w:val="007C6AC2"/>
    <w:rsid w:val="007C71B2"/>
    <w:rsid w:val="007D097A"/>
    <w:rsid w:val="007D0CAD"/>
    <w:rsid w:val="007D0D10"/>
    <w:rsid w:val="007D0DAA"/>
    <w:rsid w:val="007D16CA"/>
    <w:rsid w:val="007D18E2"/>
    <w:rsid w:val="007D1B0E"/>
    <w:rsid w:val="007D1E23"/>
    <w:rsid w:val="007D2871"/>
    <w:rsid w:val="007D3617"/>
    <w:rsid w:val="007D381C"/>
    <w:rsid w:val="007D462A"/>
    <w:rsid w:val="007D486C"/>
    <w:rsid w:val="007D4E07"/>
    <w:rsid w:val="007D585D"/>
    <w:rsid w:val="007D5E7D"/>
    <w:rsid w:val="007D6245"/>
    <w:rsid w:val="007D66E1"/>
    <w:rsid w:val="007D678B"/>
    <w:rsid w:val="007D6AEF"/>
    <w:rsid w:val="007D71FD"/>
    <w:rsid w:val="007D74EB"/>
    <w:rsid w:val="007D7AA5"/>
    <w:rsid w:val="007D7AEF"/>
    <w:rsid w:val="007D7B50"/>
    <w:rsid w:val="007E0135"/>
    <w:rsid w:val="007E0170"/>
    <w:rsid w:val="007E02C1"/>
    <w:rsid w:val="007E09E5"/>
    <w:rsid w:val="007E0CF7"/>
    <w:rsid w:val="007E0F17"/>
    <w:rsid w:val="007E1126"/>
    <w:rsid w:val="007E1650"/>
    <w:rsid w:val="007E1818"/>
    <w:rsid w:val="007E1C73"/>
    <w:rsid w:val="007E1D1D"/>
    <w:rsid w:val="007E227D"/>
    <w:rsid w:val="007E238C"/>
    <w:rsid w:val="007E27BB"/>
    <w:rsid w:val="007E3083"/>
    <w:rsid w:val="007E3100"/>
    <w:rsid w:val="007E3ABC"/>
    <w:rsid w:val="007E4275"/>
    <w:rsid w:val="007E4E4A"/>
    <w:rsid w:val="007E4F6A"/>
    <w:rsid w:val="007E538A"/>
    <w:rsid w:val="007E563A"/>
    <w:rsid w:val="007E5CCC"/>
    <w:rsid w:val="007E5D60"/>
    <w:rsid w:val="007E6311"/>
    <w:rsid w:val="007E6B53"/>
    <w:rsid w:val="007E74A0"/>
    <w:rsid w:val="007E7B32"/>
    <w:rsid w:val="007F072A"/>
    <w:rsid w:val="007F087F"/>
    <w:rsid w:val="007F0A66"/>
    <w:rsid w:val="007F13FC"/>
    <w:rsid w:val="007F174B"/>
    <w:rsid w:val="007F2697"/>
    <w:rsid w:val="007F2C18"/>
    <w:rsid w:val="007F339D"/>
    <w:rsid w:val="007F3781"/>
    <w:rsid w:val="007F39AD"/>
    <w:rsid w:val="007F3DAA"/>
    <w:rsid w:val="007F3E15"/>
    <w:rsid w:val="007F45C1"/>
    <w:rsid w:val="007F5840"/>
    <w:rsid w:val="007F58C3"/>
    <w:rsid w:val="007F5B5E"/>
    <w:rsid w:val="007F60CE"/>
    <w:rsid w:val="007F6C3D"/>
    <w:rsid w:val="007F727F"/>
    <w:rsid w:val="007F73A9"/>
    <w:rsid w:val="007F75D5"/>
    <w:rsid w:val="007F7745"/>
    <w:rsid w:val="007F7CB8"/>
    <w:rsid w:val="007F7CCF"/>
    <w:rsid w:val="00800B0E"/>
    <w:rsid w:val="00801274"/>
    <w:rsid w:val="00801D92"/>
    <w:rsid w:val="00802320"/>
    <w:rsid w:val="008023F2"/>
    <w:rsid w:val="008023FC"/>
    <w:rsid w:val="00802488"/>
    <w:rsid w:val="00802A23"/>
    <w:rsid w:val="008030A2"/>
    <w:rsid w:val="00803C59"/>
    <w:rsid w:val="0080450D"/>
    <w:rsid w:val="00804C11"/>
    <w:rsid w:val="00805EC9"/>
    <w:rsid w:val="008060CB"/>
    <w:rsid w:val="0080625A"/>
    <w:rsid w:val="008067DD"/>
    <w:rsid w:val="0080696A"/>
    <w:rsid w:val="00807386"/>
    <w:rsid w:val="00810AD8"/>
    <w:rsid w:val="00810EDB"/>
    <w:rsid w:val="00810FD4"/>
    <w:rsid w:val="00811029"/>
    <w:rsid w:val="0081186B"/>
    <w:rsid w:val="00812C6A"/>
    <w:rsid w:val="008130E8"/>
    <w:rsid w:val="00813400"/>
    <w:rsid w:val="008137A5"/>
    <w:rsid w:val="00813DEF"/>
    <w:rsid w:val="00814123"/>
    <w:rsid w:val="00814559"/>
    <w:rsid w:val="0081475D"/>
    <w:rsid w:val="00814AA8"/>
    <w:rsid w:val="00814D3F"/>
    <w:rsid w:val="00815401"/>
    <w:rsid w:val="00815410"/>
    <w:rsid w:val="008155EC"/>
    <w:rsid w:val="008158BD"/>
    <w:rsid w:val="00815CF7"/>
    <w:rsid w:val="008160C1"/>
    <w:rsid w:val="008166E5"/>
    <w:rsid w:val="00816FB0"/>
    <w:rsid w:val="008172D8"/>
    <w:rsid w:val="00817C0A"/>
    <w:rsid w:val="00817C88"/>
    <w:rsid w:val="00817CAE"/>
    <w:rsid w:val="00820790"/>
    <w:rsid w:val="00820D3B"/>
    <w:rsid w:val="00820E49"/>
    <w:rsid w:val="00820F39"/>
    <w:rsid w:val="008212B6"/>
    <w:rsid w:val="00821492"/>
    <w:rsid w:val="00821631"/>
    <w:rsid w:val="008218E3"/>
    <w:rsid w:val="008219B7"/>
    <w:rsid w:val="00821E9E"/>
    <w:rsid w:val="008234EE"/>
    <w:rsid w:val="00823597"/>
    <w:rsid w:val="008237F4"/>
    <w:rsid w:val="00824E47"/>
    <w:rsid w:val="00824F61"/>
    <w:rsid w:val="0082527D"/>
    <w:rsid w:val="00825765"/>
    <w:rsid w:val="00826007"/>
    <w:rsid w:val="00826056"/>
    <w:rsid w:val="0082617E"/>
    <w:rsid w:val="008267C6"/>
    <w:rsid w:val="00826E3B"/>
    <w:rsid w:val="0082702C"/>
    <w:rsid w:val="008277AD"/>
    <w:rsid w:val="008304F6"/>
    <w:rsid w:val="00830566"/>
    <w:rsid w:val="008307C2"/>
    <w:rsid w:val="00830890"/>
    <w:rsid w:val="00830AED"/>
    <w:rsid w:val="0083132D"/>
    <w:rsid w:val="008313E8"/>
    <w:rsid w:val="00831451"/>
    <w:rsid w:val="0083176D"/>
    <w:rsid w:val="008318A8"/>
    <w:rsid w:val="00831FD8"/>
    <w:rsid w:val="00833389"/>
    <w:rsid w:val="008339B3"/>
    <w:rsid w:val="00833C5F"/>
    <w:rsid w:val="0083452E"/>
    <w:rsid w:val="008350CE"/>
    <w:rsid w:val="008350DB"/>
    <w:rsid w:val="00836948"/>
    <w:rsid w:val="00836F55"/>
    <w:rsid w:val="00837291"/>
    <w:rsid w:val="008374F5"/>
    <w:rsid w:val="00837F89"/>
    <w:rsid w:val="00840182"/>
    <w:rsid w:val="008405ED"/>
    <w:rsid w:val="008408E2"/>
    <w:rsid w:val="00841F92"/>
    <w:rsid w:val="00842B53"/>
    <w:rsid w:val="00843112"/>
    <w:rsid w:val="0084397B"/>
    <w:rsid w:val="0084421C"/>
    <w:rsid w:val="0084482D"/>
    <w:rsid w:val="00844F42"/>
    <w:rsid w:val="008453EC"/>
    <w:rsid w:val="0084562E"/>
    <w:rsid w:val="0084690E"/>
    <w:rsid w:val="00846EEC"/>
    <w:rsid w:val="00847576"/>
    <w:rsid w:val="00847D77"/>
    <w:rsid w:val="0085032D"/>
    <w:rsid w:val="00850541"/>
    <w:rsid w:val="00850DFB"/>
    <w:rsid w:val="008513B1"/>
    <w:rsid w:val="00851516"/>
    <w:rsid w:val="00851D26"/>
    <w:rsid w:val="00851F33"/>
    <w:rsid w:val="0085229C"/>
    <w:rsid w:val="008529A4"/>
    <w:rsid w:val="008531E0"/>
    <w:rsid w:val="0085359E"/>
    <w:rsid w:val="0085405A"/>
    <w:rsid w:val="00854245"/>
    <w:rsid w:val="00854BC2"/>
    <w:rsid w:val="00854C07"/>
    <w:rsid w:val="00854D7D"/>
    <w:rsid w:val="0085598F"/>
    <w:rsid w:val="00856508"/>
    <w:rsid w:val="008569DD"/>
    <w:rsid w:val="00856BB0"/>
    <w:rsid w:val="00856C72"/>
    <w:rsid w:val="00856F2B"/>
    <w:rsid w:val="00856F49"/>
    <w:rsid w:val="00857514"/>
    <w:rsid w:val="008578E5"/>
    <w:rsid w:val="0086074B"/>
    <w:rsid w:val="008611D8"/>
    <w:rsid w:val="008612A0"/>
    <w:rsid w:val="00861623"/>
    <w:rsid w:val="00861D71"/>
    <w:rsid w:val="00861E25"/>
    <w:rsid w:val="00861F98"/>
    <w:rsid w:val="008625D7"/>
    <w:rsid w:val="008626E2"/>
    <w:rsid w:val="00862897"/>
    <w:rsid w:val="0086330A"/>
    <w:rsid w:val="008642C9"/>
    <w:rsid w:val="008643C7"/>
    <w:rsid w:val="0086457D"/>
    <w:rsid w:val="008645C9"/>
    <w:rsid w:val="008647C5"/>
    <w:rsid w:val="00865584"/>
    <w:rsid w:val="0086583F"/>
    <w:rsid w:val="008660D2"/>
    <w:rsid w:val="008664C8"/>
    <w:rsid w:val="0086732A"/>
    <w:rsid w:val="00867BC5"/>
    <w:rsid w:val="00867D2A"/>
    <w:rsid w:val="00867F40"/>
    <w:rsid w:val="008707E6"/>
    <w:rsid w:val="00870872"/>
    <w:rsid w:val="008708A4"/>
    <w:rsid w:val="00870C6D"/>
    <w:rsid w:val="00870CCF"/>
    <w:rsid w:val="00871439"/>
    <w:rsid w:val="00871602"/>
    <w:rsid w:val="00871CC5"/>
    <w:rsid w:val="0087216A"/>
    <w:rsid w:val="00872217"/>
    <w:rsid w:val="00872E8B"/>
    <w:rsid w:val="00872E9B"/>
    <w:rsid w:val="0087315D"/>
    <w:rsid w:val="0087338B"/>
    <w:rsid w:val="008748C7"/>
    <w:rsid w:val="008749CB"/>
    <w:rsid w:val="00874BB3"/>
    <w:rsid w:val="00874C8C"/>
    <w:rsid w:val="008756EB"/>
    <w:rsid w:val="008757D3"/>
    <w:rsid w:val="00875AA7"/>
    <w:rsid w:val="00875AEC"/>
    <w:rsid w:val="008769CB"/>
    <w:rsid w:val="00876E6B"/>
    <w:rsid w:val="008770ED"/>
    <w:rsid w:val="008771D4"/>
    <w:rsid w:val="008776AD"/>
    <w:rsid w:val="0087771F"/>
    <w:rsid w:val="00877A35"/>
    <w:rsid w:val="00877B52"/>
    <w:rsid w:val="00877F3A"/>
    <w:rsid w:val="0088039A"/>
    <w:rsid w:val="00880E94"/>
    <w:rsid w:val="008811A8"/>
    <w:rsid w:val="00881A7C"/>
    <w:rsid w:val="00881E30"/>
    <w:rsid w:val="0088212E"/>
    <w:rsid w:val="0088261E"/>
    <w:rsid w:val="0088379D"/>
    <w:rsid w:val="008837AA"/>
    <w:rsid w:val="00884E39"/>
    <w:rsid w:val="00885CF6"/>
    <w:rsid w:val="00885DBA"/>
    <w:rsid w:val="0088630A"/>
    <w:rsid w:val="00886592"/>
    <w:rsid w:val="00886699"/>
    <w:rsid w:val="00886BD6"/>
    <w:rsid w:val="00886CDE"/>
    <w:rsid w:val="0088711E"/>
    <w:rsid w:val="008873F3"/>
    <w:rsid w:val="00887FA4"/>
    <w:rsid w:val="008901EA"/>
    <w:rsid w:val="0089087C"/>
    <w:rsid w:val="00890D69"/>
    <w:rsid w:val="00892157"/>
    <w:rsid w:val="0089264E"/>
    <w:rsid w:val="00892B4C"/>
    <w:rsid w:val="008931D7"/>
    <w:rsid w:val="008936B5"/>
    <w:rsid w:val="0089382B"/>
    <w:rsid w:val="00893A2D"/>
    <w:rsid w:val="00895109"/>
    <w:rsid w:val="00895143"/>
    <w:rsid w:val="00895357"/>
    <w:rsid w:val="00895DE5"/>
    <w:rsid w:val="00896474"/>
    <w:rsid w:val="00896561"/>
    <w:rsid w:val="00896C9B"/>
    <w:rsid w:val="008975D3"/>
    <w:rsid w:val="008A046C"/>
    <w:rsid w:val="008A0764"/>
    <w:rsid w:val="008A0828"/>
    <w:rsid w:val="008A0A22"/>
    <w:rsid w:val="008A0F55"/>
    <w:rsid w:val="008A1851"/>
    <w:rsid w:val="008A1BCB"/>
    <w:rsid w:val="008A1CAC"/>
    <w:rsid w:val="008A2044"/>
    <w:rsid w:val="008A22F8"/>
    <w:rsid w:val="008A28CD"/>
    <w:rsid w:val="008A2F78"/>
    <w:rsid w:val="008A39C5"/>
    <w:rsid w:val="008A3A79"/>
    <w:rsid w:val="008A3A81"/>
    <w:rsid w:val="008A4280"/>
    <w:rsid w:val="008A4DF9"/>
    <w:rsid w:val="008A4E60"/>
    <w:rsid w:val="008A552D"/>
    <w:rsid w:val="008A5562"/>
    <w:rsid w:val="008A56A4"/>
    <w:rsid w:val="008A585A"/>
    <w:rsid w:val="008A58C5"/>
    <w:rsid w:val="008A5FB2"/>
    <w:rsid w:val="008A6353"/>
    <w:rsid w:val="008A65AE"/>
    <w:rsid w:val="008A66A2"/>
    <w:rsid w:val="008A6C85"/>
    <w:rsid w:val="008A7944"/>
    <w:rsid w:val="008A7DA2"/>
    <w:rsid w:val="008B0238"/>
    <w:rsid w:val="008B17C3"/>
    <w:rsid w:val="008B22B1"/>
    <w:rsid w:val="008B30C9"/>
    <w:rsid w:val="008B3788"/>
    <w:rsid w:val="008B3E48"/>
    <w:rsid w:val="008B40EE"/>
    <w:rsid w:val="008B46E7"/>
    <w:rsid w:val="008B5F61"/>
    <w:rsid w:val="008B60E9"/>
    <w:rsid w:val="008B6E28"/>
    <w:rsid w:val="008B757A"/>
    <w:rsid w:val="008B76C7"/>
    <w:rsid w:val="008C01C1"/>
    <w:rsid w:val="008C060D"/>
    <w:rsid w:val="008C254E"/>
    <w:rsid w:val="008C309E"/>
    <w:rsid w:val="008C364B"/>
    <w:rsid w:val="008C4B4F"/>
    <w:rsid w:val="008C4D5A"/>
    <w:rsid w:val="008C5AC0"/>
    <w:rsid w:val="008C5DB0"/>
    <w:rsid w:val="008C607C"/>
    <w:rsid w:val="008C6B02"/>
    <w:rsid w:val="008C727A"/>
    <w:rsid w:val="008C77D8"/>
    <w:rsid w:val="008C7934"/>
    <w:rsid w:val="008C7FDF"/>
    <w:rsid w:val="008D0744"/>
    <w:rsid w:val="008D09D1"/>
    <w:rsid w:val="008D0DE0"/>
    <w:rsid w:val="008D11C2"/>
    <w:rsid w:val="008D1857"/>
    <w:rsid w:val="008D1D36"/>
    <w:rsid w:val="008D3572"/>
    <w:rsid w:val="008D3867"/>
    <w:rsid w:val="008D3A21"/>
    <w:rsid w:val="008D3F2B"/>
    <w:rsid w:val="008D3F2E"/>
    <w:rsid w:val="008D3FCB"/>
    <w:rsid w:val="008D407B"/>
    <w:rsid w:val="008D41B2"/>
    <w:rsid w:val="008D4C90"/>
    <w:rsid w:val="008D4E59"/>
    <w:rsid w:val="008D58FA"/>
    <w:rsid w:val="008D61C4"/>
    <w:rsid w:val="008D688F"/>
    <w:rsid w:val="008D72D8"/>
    <w:rsid w:val="008D7813"/>
    <w:rsid w:val="008D7EF4"/>
    <w:rsid w:val="008E06D6"/>
    <w:rsid w:val="008E0701"/>
    <w:rsid w:val="008E1AD3"/>
    <w:rsid w:val="008E2E8C"/>
    <w:rsid w:val="008E325E"/>
    <w:rsid w:val="008E3409"/>
    <w:rsid w:val="008E37DF"/>
    <w:rsid w:val="008E3BEA"/>
    <w:rsid w:val="008E3F9A"/>
    <w:rsid w:val="008E416D"/>
    <w:rsid w:val="008E60D7"/>
    <w:rsid w:val="008E671B"/>
    <w:rsid w:val="008E6C1F"/>
    <w:rsid w:val="008E6F29"/>
    <w:rsid w:val="008E702C"/>
    <w:rsid w:val="008E748B"/>
    <w:rsid w:val="008F0761"/>
    <w:rsid w:val="008F0AF2"/>
    <w:rsid w:val="008F0E81"/>
    <w:rsid w:val="008F12D2"/>
    <w:rsid w:val="008F1822"/>
    <w:rsid w:val="008F20F0"/>
    <w:rsid w:val="008F293E"/>
    <w:rsid w:val="008F354C"/>
    <w:rsid w:val="008F3D99"/>
    <w:rsid w:val="008F4EFB"/>
    <w:rsid w:val="008F50CA"/>
    <w:rsid w:val="008F58CE"/>
    <w:rsid w:val="008F5D13"/>
    <w:rsid w:val="008F5E59"/>
    <w:rsid w:val="008F6544"/>
    <w:rsid w:val="008F7100"/>
    <w:rsid w:val="008F72B7"/>
    <w:rsid w:val="008F75F4"/>
    <w:rsid w:val="008F7E17"/>
    <w:rsid w:val="008F7E55"/>
    <w:rsid w:val="00900FEA"/>
    <w:rsid w:val="00901B8D"/>
    <w:rsid w:val="0090287B"/>
    <w:rsid w:val="009028C7"/>
    <w:rsid w:val="0090328F"/>
    <w:rsid w:val="0090423B"/>
    <w:rsid w:val="00904247"/>
    <w:rsid w:val="009045B7"/>
    <w:rsid w:val="00904941"/>
    <w:rsid w:val="00904BD8"/>
    <w:rsid w:val="00904C0B"/>
    <w:rsid w:val="00904CB6"/>
    <w:rsid w:val="009053B1"/>
    <w:rsid w:val="00905A47"/>
    <w:rsid w:val="00906069"/>
    <w:rsid w:val="00906203"/>
    <w:rsid w:val="0090663C"/>
    <w:rsid w:val="00906F5C"/>
    <w:rsid w:val="00907452"/>
    <w:rsid w:val="009078BA"/>
    <w:rsid w:val="009079A1"/>
    <w:rsid w:val="00907E78"/>
    <w:rsid w:val="00907EDA"/>
    <w:rsid w:val="0091025B"/>
    <w:rsid w:val="0091048E"/>
    <w:rsid w:val="00910B80"/>
    <w:rsid w:val="00910FED"/>
    <w:rsid w:val="00911B31"/>
    <w:rsid w:val="00911D52"/>
    <w:rsid w:val="00911FC7"/>
    <w:rsid w:val="00912822"/>
    <w:rsid w:val="00913619"/>
    <w:rsid w:val="00913BB3"/>
    <w:rsid w:val="00913FBF"/>
    <w:rsid w:val="0091418C"/>
    <w:rsid w:val="00916539"/>
    <w:rsid w:val="00916737"/>
    <w:rsid w:val="00916CA9"/>
    <w:rsid w:val="00917DFD"/>
    <w:rsid w:val="00917FA3"/>
    <w:rsid w:val="0092061D"/>
    <w:rsid w:val="009211B9"/>
    <w:rsid w:val="009217DB"/>
    <w:rsid w:val="00921D2E"/>
    <w:rsid w:val="009220F1"/>
    <w:rsid w:val="009221E1"/>
    <w:rsid w:val="009222E6"/>
    <w:rsid w:val="00922BD8"/>
    <w:rsid w:val="00923188"/>
    <w:rsid w:val="009237CA"/>
    <w:rsid w:val="009239D5"/>
    <w:rsid w:val="00923FF0"/>
    <w:rsid w:val="00924CC8"/>
    <w:rsid w:val="00924D41"/>
    <w:rsid w:val="0092540F"/>
    <w:rsid w:val="00925C97"/>
    <w:rsid w:val="00925DC2"/>
    <w:rsid w:val="00925E9D"/>
    <w:rsid w:val="0092669E"/>
    <w:rsid w:val="0092736F"/>
    <w:rsid w:val="00927433"/>
    <w:rsid w:val="009300DD"/>
    <w:rsid w:val="0093034F"/>
    <w:rsid w:val="009314FE"/>
    <w:rsid w:val="00931FF1"/>
    <w:rsid w:val="0093205B"/>
    <w:rsid w:val="0093220E"/>
    <w:rsid w:val="0093228D"/>
    <w:rsid w:val="009323D0"/>
    <w:rsid w:val="0093246A"/>
    <w:rsid w:val="00932886"/>
    <w:rsid w:val="00932AE4"/>
    <w:rsid w:val="00932FD2"/>
    <w:rsid w:val="00933339"/>
    <w:rsid w:val="0093384B"/>
    <w:rsid w:val="009340A4"/>
    <w:rsid w:val="0093496F"/>
    <w:rsid w:val="009349B0"/>
    <w:rsid w:val="009355C9"/>
    <w:rsid w:val="00935A2B"/>
    <w:rsid w:val="00935D10"/>
    <w:rsid w:val="00935F32"/>
    <w:rsid w:val="00937470"/>
    <w:rsid w:val="009378CF"/>
    <w:rsid w:val="00940171"/>
    <w:rsid w:val="00940371"/>
    <w:rsid w:val="0094051A"/>
    <w:rsid w:val="00940F10"/>
    <w:rsid w:val="0094152E"/>
    <w:rsid w:val="00941566"/>
    <w:rsid w:val="009418B8"/>
    <w:rsid w:val="00941945"/>
    <w:rsid w:val="009422F2"/>
    <w:rsid w:val="00943C5E"/>
    <w:rsid w:val="0094425F"/>
    <w:rsid w:val="009444CC"/>
    <w:rsid w:val="009447EB"/>
    <w:rsid w:val="00944BCB"/>
    <w:rsid w:val="00944DDA"/>
    <w:rsid w:val="009450EC"/>
    <w:rsid w:val="0094567B"/>
    <w:rsid w:val="00945C39"/>
    <w:rsid w:val="0094647E"/>
    <w:rsid w:val="009466C9"/>
    <w:rsid w:val="00946EBF"/>
    <w:rsid w:val="00946F7F"/>
    <w:rsid w:val="00946FF9"/>
    <w:rsid w:val="00947815"/>
    <w:rsid w:val="00947FB5"/>
    <w:rsid w:val="00950394"/>
    <w:rsid w:val="00951D7A"/>
    <w:rsid w:val="009525CD"/>
    <w:rsid w:val="00952875"/>
    <w:rsid w:val="00952DA6"/>
    <w:rsid w:val="00952FC5"/>
    <w:rsid w:val="00953419"/>
    <w:rsid w:val="00953A15"/>
    <w:rsid w:val="00953BBF"/>
    <w:rsid w:val="00953E63"/>
    <w:rsid w:val="009543C8"/>
    <w:rsid w:val="00954A84"/>
    <w:rsid w:val="00955D6A"/>
    <w:rsid w:val="00956ED4"/>
    <w:rsid w:val="00956FA0"/>
    <w:rsid w:val="00957536"/>
    <w:rsid w:val="009579DD"/>
    <w:rsid w:val="00960203"/>
    <w:rsid w:val="009603AA"/>
    <w:rsid w:val="0096040A"/>
    <w:rsid w:val="009604B2"/>
    <w:rsid w:val="0096185E"/>
    <w:rsid w:val="00961988"/>
    <w:rsid w:val="009620F8"/>
    <w:rsid w:val="00962563"/>
    <w:rsid w:val="00962BB1"/>
    <w:rsid w:val="00962E4D"/>
    <w:rsid w:val="00962F28"/>
    <w:rsid w:val="00963582"/>
    <w:rsid w:val="009639C5"/>
    <w:rsid w:val="00963E08"/>
    <w:rsid w:val="00963F60"/>
    <w:rsid w:val="0096469E"/>
    <w:rsid w:val="0096578D"/>
    <w:rsid w:val="00965864"/>
    <w:rsid w:val="00965CD1"/>
    <w:rsid w:val="009664D4"/>
    <w:rsid w:val="00966E56"/>
    <w:rsid w:val="00967200"/>
    <w:rsid w:val="00967822"/>
    <w:rsid w:val="00970EF7"/>
    <w:rsid w:val="009710E3"/>
    <w:rsid w:val="00971215"/>
    <w:rsid w:val="00971395"/>
    <w:rsid w:val="00971D6F"/>
    <w:rsid w:val="0097210A"/>
    <w:rsid w:val="009721EF"/>
    <w:rsid w:val="009723C4"/>
    <w:rsid w:val="00972435"/>
    <w:rsid w:val="009728A0"/>
    <w:rsid w:val="00972995"/>
    <w:rsid w:val="0097300D"/>
    <w:rsid w:val="0097364B"/>
    <w:rsid w:val="00973CE9"/>
    <w:rsid w:val="00973F54"/>
    <w:rsid w:val="00974502"/>
    <w:rsid w:val="0097473C"/>
    <w:rsid w:val="00975576"/>
    <w:rsid w:val="00976111"/>
    <w:rsid w:val="00976175"/>
    <w:rsid w:val="0097673B"/>
    <w:rsid w:val="00976F83"/>
    <w:rsid w:val="00976FDF"/>
    <w:rsid w:val="00977153"/>
    <w:rsid w:val="0097770E"/>
    <w:rsid w:val="00977EE3"/>
    <w:rsid w:val="00977F71"/>
    <w:rsid w:val="009803CC"/>
    <w:rsid w:val="00980CA5"/>
    <w:rsid w:val="00980D71"/>
    <w:rsid w:val="00980E22"/>
    <w:rsid w:val="009814A6"/>
    <w:rsid w:val="009816FA"/>
    <w:rsid w:val="009829AC"/>
    <w:rsid w:val="00982EA9"/>
    <w:rsid w:val="0098426C"/>
    <w:rsid w:val="009844C4"/>
    <w:rsid w:val="00984573"/>
    <w:rsid w:val="0098585E"/>
    <w:rsid w:val="00985C55"/>
    <w:rsid w:val="009862E8"/>
    <w:rsid w:val="00987279"/>
    <w:rsid w:val="00987302"/>
    <w:rsid w:val="0098747A"/>
    <w:rsid w:val="00987AD5"/>
    <w:rsid w:val="00987C59"/>
    <w:rsid w:val="009904A6"/>
    <w:rsid w:val="0099074A"/>
    <w:rsid w:val="00990B4A"/>
    <w:rsid w:val="00991459"/>
    <w:rsid w:val="00991B05"/>
    <w:rsid w:val="00991EA9"/>
    <w:rsid w:val="0099205E"/>
    <w:rsid w:val="0099216C"/>
    <w:rsid w:val="00992252"/>
    <w:rsid w:val="0099286F"/>
    <w:rsid w:val="00992B15"/>
    <w:rsid w:val="00992CB4"/>
    <w:rsid w:val="009930EC"/>
    <w:rsid w:val="009933A7"/>
    <w:rsid w:val="00993775"/>
    <w:rsid w:val="00993D79"/>
    <w:rsid w:val="00994051"/>
    <w:rsid w:val="00994499"/>
    <w:rsid w:val="009953F3"/>
    <w:rsid w:val="009969B1"/>
    <w:rsid w:val="00996AF0"/>
    <w:rsid w:val="00996EE8"/>
    <w:rsid w:val="00996FBB"/>
    <w:rsid w:val="0099751D"/>
    <w:rsid w:val="00997A08"/>
    <w:rsid w:val="00997CE0"/>
    <w:rsid w:val="009A104A"/>
    <w:rsid w:val="009A1316"/>
    <w:rsid w:val="009A1456"/>
    <w:rsid w:val="009A3589"/>
    <w:rsid w:val="009A3F07"/>
    <w:rsid w:val="009A55BD"/>
    <w:rsid w:val="009A58EF"/>
    <w:rsid w:val="009A5C50"/>
    <w:rsid w:val="009A5DD6"/>
    <w:rsid w:val="009A606F"/>
    <w:rsid w:val="009A61FD"/>
    <w:rsid w:val="009A64F6"/>
    <w:rsid w:val="009A7224"/>
    <w:rsid w:val="009A75F0"/>
    <w:rsid w:val="009A78E3"/>
    <w:rsid w:val="009B00FA"/>
    <w:rsid w:val="009B01CD"/>
    <w:rsid w:val="009B07A7"/>
    <w:rsid w:val="009B143A"/>
    <w:rsid w:val="009B1B3E"/>
    <w:rsid w:val="009B1BF4"/>
    <w:rsid w:val="009B1C36"/>
    <w:rsid w:val="009B1FE7"/>
    <w:rsid w:val="009B2648"/>
    <w:rsid w:val="009B2961"/>
    <w:rsid w:val="009B3602"/>
    <w:rsid w:val="009B43B6"/>
    <w:rsid w:val="009B476B"/>
    <w:rsid w:val="009B4946"/>
    <w:rsid w:val="009B49E5"/>
    <w:rsid w:val="009B4E4F"/>
    <w:rsid w:val="009B523A"/>
    <w:rsid w:val="009B53E4"/>
    <w:rsid w:val="009B5ABD"/>
    <w:rsid w:val="009B5EDC"/>
    <w:rsid w:val="009B67A3"/>
    <w:rsid w:val="009B6830"/>
    <w:rsid w:val="009B689D"/>
    <w:rsid w:val="009B72CA"/>
    <w:rsid w:val="009B7C76"/>
    <w:rsid w:val="009C0219"/>
    <w:rsid w:val="009C0319"/>
    <w:rsid w:val="009C051B"/>
    <w:rsid w:val="009C0D75"/>
    <w:rsid w:val="009C0E4A"/>
    <w:rsid w:val="009C137C"/>
    <w:rsid w:val="009C18C6"/>
    <w:rsid w:val="009C1B5C"/>
    <w:rsid w:val="009C1E4D"/>
    <w:rsid w:val="009C2015"/>
    <w:rsid w:val="009C2120"/>
    <w:rsid w:val="009C21C1"/>
    <w:rsid w:val="009C23D7"/>
    <w:rsid w:val="009C2E1A"/>
    <w:rsid w:val="009C311C"/>
    <w:rsid w:val="009C33FC"/>
    <w:rsid w:val="009C47C1"/>
    <w:rsid w:val="009C674F"/>
    <w:rsid w:val="009C6769"/>
    <w:rsid w:val="009C72AE"/>
    <w:rsid w:val="009C7534"/>
    <w:rsid w:val="009C7788"/>
    <w:rsid w:val="009D10A4"/>
    <w:rsid w:val="009D12DA"/>
    <w:rsid w:val="009D1B37"/>
    <w:rsid w:val="009D1B57"/>
    <w:rsid w:val="009D1D56"/>
    <w:rsid w:val="009D2107"/>
    <w:rsid w:val="009D23EC"/>
    <w:rsid w:val="009D260C"/>
    <w:rsid w:val="009D381C"/>
    <w:rsid w:val="009D3AB9"/>
    <w:rsid w:val="009D45AF"/>
    <w:rsid w:val="009D47C0"/>
    <w:rsid w:val="009D4FA4"/>
    <w:rsid w:val="009D5793"/>
    <w:rsid w:val="009D5D99"/>
    <w:rsid w:val="009D5DB4"/>
    <w:rsid w:val="009D6817"/>
    <w:rsid w:val="009D6858"/>
    <w:rsid w:val="009D696D"/>
    <w:rsid w:val="009D69E1"/>
    <w:rsid w:val="009D6F54"/>
    <w:rsid w:val="009D70BB"/>
    <w:rsid w:val="009D7E0C"/>
    <w:rsid w:val="009E06BC"/>
    <w:rsid w:val="009E0A64"/>
    <w:rsid w:val="009E0C43"/>
    <w:rsid w:val="009E15E1"/>
    <w:rsid w:val="009E172E"/>
    <w:rsid w:val="009E45F0"/>
    <w:rsid w:val="009E4776"/>
    <w:rsid w:val="009E5069"/>
    <w:rsid w:val="009E51D3"/>
    <w:rsid w:val="009E5C68"/>
    <w:rsid w:val="009E643F"/>
    <w:rsid w:val="009E6547"/>
    <w:rsid w:val="009E692B"/>
    <w:rsid w:val="009E6A7C"/>
    <w:rsid w:val="009E6E53"/>
    <w:rsid w:val="009E75E2"/>
    <w:rsid w:val="009E762B"/>
    <w:rsid w:val="009E7D41"/>
    <w:rsid w:val="009F00B5"/>
    <w:rsid w:val="009F03C8"/>
    <w:rsid w:val="009F03E9"/>
    <w:rsid w:val="009F0422"/>
    <w:rsid w:val="009F14D0"/>
    <w:rsid w:val="009F15C7"/>
    <w:rsid w:val="009F287A"/>
    <w:rsid w:val="009F412D"/>
    <w:rsid w:val="009F43DD"/>
    <w:rsid w:val="009F49DE"/>
    <w:rsid w:val="009F4B1A"/>
    <w:rsid w:val="009F4B97"/>
    <w:rsid w:val="009F50AC"/>
    <w:rsid w:val="009F50FE"/>
    <w:rsid w:val="009F51DD"/>
    <w:rsid w:val="009F5386"/>
    <w:rsid w:val="009F541F"/>
    <w:rsid w:val="009F5A7C"/>
    <w:rsid w:val="009F5DE5"/>
    <w:rsid w:val="009F6428"/>
    <w:rsid w:val="009F66AC"/>
    <w:rsid w:val="009F66C4"/>
    <w:rsid w:val="009F6B16"/>
    <w:rsid w:val="009F6B1D"/>
    <w:rsid w:val="009F78C1"/>
    <w:rsid w:val="009F7AA1"/>
    <w:rsid w:val="009F7B57"/>
    <w:rsid w:val="009F7C2B"/>
    <w:rsid w:val="009F7D75"/>
    <w:rsid w:val="009F7ED3"/>
    <w:rsid w:val="00A00042"/>
    <w:rsid w:val="00A00222"/>
    <w:rsid w:val="00A00610"/>
    <w:rsid w:val="00A0066F"/>
    <w:rsid w:val="00A00800"/>
    <w:rsid w:val="00A00C3A"/>
    <w:rsid w:val="00A00C88"/>
    <w:rsid w:val="00A0118C"/>
    <w:rsid w:val="00A017F0"/>
    <w:rsid w:val="00A01B4D"/>
    <w:rsid w:val="00A02631"/>
    <w:rsid w:val="00A03C42"/>
    <w:rsid w:val="00A045C7"/>
    <w:rsid w:val="00A0471E"/>
    <w:rsid w:val="00A048ED"/>
    <w:rsid w:val="00A04A3F"/>
    <w:rsid w:val="00A05123"/>
    <w:rsid w:val="00A052FA"/>
    <w:rsid w:val="00A0555D"/>
    <w:rsid w:val="00A05B99"/>
    <w:rsid w:val="00A05FBF"/>
    <w:rsid w:val="00A061F1"/>
    <w:rsid w:val="00A06559"/>
    <w:rsid w:val="00A06FF1"/>
    <w:rsid w:val="00A0743F"/>
    <w:rsid w:val="00A07B32"/>
    <w:rsid w:val="00A07C9E"/>
    <w:rsid w:val="00A07E9C"/>
    <w:rsid w:val="00A100A8"/>
    <w:rsid w:val="00A102C3"/>
    <w:rsid w:val="00A10A66"/>
    <w:rsid w:val="00A10B48"/>
    <w:rsid w:val="00A113BD"/>
    <w:rsid w:val="00A114FB"/>
    <w:rsid w:val="00A11566"/>
    <w:rsid w:val="00A11D59"/>
    <w:rsid w:val="00A12D3E"/>
    <w:rsid w:val="00A132F8"/>
    <w:rsid w:val="00A134C4"/>
    <w:rsid w:val="00A14E48"/>
    <w:rsid w:val="00A14ED6"/>
    <w:rsid w:val="00A14F68"/>
    <w:rsid w:val="00A15349"/>
    <w:rsid w:val="00A157B2"/>
    <w:rsid w:val="00A15868"/>
    <w:rsid w:val="00A1598B"/>
    <w:rsid w:val="00A162D1"/>
    <w:rsid w:val="00A16AAE"/>
    <w:rsid w:val="00A1761D"/>
    <w:rsid w:val="00A17681"/>
    <w:rsid w:val="00A20003"/>
    <w:rsid w:val="00A206ED"/>
    <w:rsid w:val="00A20B68"/>
    <w:rsid w:val="00A21B70"/>
    <w:rsid w:val="00A21CCE"/>
    <w:rsid w:val="00A22042"/>
    <w:rsid w:val="00A22991"/>
    <w:rsid w:val="00A22EFD"/>
    <w:rsid w:val="00A234B4"/>
    <w:rsid w:val="00A236DE"/>
    <w:rsid w:val="00A23D2C"/>
    <w:rsid w:val="00A23F9F"/>
    <w:rsid w:val="00A255AC"/>
    <w:rsid w:val="00A25974"/>
    <w:rsid w:val="00A25A67"/>
    <w:rsid w:val="00A25E8E"/>
    <w:rsid w:val="00A25F1D"/>
    <w:rsid w:val="00A2618B"/>
    <w:rsid w:val="00A264D5"/>
    <w:rsid w:val="00A26567"/>
    <w:rsid w:val="00A277D1"/>
    <w:rsid w:val="00A27CAE"/>
    <w:rsid w:val="00A30503"/>
    <w:rsid w:val="00A30D1E"/>
    <w:rsid w:val="00A32230"/>
    <w:rsid w:val="00A32CB4"/>
    <w:rsid w:val="00A33080"/>
    <w:rsid w:val="00A335FE"/>
    <w:rsid w:val="00A34756"/>
    <w:rsid w:val="00A34BDB"/>
    <w:rsid w:val="00A34FC8"/>
    <w:rsid w:val="00A350F8"/>
    <w:rsid w:val="00A35B83"/>
    <w:rsid w:val="00A360AA"/>
    <w:rsid w:val="00A36578"/>
    <w:rsid w:val="00A3745E"/>
    <w:rsid w:val="00A379C5"/>
    <w:rsid w:val="00A37B14"/>
    <w:rsid w:val="00A41C0B"/>
    <w:rsid w:val="00A41D9D"/>
    <w:rsid w:val="00A42C3D"/>
    <w:rsid w:val="00A434BE"/>
    <w:rsid w:val="00A43A71"/>
    <w:rsid w:val="00A443D1"/>
    <w:rsid w:val="00A448EF"/>
    <w:rsid w:val="00A4495E"/>
    <w:rsid w:val="00A44FB5"/>
    <w:rsid w:val="00A44FD7"/>
    <w:rsid w:val="00A45464"/>
    <w:rsid w:val="00A455E7"/>
    <w:rsid w:val="00A46067"/>
    <w:rsid w:val="00A477DC"/>
    <w:rsid w:val="00A47E65"/>
    <w:rsid w:val="00A47F98"/>
    <w:rsid w:val="00A4E93B"/>
    <w:rsid w:val="00A502F9"/>
    <w:rsid w:val="00A504C5"/>
    <w:rsid w:val="00A5078B"/>
    <w:rsid w:val="00A50870"/>
    <w:rsid w:val="00A50CA6"/>
    <w:rsid w:val="00A510F1"/>
    <w:rsid w:val="00A513E8"/>
    <w:rsid w:val="00A517F7"/>
    <w:rsid w:val="00A51CD5"/>
    <w:rsid w:val="00A526B0"/>
    <w:rsid w:val="00A5313A"/>
    <w:rsid w:val="00A5356B"/>
    <w:rsid w:val="00A535F0"/>
    <w:rsid w:val="00A53651"/>
    <w:rsid w:val="00A53727"/>
    <w:rsid w:val="00A54168"/>
    <w:rsid w:val="00A5642D"/>
    <w:rsid w:val="00A56E4D"/>
    <w:rsid w:val="00A57163"/>
    <w:rsid w:val="00A5760F"/>
    <w:rsid w:val="00A57A3D"/>
    <w:rsid w:val="00A57B13"/>
    <w:rsid w:val="00A57ECE"/>
    <w:rsid w:val="00A60879"/>
    <w:rsid w:val="00A60CC7"/>
    <w:rsid w:val="00A60EF9"/>
    <w:rsid w:val="00A612F4"/>
    <w:rsid w:val="00A61B2A"/>
    <w:rsid w:val="00A61E14"/>
    <w:rsid w:val="00A62780"/>
    <w:rsid w:val="00A6279D"/>
    <w:rsid w:val="00A63367"/>
    <w:rsid w:val="00A63D87"/>
    <w:rsid w:val="00A640D1"/>
    <w:rsid w:val="00A64137"/>
    <w:rsid w:val="00A6668D"/>
    <w:rsid w:val="00A66BED"/>
    <w:rsid w:val="00A66EE2"/>
    <w:rsid w:val="00A67103"/>
    <w:rsid w:val="00A70314"/>
    <w:rsid w:val="00A70F22"/>
    <w:rsid w:val="00A715F5"/>
    <w:rsid w:val="00A72145"/>
    <w:rsid w:val="00A72D31"/>
    <w:rsid w:val="00A7341B"/>
    <w:rsid w:val="00A7386A"/>
    <w:rsid w:val="00A738BC"/>
    <w:rsid w:val="00A73946"/>
    <w:rsid w:val="00A73FCB"/>
    <w:rsid w:val="00A74165"/>
    <w:rsid w:val="00A743D5"/>
    <w:rsid w:val="00A7466C"/>
    <w:rsid w:val="00A74A3D"/>
    <w:rsid w:val="00A74FA3"/>
    <w:rsid w:val="00A75A2D"/>
    <w:rsid w:val="00A75A7C"/>
    <w:rsid w:val="00A75CDF"/>
    <w:rsid w:val="00A77C13"/>
    <w:rsid w:val="00A80477"/>
    <w:rsid w:val="00A80526"/>
    <w:rsid w:val="00A806C1"/>
    <w:rsid w:val="00A81458"/>
    <w:rsid w:val="00A8234A"/>
    <w:rsid w:val="00A82BAE"/>
    <w:rsid w:val="00A82FB6"/>
    <w:rsid w:val="00A83227"/>
    <w:rsid w:val="00A8322A"/>
    <w:rsid w:val="00A83806"/>
    <w:rsid w:val="00A838D5"/>
    <w:rsid w:val="00A83A71"/>
    <w:rsid w:val="00A84184"/>
    <w:rsid w:val="00A86775"/>
    <w:rsid w:val="00A86B2B"/>
    <w:rsid w:val="00A8700F"/>
    <w:rsid w:val="00A87EC1"/>
    <w:rsid w:val="00A901B5"/>
    <w:rsid w:val="00A903B5"/>
    <w:rsid w:val="00A90D0B"/>
    <w:rsid w:val="00A90D64"/>
    <w:rsid w:val="00A90D74"/>
    <w:rsid w:val="00A90E66"/>
    <w:rsid w:val="00A919B3"/>
    <w:rsid w:val="00A91A82"/>
    <w:rsid w:val="00A93143"/>
    <w:rsid w:val="00A931AE"/>
    <w:rsid w:val="00A932FC"/>
    <w:rsid w:val="00A9357A"/>
    <w:rsid w:val="00A93674"/>
    <w:rsid w:val="00A9439E"/>
    <w:rsid w:val="00A94627"/>
    <w:rsid w:val="00A94E9E"/>
    <w:rsid w:val="00A95D92"/>
    <w:rsid w:val="00A95E62"/>
    <w:rsid w:val="00A9609A"/>
    <w:rsid w:val="00A9656F"/>
    <w:rsid w:val="00A97013"/>
    <w:rsid w:val="00A9728B"/>
    <w:rsid w:val="00A974BE"/>
    <w:rsid w:val="00A97997"/>
    <w:rsid w:val="00A97A27"/>
    <w:rsid w:val="00A97A39"/>
    <w:rsid w:val="00A97A74"/>
    <w:rsid w:val="00A97E1F"/>
    <w:rsid w:val="00A97F18"/>
    <w:rsid w:val="00A97F7E"/>
    <w:rsid w:val="00AA0427"/>
    <w:rsid w:val="00AA06A6"/>
    <w:rsid w:val="00AA0A48"/>
    <w:rsid w:val="00AA2E26"/>
    <w:rsid w:val="00AA35ED"/>
    <w:rsid w:val="00AA35FF"/>
    <w:rsid w:val="00AA38E1"/>
    <w:rsid w:val="00AA3BF5"/>
    <w:rsid w:val="00AA4476"/>
    <w:rsid w:val="00AA5765"/>
    <w:rsid w:val="00AA59B7"/>
    <w:rsid w:val="00AA6DA5"/>
    <w:rsid w:val="00AB002D"/>
    <w:rsid w:val="00AB0941"/>
    <w:rsid w:val="00AB1157"/>
    <w:rsid w:val="00AB11CB"/>
    <w:rsid w:val="00AB16E7"/>
    <w:rsid w:val="00AB1AC5"/>
    <w:rsid w:val="00AB24A8"/>
    <w:rsid w:val="00AB313D"/>
    <w:rsid w:val="00AB39CD"/>
    <w:rsid w:val="00AB4945"/>
    <w:rsid w:val="00AB583B"/>
    <w:rsid w:val="00AB5C67"/>
    <w:rsid w:val="00AB63C9"/>
    <w:rsid w:val="00AB68D3"/>
    <w:rsid w:val="00AB705D"/>
    <w:rsid w:val="00AB7069"/>
    <w:rsid w:val="00AB70FF"/>
    <w:rsid w:val="00AB7325"/>
    <w:rsid w:val="00AB7609"/>
    <w:rsid w:val="00AB7962"/>
    <w:rsid w:val="00AB7A46"/>
    <w:rsid w:val="00AC011A"/>
    <w:rsid w:val="00AC01C4"/>
    <w:rsid w:val="00AC0551"/>
    <w:rsid w:val="00AC0EBB"/>
    <w:rsid w:val="00AC1997"/>
    <w:rsid w:val="00AC1C3E"/>
    <w:rsid w:val="00AC25B4"/>
    <w:rsid w:val="00AC26C3"/>
    <w:rsid w:val="00AC276D"/>
    <w:rsid w:val="00AC29AA"/>
    <w:rsid w:val="00AC30B2"/>
    <w:rsid w:val="00AC3230"/>
    <w:rsid w:val="00AC36B4"/>
    <w:rsid w:val="00AC3A2C"/>
    <w:rsid w:val="00AC48B4"/>
    <w:rsid w:val="00AC48E5"/>
    <w:rsid w:val="00AC4C61"/>
    <w:rsid w:val="00AC4EF7"/>
    <w:rsid w:val="00AC5C4C"/>
    <w:rsid w:val="00AC60E2"/>
    <w:rsid w:val="00AC75C4"/>
    <w:rsid w:val="00AC7FE8"/>
    <w:rsid w:val="00AD0FDA"/>
    <w:rsid w:val="00AD1124"/>
    <w:rsid w:val="00AD1702"/>
    <w:rsid w:val="00AD18D8"/>
    <w:rsid w:val="00AD1F6B"/>
    <w:rsid w:val="00AD2686"/>
    <w:rsid w:val="00AD2B23"/>
    <w:rsid w:val="00AD3410"/>
    <w:rsid w:val="00AD3457"/>
    <w:rsid w:val="00AD3624"/>
    <w:rsid w:val="00AD3F73"/>
    <w:rsid w:val="00AD4816"/>
    <w:rsid w:val="00AD4A49"/>
    <w:rsid w:val="00AD4BF9"/>
    <w:rsid w:val="00AD4EAC"/>
    <w:rsid w:val="00AD51C0"/>
    <w:rsid w:val="00AD58A5"/>
    <w:rsid w:val="00AD5C7D"/>
    <w:rsid w:val="00AD65C5"/>
    <w:rsid w:val="00AD67F2"/>
    <w:rsid w:val="00AD700E"/>
    <w:rsid w:val="00AD7BB8"/>
    <w:rsid w:val="00AD7ED1"/>
    <w:rsid w:val="00AE04C3"/>
    <w:rsid w:val="00AE10A0"/>
    <w:rsid w:val="00AE205E"/>
    <w:rsid w:val="00AE21D0"/>
    <w:rsid w:val="00AE22C6"/>
    <w:rsid w:val="00AE27BB"/>
    <w:rsid w:val="00AE2FD4"/>
    <w:rsid w:val="00AE2FFB"/>
    <w:rsid w:val="00AE3AB9"/>
    <w:rsid w:val="00AE4B12"/>
    <w:rsid w:val="00AE4CDB"/>
    <w:rsid w:val="00AE4FDA"/>
    <w:rsid w:val="00AE546C"/>
    <w:rsid w:val="00AE56E0"/>
    <w:rsid w:val="00AE6206"/>
    <w:rsid w:val="00AE6998"/>
    <w:rsid w:val="00AE6AF4"/>
    <w:rsid w:val="00AE6C1A"/>
    <w:rsid w:val="00AF0194"/>
    <w:rsid w:val="00AF0268"/>
    <w:rsid w:val="00AF1989"/>
    <w:rsid w:val="00AF263A"/>
    <w:rsid w:val="00AF2674"/>
    <w:rsid w:val="00AF2904"/>
    <w:rsid w:val="00AF291F"/>
    <w:rsid w:val="00AF38B1"/>
    <w:rsid w:val="00AF3A47"/>
    <w:rsid w:val="00AF3CC4"/>
    <w:rsid w:val="00AF3F38"/>
    <w:rsid w:val="00AF40CB"/>
    <w:rsid w:val="00AF4359"/>
    <w:rsid w:val="00AF582E"/>
    <w:rsid w:val="00AF6CE6"/>
    <w:rsid w:val="00AF6E33"/>
    <w:rsid w:val="00B0001A"/>
    <w:rsid w:val="00B00467"/>
    <w:rsid w:val="00B0057B"/>
    <w:rsid w:val="00B01090"/>
    <w:rsid w:val="00B01416"/>
    <w:rsid w:val="00B017E7"/>
    <w:rsid w:val="00B02896"/>
    <w:rsid w:val="00B0290C"/>
    <w:rsid w:val="00B03871"/>
    <w:rsid w:val="00B039E1"/>
    <w:rsid w:val="00B03FF4"/>
    <w:rsid w:val="00B043C0"/>
    <w:rsid w:val="00B0533E"/>
    <w:rsid w:val="00B05700"/>
    <w:rsid w:val="00B0576C"/>
    <w:rsid w:val="00B05EBB"/>
    <w:rsid w:val="00B068E7"/>
    <w:rsid w:val="00B06B49"/>
    <w:rsid w:val="00B0743B"/>
    <w:rsid w:val="00B106C7"/>
    <w:rsid w:val="00B10CA8"/>
    <w:rsid w:val="00B10D04"/>
    <w:rsid w:val="00B11673"/>
    <w:rsid w:val="00B1180E"/>
    <w:rsid w:val="00B12003"/>
    <w:rsid w:val="00B1210F"/>
    <w:rsid w:val="00B124EA"/>
    <w:rsid w:val="00B125F6"/>
    <w:rsid w:val="00B132A2"/>
    <w:rsid w:val="00B1367D"/>
    <w:rsid w:val="00B138D3"/>
    <w:rsid w:val="00B13C4D"/>
    <w:rsid w:val="00B14510"/>
    <w:rsid w:val="00B14DAA"/>
    <w:rsid w:val="00B14FB6"/>
    <w:rsid w:val="00B15256"/>
    <w:rsid w:val="00B15573"/>
    <w:rsid w:val="00B15AFB"/>
    <w:rsid w:val="00B15BBD"/>
    <w:rsid w:val="00B16142"/>
    <w:rsid w:val="00B164FE"/>
    <w:rsid w:val="00B16761"/>
    <w:rsid w:val="00B169D8"/>
    <w:rsid w:val="00B16AD7"/>
    <w:rsid w:val="00B16F46"/>
    <w:rsid w:val="00B17120"/>
    <w:rsid w:val="00B17BB0"/>
    <w:rsid w:val="00B17CC8"/>
    <w:rsid w:val="00B20373"/>
    <w:rsid w:val="00B20559"/>
    <w:rsid w:val="00B20CA9"/>
    <w:rsid w:val="00B20FAB"/>
    <w:rsid w:val="00B219AA"/>
    <w:rsid w:val="00B21DC6"/>
    <w:rsid w:val="00B22641"/>
    <w:rsid w:val="00B22C21"/>
    <w:rsid w:val="00B22F2F"/>
    <w:rsid w:val="00B22F43"/>
    <w:rsid w:val="00B233D9"/>
    <w:rsid w:val="00B2391C"/>
    <w:rsid w:val="00B23A31"/>
    <w:rsid w:val="00B23B57"/>
    <w:rsid w:val="00B25953"/>
    <w:rsid w:val="00B26020"/>
    <w:rsid w:val="00B27166"/>
    <w:rsid w:val="00B27AEE"/>
    <w:rsid w:val="00B27B2F"/>
    <w:rsid w:val="00B27B3B"/>
    <w:rsid w:val="00B27CE9"/>
    <w:rsid w:val="00B27DF8"/>
    <w:rsid w:val="00B30B3E"/>
    <w:rsid w:val="00B30E12"/>
    <w:rsid w:val="00B316E0"/>
    <w:rsid w:val="00B3260F"/>
    <w:rsid w:val="00B3278A"/>
    <w:rsid w:val="00B32E23"/>
    <w:rsid w:val="00B32F47"/>
    <w:rsid w:val="00B331B5"/>
    <w:rsid w:val="00B331B7"/>
    <w:rsid w:val="00B33A2E"/>
    <w:rsid w:val="00B341C2"/>
    <w:rsid w:val="00B344B2"/>
    <w:rsid w:val="00B3450B"/>
    <w:rsid w:val="00B34BE6"/>
    <w:rsid w:val="00B34D21"/>
    <w:rsid w:val="00B350A4"/>
    <w:rsid w:val="00B353C9"/>
    <w:rsid w:val="00B3584A"/>
    <w:rsid w:val="00B367BC"/>
    <w:rsid w:val="00B36A63"/>
    <w:rsid w:val="00B3741C"/>
    <w:rsid w:val="00B37867"/>
    <w:rsid w:val="00B37CFD"/>
    <w:rsid w:val="00B37F44"/>
    <w:rsid w:val="00B37FDB"/>
    <w:rsid w:val="00B404A9"/>
    <w:rsid w:val="00B406B9"/>
    <w:rsid w:val="00B40D68"/>
    <w:rsid w:val="00B41050"/>
    <w:rsid w:val="00B41908"/>
    <w:rsid w:val="00B41FD8"/>
    <w:rsid w:val="00B420A6"/>
    <w:rsid w:val="00B42CCC"/>
    <w:rsid w:val="00B438F5"/>
    <w:rsid w:val="00B43B68"/>
    <w:rsid w:val="00B43BF7"/>
    <w:rsid w:val="00B44B1E"/>
    <w:rsid w:val="00B4557D"/>
    <w:rsid w:val="00B45789"/>
    <w:rsid w:val="00B45F6C"/>
    <w:rsid w:val="00B46629"/>
    <w:rsid w:val="00B46A36"/>
    <w:rsid w:val="00B47082"/>
    <w:rsid w:val="00B47209"/>
    <w:rsid w:val="00B47770"/>
    <w:rsid w:val="00B50BD2"/>
    <w:rsid w:val="00B51435"/>
    <w:rsid w:val="00B5191C"/>
    <w:rsid w:val="00B5198E"/>
    <w:rsid w:val="00B51FFC"/>
    <w:rsid w:val="00B52545"/>
    <w:rsid w:val="00B525F3"/>
    <w:rsid w:val="00B52E6E"/>
    <w:rsid w:val="00B53762"/>
    <w:rsid w:val="00B54CD8"/>
    <w:rsid w:val="00B54E01"/>
    <w:rsid w:val="00B552AA"/>
    <w:rsid w:val="00B55715"/>
    <w:rsid w:val="00B56BD9"/>
    <w:rsid w:val="00B57272"/>
    <w:rsid w:val="00B579CC"/>
    <w:rsid w:val="00B57F42"/>
    <w:rsid w:val="00B6043D"/>
    <w:rsid w:val="00B6056A"/>
    <w:rsid w:val="00B60760"/>
    <w:rsid w:val="00B614A2"/>
    <w:rsid w:val="00B61B09"/>
    <w:rsid w:val="00B61BBD"/>
    <w:rsid w:val="00B61D42"/>
    <w:rsid w:val="00B622E0"/>
    <w:rsid w:val="00B6251A"/>
    <w:rsid w:val="00B62D83"/>
    <w:rsid w:val="00B62DE2"/>
    <w:rsid w:val="00B62E95"/>
    <w:rsid w:val="00B62FBC"/>
    <w:rsid w:val="00B632E3"/>
    <w:rsid w:val="00B6459F"/>
    <w:rsid w:val="00B64E57"/>
    <w:rsid w:val="00B65604"/>
    <w:rsid w:val="00B65A64"/>
    <w:rsid w:val="00B65BDB"/>
    <w:rsid w:val="00B65DDF"/>
    <w:rsid w:val="00B65F58"/>
    <w:rsid w:val="00B6626B"/>
    <w:rsid w:val="00B6645E"/>
    <w:rsid w:val="00B66538"/>
    <w:rsid w:val="00B669B6"/>
    <w:rsid w:val="00B67503"/>
    <w:rsid w:val="00B70446"/>
    <w:rsid w:val="00B70754"/>
    <w:rsid w:val="00B71395"/>
    <w:rsid w:val="00B71F19"/>
    <w:rsid w:val="00B7207B"/>
    <w:rsid w:val="00B7215B"/>
    <w:rsid w:val="00B725D4"/>
    <w:rsid w:val="00B72CD6"/>
    <w:rsid w:val="00B7336F"/>
    <w:rsid w:val="00B74D82"/>
    <w:rsid w:val="00B75176"/>
    <w:rsid w:val="00B7575E"/>
    <w:rsid w:val="00B7588B"/>
    <w:rsid w:val="00B76958"/>
    <w:rsid w:val="00B777DB"/>
    <w:rsid w:val="00B77CA0"/>
    <w:rsid w:val="00B77DF2"/>
    <w:rsid w:val="00B800C3"/>
    <w:rsid w:val="00B80800"/>
    <w:rsid w:val="00B808A6"/>
    <w:rsid w:val="00B80B5C"/>
    <w:rsid w:val="00B80C7C"/>
    <w:rsid w:val="00B80FB9"/>
    <w:rsid w:val="00B810DE"/>
    <w:rsid w:val="00B82A10"/>
    <w:rsid w:val="00B82CC0"/>
    <w:rsid w:val="00B83137"/>
    <w:rsid w:val="00B831E1"/>
    <w:rsid w:val="00B833F4"/>
    <w:rsid w:val="00B8347F"/>
    <w:rsid w:val="00B834E1"/>
    <w:rsid w:val="00B83643"/>
    <w:rsid w:val="00B83ECD"/>
    <w:rsid w:val="00B8422C"/>
    <w:rsid w:val="00B8469E"/>
    <w:rsid w:val="00B84B30"/>
    <w:rsid w:val="00B84C42"/>
    <w:rsid w:val="00B84FD1"/>
    <w:rsid w:val="00B856E4"/>
    <w:rsid w:val="00B861EB"/>
    <w:rsid w:val="00B866FE"/>
    <w:rsid w:val="00B86FAB"/>
    <w:rsid w:val="00B87663"/>
    <w:rsid w:val="00B900A0"/>
    <w:rsid w:val="00B9107F"/>
    <w:rsid w:val="00B91973"/>
    <w:rsid w:val="00B920C6"/>
    <w:rsid w:val="00B923A0"/>
    <w:rsid w:val="00B92D76"/>
    <w:rsid w:val="00B92D8D"/>
    <w:rsid w:val="00B92F2F"/>
    <w:rsid w:val="00B93275"/>
    <w:rsid w:val="00B93418"/>
    <w:rsid w:val="00B93593"/>
    <w:rsid w:val="00B935E0"/>
    <w:rsid w:val="00B93ECB"/>
    <w:rsid w:val="00B945EC"/>
    <w:rsid w:val="00B9545E"/>
    <w:rsid w:val="00B95523"/>
    <w:rsid w:val="00B96501"/>
    <w:rsid w:val="00B965DE"/>
    <w:rsid w:val="00B96672"/>
    <w:rsid w:val="00B970C3"/>
    <w:rsid w:val="00B971F7"/>
    <w:rsid w:val="00B97F39"/>
    <w:rsid w:val="00B98268"/>
    <w:rsid w:val="00B9B301"/>
    <w:rsid w:val="00BA006D"/>
    <w:rsid w:val="00BA1351"/>
    <w:rsid w:val="00BA2254"/>
    <w:rsid w:val="00BA2747"/>
    <w:rsid w:val="00BA2CCC"/>
    <w:rsid w:val="00BA2E48"/>
    <w:rsid w:val="00BA3A67"/>
    <w:rsid w:val="00BA40BA"/>
    <w:rsid w:val="00BA467D"/>
    <w:rsid w:val="00BA4DD4"/>
    <w:rsid w:val="00BA5A62"/>
    <w:rsid w:val="00BA5E12"/>
    <w:rsid w:val="00BA5E64"/>
    <w:rsid w:val="00BA6615"/>
    <w:rsid w:val="00BA670C"/>
    <w:rsid w:val="00BA69A5"/>
    <w:rsid w:val="00BA6BF4"/>
    <w:rsid w:val="00BA7374"/>
    <w:rsid w:val="00BA7619"/>
    <w:rsid w:val="00BB0055"/>
    <w:rsid w:val="00BB0365"/>
    <w:rsid w:val="00BB1163"/>
    <w:rsid w:val="00BB11AE"/>
    <w:rsid w:val="00BB15AC"/>
    <w:rsid w:val="00BB1D72"/>
    <w:rsid w:val="00BB1F9D"/>
    <w:rsid w:val="00BB2442"/>
    <w:rsid w:val="00BB2DD3"/>
    <w:rsid w:val="00BB2E39"/>
    <w:rsid w:val="00BB3781"/>
    <w:rsid w:val="00BB387A"/>
    <w:rsid w:val="00BB394D"/>
    <w:rsid w:val="00BB3E0F"/>
    <w:rsid w:val="00BB5471"/>
    <w:rsid w:val="00BB5C32"/>
    <w:rsid w:val="00BB5C81"/>
    <w:rsid w:val="00BB6AEA"/>
    <w:rsid w:val="00BB6BC4"/>
    <w:rsid w:val="00BB6F5C"/>
    <w:rsid w:val="00BB796D"/>
    <w:rsid w:val="00BB7E1C"/>
    <w:rsid w:val="00BC1970"/>
    <w:rsid w:val="00BC1978"/>
    <w:rsid w:val="00BC1AE8"/>
    <w:rsid w:val="00BC3375"/>
    <w:rsid w:val="00BC37A2"/>
    <w:rsid w:val="00BC3B53"/>
    <w:rsid w:val="00BC3E9C"/>
    <w:rsid w:val="00BC4488"/>
    <w:rsid w:val="00BC4961"/>
    <w:rsid w:val="00BC5171"/>
    <w:rsid w:val="00BC5436"/>
    <w:rsid w:val="00BC5617"/>
    <w:rsid w:val="00BC5646"/>
    <w:rsid w:val="00BC573D"/>
    <w:rsid w:val="00BC58DC"/>
    <w:rsid w:val="00BC5C5D"/>
    <w:rsid w:val="00BC5CD1"/>
    <w:rsid w:val="00BC699C"/>
    <w:rsid w:val="00BC6B14"/>
    <w:rsid w:val="00BC6C2D"/>
    <w:rsid w:val="00BC6CC8"/>
    <w:rsid w:val="00BC6F5C"/>
    <w:rsid w:val="00BC7316"/>
    <w:rsid w:val="00BC7569"/>
    <w:rsid w:val="00BC765E"/>
    <w:rsid w:val="00BC77DF"/>
    <w:rsid w:val="00BD0334"/>
    <w:rsid w:val="00BD0D45"/>
    <w:rsid w:val="00BD109E"/>
    <w:rsid w:val="00BD159B"/>
    <w:rsid w:val="00BD159C"/>
    <w:rsid w:val="00BD1B9F"/>
    <w:rsid w:val="00BD27BA"/>
    <w:rsid w:val="00BD4B34"/>
    <w:rsid w:val="00BD5B77"/>
    <w:rsid w:val="00BD6697"/>
    <w:rsid w:val="00BD69EE"/>
    <w:rsid w:val="00BE0070"/>
    <w:rsid w:val="00BE07B3"/>
    <w:rsid w:val="00BE144B"/>
    <w:rsid w:val="00BE16E3"/>
    <w:rsid w:val="00BE1A37"/>
    <w:rsid w:val="00BE1B88"/>
    <w:rsid w:val="00BE1C1A"/>
    <w:rsid w:val="00BE1CFB"/>
    <w:rsid w:val="00BE1F66"/>
    <w:rsid w:val="00BE22A4"/>
    <w:rsid w:val="00BE2E8B"/>
    <w:rsid w:val="00BE304C"/>
    <w:rsid w:val="00BE333B"/>
    <w:rsid w:val="00BE50C2"/>
    <w:rsid w:val="00BE52AA"/>
    <w:rsid w:val="00BE58E7"/>
    <w:rsid w:val="00BE5F16"/>
    <w:rsid w:val="00BE617B"/>
    <w:rsid w:val="00BE6346"/>
    <w:rsid w:val="00BE63A8"/>
    <w:rsid w:val="00BE6744"/>
    <w:rsid w:val="00BE67CB"/>
    <w:rsid w:val="00BE68F6"/>
    <w:rsid w:val="00BE7867"/>
    <w:rsid w:val="00BE7C02"/>
    <w:rsid w:val="00BF00AA"/>
    <w:rsid w:val="00BF0398"/>
    <w:rsid w:val="00BF071D"/>
    <w:rsid w:val="00BF1A24"/>
    <w:rsid w:val="00BF1B51"/>
    <w:rsid w:val="00BF1CE6"/>
    <w:rsid w:val="00BF222F"/>
    <w:rsid w:val="00BF29E8"/>
    <w:rsid w:val="00BF2AC6"/>
    <w:rsid w:val="00BF3A14"/>
    <w:rsid w:val="00BF3DE4"/>
    <w:rsid w:val="00BF420E"/>
    <w:rsid w:val="00BF4772"/>
    <w:rsid w:val="00BF4E60"/>
    <w:rsid w:val="00BF4E6F"/>
    <w:rsid w:val="00BF542D"/>
    <w:rsid w:val="00BF5CA0"/>
    <w:rsid w:val="00BF5DF8"/>
    <w:rsid w:val="00BF5E84"/>
    <w:rsid w:val="00BF6142"/>
    <w:rsid w:val="00BF6150"/>
    <w:rsid w:val="00BF6598"/>
    <w:rsid w:val="00BF68AA"/>
    <w:rsid w:val="00C00047"/>
    <w:rsid w:val="00C00BFC"/>
    <w:rsid w:val="00C0123D"/>
    <w:rsid w:val="00C01618"/>
    <w:rsid w:val="00C01791"/>
    <w:rsid w:val="00C017A8"/>
    <w:rsid w:val="00C039AC"/>
    <w:rsid w:val="00C04108"/>
    <w:rsid w:val="00C04F35"/>
    <w:rsid w:val="00C058E1"/>
    <w:rsid w:val="00C06491"/>
    <w:rsid w:val="00C06E72"/>
    <w:rsid w:val="00C07116"/>
    <w:rsid w:val="00C0737A"/>
    <w:rsid w:val="00C0748B"/>
    <w:rsid w:val="00C076C7"/>
    <w:rsid w:val="00C10373"/>
    <w:rsid w:val="00C112C4"/>
    <w:rsid w:val="00C1132C"/>
    <w:rsid w:val="00C11C26"/>
    <w:rsid w:val="00C11D7E"/>
    <w:rsid w:val="00C11DCC"/>
    <w:rsid w:val="00C124EB"/>
    <w:rsid w:val="00C13FD6"/>
    <w:rsid w:val="00C14044"/>
    <w:rsid w:val="00C142D0"/>
    <w:rsid w:val="00C14466"/>
    <w:rsid w:val="00C145B3"/>
    <w:rsid w:val="00C155A2"/>
    <w:rsid w:val="00C15609"/>
    <w:rsid w:val="00C16862"/>
    <w:rsid w:val="00C16C20"/>
    <w:rsid w:val="00C20333"/>
    <w:rsid w:val="00C20F5E"/>
    <w:rsid w:val="00C214FA"/>
    <w:rsid w:val="00C21654"/>
    <w:rsid w:val="00C217E8"/>
    <w:rsid w:val="00C224A8"/>
    <w:rsid w:val="00C22DFC"/>
    <w:rsid w:val="00C2304D"/>
    <w:rsid w:val="00C23097"/>
    <w:rsid w:val="00C2311F"/>
    <w:rsid w:val="00C235AE"/>
    <w:rsid w:val="00C23712"/>
    <w:rsid w:val="00C24268"/>
    <w:rsid w:val="00C25906"/>
    <w:rsid w:val="00C25A6A"/>
    <w:rsid w:val="00C25D24"/>
    <w:rsid w:val="00C26070"/>
    <w:rsid w:val="00C265A0"/>
    <w:rsid w:val="00C26F62"/>
    <w:rsid w:val="00C2752B"/>
    <w:rsid w:val="00C30CB1"/>
    <w:rsid w:val="00C31304"/>
    <w:rsid w:val="00C314C8"/>
    <w:rsid w:val="00C315D2"/>
    <w:rsid w:val="00C322D7"/>
    <w:rsid w:val="00C322DD"/>
    <w:rsid w:val="00C325B0"/>
    <w:rsid w:val="00C32951"/>
    <w:rsid w:val="00C32EF5"/>
    <w:rsid w:val="00C32EFD"/>
    <w:rsid w:val="00C330E2"/>
    <w:rsid w:val="00C34937"/>
    <w:rsid w:val="00C34E55"/>
    <w:rsid w:val="00C35172"/>
    <w:rsid w:val="00C356DA"/>
    <w:rsid w:val="00C35AD5"/>
    <w:rsid w:val="00C35C5B"/>
    <w:rsid w:val="00C35FF2"/>
    <w:rsid w:val="00C36383"/>
    <w:rsid w:val="00C36693"/>
    <w:rsid w:val="00C36B88"/>
    <w:rsid w:val="00C376FC"/>
    <w:rsid w:val="00C3782F"/>
    <w:rsid w:val="00C37AEE"/>
    <w:rsid w:val="00C40A21"/>
    <w:rsid w:val="00C40A9D"/>
    <w:rsid w:val="00C40E42"/>
    <w:rsid w:val="00C41243"/>
    <w:rsid w:val="00C41941"/>
    <w:rsid w:val="00C41ED9"/>
    <w:rsid w:val="00C422D5"/>
    <w:rsid w:val="00C423AF"/>
    <w:rsid w:val="00C4293A"/>
    <w:rsid w:val="00C42C83"/>
    <w:rsid w:val="00C42D12"/>
    <w:rsid w:val="00C4339D"/>
    <w:rsid w:val="00C438BA"/>
    <w:rsid w:val="00C43A5D"/>
    <w:rsid w:val="00C43F89"/>
    <w:rsid w:val="00C44132"/>
    <w:rsid w:val="00C44366"/>
    <w:rsid w:val="00C44B8E"/>
    <w:rsid w:val="00C45647"/>
    <w:rsid w:val="00C45885"/>
    <w:rsid w:val="00C45957"/>
    <w:rsid w:val="00C45D87"/>
    <w:rsid w:val="00C45E43"/>
    <w:rsid w:val="00C46086"/>
    <w:rsid w:val="00C46947"/>
    <w:rsid w:val="00C46E85"/>
    <w:rsid w:val="00C471CA"/>
    <w:rsid w:val="00C477B7"/>
    <w:rsid w:val="00C520AF"/>
    <w:rsid w:val="00C5377A"/>
    <w:rsid w:val="00C53EB4"/>
    <w:rsid w:val="00C53F9B"/>
    <w:rsid w:val="00C54237"/>
    <w:rsid w:val="00C542FA"/>
    <w:rsid w:val="00C54519"/>
    <w:rsid w:val="00C54597"/>
    <w:rsid w:val="00C546B9"/>
    <w:rsid w:val="00C5473A"/>
    <w:rsid w:val="00C54C3C"/>
    <w:rsid w:val="00C54D12"/>
    <w:rsid w:val="00C54D55"/>
    <w:rsid w:val="00C5505C"/>
    <w:rsid w:val="00C550D4"/>
    <w:rsid w:val="00C55A74"/>
    <w:rsid w:val="00C56A02"/>
    <w:rsid w:val="00C56BD5"/>
    <w:rsid w:val="00C57034"/>
    <w:rsid w:val="00C570B6"/>
    <w:rsid w:val="00C60813"/>
    <w:rsid w:val="00C617FD"/>
    <w:rsid w:val="00C61AA7"/>
    <w:rsid w:val="00C61C46"/>
    <w:rsid w:val="00C61F36"/>
    <w:rsid w:val="00C62206"/>
    <w:rsid w:val="00C62310"/>
    <w:rsid w:val="00C62A03"/>
    <w:rsid w:val="00C62CC1"/>
    <w:rsid w:val="00C63056"/>
    <w:rsid w:val="00C635E5"/>
    <w:rsid w:val="00C63B50"/>
    <w:rsid w:val="00C63B57"/>
    <w:rsid w:val="00C63B93"/>
    <w:rsid w:val="00C63D50"/>
    <w:rsid w:val="00C642B0"/>
    <w:rsid w:val="00C64354"/>
    <w:rsid w:val="00C643C7"/>
    <w:rsid w:val="00C6441D"/>
    <w:rsid w:val="00C6443A"/>
    <w:rsid w:val="00C64995"/>
    <w:rsid w:val="00C64D26"/>
    <w:rsid w:val="00C651D5"/>
    <w:rsid w:val="00C65247"/>
    <w:rsid w:val="00C670D8"/>
    <w:rsid w:val="00C67113"/>
    <w:rsid w:val="00C7033D"/>
    <w:rsid w:val="00C70811"/>
    <w:rsid w:val="00C70DE6"/>
    <w:rsid w:val="00C70E02"/>
    <w:rsid w:val="00C70EAA"/>
    <w:rsid w:val="00C71866"/>
    <w:rsid w:val="00C71925"/>
    <w:rsid w:val="00C71BFB"/>
    <w:rsid w:val="00C72076"/>
    <w:rsid w:val="00C72A81"/>
    <w:rsid w:val="00C72AF2"/>
    <w:rsid w:val="00C73F56"/>
    <w:rsid w:val="00C73F62"/>
    <w:rsid w:val="00C74D3E"/>
    <w:rsid w:val="00C74DE1"/>
    <w:rsid w:val="00C75620"/>
    <w:rsid w:val="00C7573B"/>
    <w:rsid w:val="00C75965"/>
    <w:rsid w:val="00C75A62"/>
    <w:rsid w:val="00C761DA"/>
    <w:rsid w:val="00C800BA"/>
    <w:rsid w:val="00C80479"/>
    <w:rsid w:val="00C81DEC"/>
    <w:rsid w:val="00C822A7"/>
    <w:rsid w:val="00C82731"/>
    <w:rsid w:val="00C837FF"/>
    <w:rsid w:val="00C83D56"/>
    <w:rsid w:val="00C844CE"/>
    <w:rsid w:val="00C846F3"/>
    <w:rsid w:val="00C848E4"/>
    <w:rsid w:val="00C84BA2"/>
    <w:rsid w:val="00C85A54"/>
    <w:rsid w:val="00C86024"/>
    <w:rsid w:val="00C861AB"/>
    <w:rsid w:val="00C863CE"/>
    <w:rsid w:val="00C86521"/>
    <w:rsid w:val="00C87424"/>
    <w:rsid w:val="00C87626"/>
    <w:rsid w:val="00C87C08"/>
    <w:rsid w:val="00C87D84"/>
    <w:rsid w:val="00C90C6D"/>
    <w:rsid w:val="00C91B14"/>
    <w:rsid w:val="00C91C2D"/>
    <w:rsid w:val="00C92254"/>
    <w:rsid w:val="00C92681"/>
    <w:rsid w:val="00C927E1"/>
    <w:rsid w:val="00C92840"/>
    <w:rsid w:val="00C92BBF"/>
    <w:rsid w:val="00C92D11"/>
    <w:rsid w:val="00C92D7C"/>
    <w:rsid w:val="00C9386D"/>
    <w:rsid w:val="00C93BF6"/>
    <w:rsid w:val="00C942B9"/>
    <w:rsid w:val="00C94474"/>
    <w:rsid w:val="00C94DE3"/>
    <w:rsid w:val="00C94F74"/>
    <w:rsid w:val="00C9571A"/>
    <w:rsid w:val="00C95A3C"/>
    <w:rsid w:val="00C95BE3"/>
    <w:rsid w:val="00C95BED"/>
    <w:rsid w:val="00C97703"/>
    <w:rsid w:val="00C97C0A"/>
    <w:rsid w:val="00C97CE0"/>
    <w:rsid w:val="00C97E87"/>
    <w:rsid w:val="00CA006C"/>
    <w:rsid w:val="00CA00AE"/>
    <w:rsid w:val="00CA02F4"/>
    <w:rsid w:val="00CA0803"/>
    <w:rsid w:val="00CA10BD"/>
    <w:rsid w:val="00CA112B"/>
    <w:rsid w:val="00CA1247"/>
    <w:rsid w:val="00CA1493"/>
    <w:rsid w:val="00CA162D"/>
    <w:rsid w:val="00CA1EF5"/>
    <w:rsid w:val="00CA2167"/>
    <w:rsid w:val="00CA2369"/>
    <w:rsid w:val="00CA2D71"/>
    <w:rsid w:val="00CA2DDA"/>
    <w:rsid w:val="00CA3216"/>
    <w:rsid w:val="00CA364E"/>
    <w:rsid w:val="00CA396A"/>
    <w:rsid w:val="00CA3997"/>
    <w:rsid w:val="00CA3BEA"/>
    <w:rsid w:val="00CA3ED5"/>
    <w:rsid w:val="00CA446F"/>
    <w:rsid w:val="00CA460B"/>
    <w:rsid w:val="00CA4C68"/>
    <w:rsid w:val="00CA50C7"/>
    <w:rsid w:val="00CA567A"/>
    <w:rsid w:val="00CA5A49"/>
    <w:rsid w:val="00CA5AE8"/>
    <w:rsid w:val="00CA5F65"/>
    <w:rsid w:val="00CA6AA6"/>
    <w:rsid w:val="00CA6AFC"/>
    <w:rsid w:val="00CA6D87"/>
    <w:rsid w:val="00CA6E8E"/>
    <w:rsid w:val="00CA6F0B"/>
    <w:rsid w:val="00CA73D2"/>
    <w:rsid w:val="00CA763D"/>
    <w:rsid w:val="00CA7A91"/>
    <w:rsid w:val="00CA7F54"/>
    <w:rsid w:val="00CB0010"/>
    <w:rsid w:val="00CB02E5"/>
    <w:rsid w:val="00CB08EA"/>
    <w:rsid w:val="00CB10DE"/>
    <w:rsid w:val="00CB17FA"/>
    <w:rsid w:val="00CB23B5"/>
    <w:rsid w:val="00CB2A83"/>
    <w:rsid w:val="00CB3999"/>
    <w:rsid w:val="00CB40C2"/>
    <w:rsid w:val="00CB411B"/>
    <w:rsid w:val="00CB4250"/>
    <w:rsid w:val="00CB442A"/>
    <w:rsid w:val="00CB498B"/>
    <w:rsid w:val="00CB50A4"/>
    <w:rsid w:val="00CB533A"/>
    <w:rsid w:val="00CB5703"/>
    <w:rsid w:val="00CB7A80"/>
    <w:rsid w:val="00CC035E"/>
    <w:rsid w:val="00CC0744"/>
    <w:rsid w:val="00CC0961"/>
    <w:rsid w:val="00CC0A27"/>
    <w:rsid w:val="00CC1A06"/>
    <w:rsid w:val="00CC1D9D"/>
    <w:rsid w:val="00CC2889"/>
    <w:rsid w:val="00CC2A54"/>
    <w:rsid w:val="00CC2B01"/>
    <w:rsid w:val="00CC3ED3"/>
    <w:rsid w:val="00CC4A01"/>
    <w:rsid w:val="00CC568F"/>
    <w:rsid w:val="00CC5D78"/>
    <w:rsid w:val="00CC6368"/>
    <w:rsid w:val="00CC641D"/>
    <w:rsid w:val="00CC664F"/>
    <w:rsid w:val="00CC6BC3"/>
    <w:rsid w:val="00CC6C30"/>
    <w:rsid w:val="00CD0C87"/>
    <w:rsid w:val="00CD0F32"/>
    <w:rsid w:val="00CD143F"/>
    <w:rsid w:val="00CD160D"/>
    <w:rsid w:val="00CD1B26"/>
    <w:rsid w:val="00CD22E9"/>
    <w:rsid w:val="00CD2367"/>
    <w:rsid w:val="00CD2381"/>
    <w:rsid w:val="00CD2DB6"/>
    <w:rsid w:val="00CD325F"/>
    <w:rsid w:val="00CD3434"/>
    <w:rsid w:val="00CD34AC"/>
    <w:rsid w:val="00CD379D"/>
    <w:rsid w:val="00CD39A3"/>
    <w:rsid w:val="00CD3A25"/>
    <w:rsid w:val="00CD3DCD"/>
    <w:rsid w:val="00CD3F42"/>
    <w:rsid w:val="00CD440C"/>
    <w:rsid w:val="00CD46DD"/>
    <w:rsid w:val="00CD51C5"/>
    <w:rsid w:val="00CD52A6"/>
    <w:rsid w:val="00CD66C2"/>
    <w:rsid w:val="00CD6BF6"/>
    <w:rsid w:val="00CD7176"/>
    <w:rsid w:val="00CD728A"/>
    <w:rsid w:val="00CE047D"/>
    <w:rsid w:val="00CE151B"/>
    <w:rsid w:val="00CE18FF"/>
    <w:rsid w:val="00CE2388"/>
    <w:rsid w:val="00CE2AD3"/>
    <w:rsid w:val="00CE2ED6"/>
    <w:rsid w:val="00CE39FF"/>
    <w:rsid w:val="00CE3BAD"/>
    <w:rsid w:val="00CE41BE"/>
    <w:rsid w:val="00CE44D0"/>
    <w:rsid w:val="00CE4619"/>
    <w:rsid w:val="00CE4ED9"/>
    <w:rsid w:val="00CE51F3"/>
    <w:rsid w:val="00CE5798"/>
    <w:rsid w:val="00CE7215"/>
    <w:rsid w:val="00CE740B"/>
    <w:rsid w:val="00CE74F6"/>
    <w:rsid w:val="00CE7EED"/>
    <w:rsid w:val="00CF0BD4"/>
    <w:rsid w:val="00CF0E40"/>
    <w:rsid w:val="00CF12E6"/>
    <w:rsid w:val="00CF273E"/>
    <w:rsid w:val="00CF2C65"/>
    <w:rsid w:val="00CF387B"/>
    <w:rsid w:val="00CF3D9E"/>
    <w:rsid w:val="00CF4686"/>
    <w:rsid w:val="00CF4A1E"/>
    <w:rsid w:val="00CF4AB9"/>
    <w:rsid w:val="00CF4B4F"/>
    <w:rsid w:val="00CF4C06"/>
    <w:rsid w:val="00CF53C6"/>
    <w:rsid w:val="00CF65B8"/>
    <w:rsid w:val="00CF6718"/>
    <w:rsid w:val="00CF6899"/>
    <w:rsid w:val="00CF691B"/>
    <w:rsid w:val="00CF6A6C"/>
    <w:rsid w:val="00CF6DA2"/>
    <w:rsid w:val="00CF6FB7"/>
    <w:rsid w:val="00CF73D8"/>
    <w:rsid w:val="00CF7946"/>
    <w:rsid w:val="00D00AF2"/>
    <w:rsid w:val="00D01033"/>
    <w:rsid w:val="00D01816"/>
    <w:rsid w:val="00D01AB4"/>
    <w:rsid w:val="00D022DB"/>
    <w:rsid w:val="00D02CB8"/>
    <w:rsid w:val="00D035D3"/>
    <w:rsid w:val="00D0426B"/>
    <w:rsid w:val="00D04A00"/>
    <w:rsid w:val="00D04C93"/>
    <w:rsid w:val="00D053B4"/>
    <w:rsid w:val="00D05492"/>
    <w:rsid w:val="00D0596E"/>
    <w:rsid w:val="00D05E02"/>
    <w:rsid w:val="00D06300"/>
    <w:rsid w:val="00D06EE9"/>
    <w:rsid w:val="00D071C4"/>
    <w:rsid w:val="00D07562"/>
    <w:rsid w:val="00D07585"/>
    <w:rsid w:val="00D07A12"/>
    <w:rsid w:val="00D07A15"/>
    <w:rsid w:val="00D10FB5"/>
    <w:rsid w:val="00D111D4"/>
    <w:rsid w:val="00D11844"/>
    <w:rsid w:val="00D11B08"/>
    <w:rsid w:val="00D1271B"/>
    <w:rsid w:val="00D13088"/>
    <w:rsid w:val="00D13A18"/>
    <w:rsid w:val="00D13F13"/>
    <w:rsid w:val="00D14541"/>
    <w:rsid w:val="00D145BB"/>
    <w:rsid w:val="00D14686"/>
    <w:rsid w:val="00D14863"/>
    <w:rsid w:val="00D14A59"/>
    <w:rsid w:val="00D14E6B"/>
    <w:rsid w:val="00D151A9"/>
    <w:rsid w:val="00D15986"/>
    <w:rsid w:val="00D15AD9"/>
    <w:rsid w:val="00D15AFD"/>
    <w:rsid w:val="00D1688D"/>
    <w:rsid w:val="00D17739"/>
    <w:rsid w:val="00D17D50"/>
    <w:rsid w:val="00D20F89"/>
    <w:rsid w:val="00D2114D"/>
    <w:rsid w:val="00D2138D"/>
    <w:rsid w:val="00D2154B"/>
    <w:rsid w:val="00D2203F"/>
    <w:rsid w:val="00D22454"/>
    <w:rsid w:val="00D224D0"/>
    <w:rsid w:val="00D238E3"/>
    <w:rsid w:val="00D23F34"/>
    <w:rsid w:val="00D2428B"/>
    <w:rsid w:val="00D242E8"/>
    <w:rsid w:val="00D24AE4"/>
    <w:rsid w:val="00D253BC"/>
    <w:rsid w:val="00D25B7F"/>
    <w:rsid w:val="00D26782"/>
    <w:rsid w:val="00D26AC0"/>
    <w:rsid w:val="00D26BA7"/>
    <w:rsid w:val="00D26F32"/>
    <w:rsid w:val="00D27875"/>
    <w:rsid w:val="00D27A24"/>
    <w:rsid w:val="00D27BA1"/>
    <w:rsid w:val="00D27D5D"/>
    <w:rsid w:val="00D312CB"/>
    <w:rsid w:val="00D315B7"/>
    <w:rsid w:val="00D3196C"/>
    <w:rsid w:val="00D32055"/>
    <w:rsid w:val="00D323F5"/>
    <w:rsid w:val="00D3299B"/>
    <w:rsid w:val="00D332D5"/>
    <w:rsid w:val="00D33988"/>
    <w:rsid w:val="00D33CDF"/>
    <w:rsid w:val="00D3435F"/>
    <w:rsid w:val="00D34405"/>
    <w:rsid w:val="00D3453D"/>
    <w:rsid w:val="00D348C9"/>
    <w:rsid w:val="00D34B5D"/>
    <w:rsid w:val="00D34F2A"/>
    <w:rsid w:val="00D35090"/>
    <w:rsid w:val="00D35559"/>
    <w:rsid w:val="00D35948"/>
    <w:rsid w:val="00D36834"/>
    <w:rsid w:val="00D36F95"/>
    <w:rsid w:val="00D370D9"/>
    <w:rsid w:val="00D3775C"/>
    <w:rsid w:val="00D37E3B"/>
    <w:rsid w:val="00D3C384"/>
    <w:rsid w:val="00D40738"/>
    <w:rsid w:val="00D40B79"/>
    <w:rsid w:val="00D40BCA"/>
    <w:rsid w:val="00D41026"/>
    <w:rsid w:val="00D41319"/>
    <w:rsid w:val="00D417F1"/>
    <w:rsid w:val="00D41AED"/>
    <w:rsid w:val="00D41ED9"/>
    <w:rsid w:val="00D429E1"/>
    <w:rsid w:val="00D42CDB"/>
    <w:rsid w:val="00D431ED"/>
    <w:rsid w:val="00D43D4F"/>
    <w:rsid w:val="00D4473C"/>
    <w:rsid w:val="00D44752"/>
    <w:rsid w:val="00D45033"/>
    <w:rsid w:val="00D452E1"/>
    <w:rsid w:val="00D4679E"/>
    <w:rsid w:val="00D470EE"/>
    <w:rsid w:val="00D4744A"/>
    <w:rsid w:val="00D4755A"/>
    <w:rsid w:val="00D47967"/>
    <w:rsid w:val="00D506AA"/>
    <w:rsid w:val="00D51C72"/>
    <w:rsid w:val="00D52135"/>
    <w:rsid w:val="00D52655"/>
    <w:rsid w:val="00D52D86"/>
    <w:rsid w:val="00D52F88"/>
    <w:rsid w:val="00D535B5"/>
    <w:rsid w:val="00D53730"/>
    <w:rsid w:val="00D54379"/>
    <w:rsid w:val="00D54411"/>
    <w:rsid w:val="00D545A5"/>
    <w:rsid w:val="00D547DA"/>
    <w:rsid w:val="00D54C32"/>
    <w:rsid w:val="00D54F88"/>
    <w:rsid w:val="00D552C7"/>
    <w:rsid w:val="00D55C83"/>
    <w:rsid w:val="00D55D57"/>
    <w:rsid w:val="00D55EDA"/>
    <w:rsid w:val="00D5671E"/>
    <w:rsid w:val="00D56971"/>
    <w:rsid w:val="00D56F32"/>
    <w:rsid w:val="00D577C4"/>
    <w:rsid w:val="00D57AFD"/>
    <w:rsid w:val="00D603AC"/>
    <w:rsid w:val="00D60450"/>
    <w:rsid w:val="00D607C8"/>
    <w:rsid w:val="00D60AAD"/>
    <w:rsid w:val="00D60FF2"/>
    <w:rsid w:val="00D61509"/>
    <w:rsid w:val="00D6184D"/>
    <w:rsid w:val="00D61AE8"/>
    <w:rsid w:val="00D61C71"/>
    <w:rsid w:val="00D61D25"/>
    <w:rsid w:val="00D62D69"/>
    <w:rsid w:val="00D634AC"/>
    <w:rsid w:val="00D637EC"/>
    <w:rsid w:val="00D63A91"/>
    <w:rsid w:val="00D63B93"/>
    <w:rsid w:val="00D64E4B"/>
    <w:rsid w:val="00D650DB"/>
    <w:rsid w:val="00D65626"/>
    <w:rsid w:val="00D65F13"/>
    <w:rsid w:val="00D66858"/>
    <w:rsid w:val="00D669C9"/>
    <w:rsid w:val="00D6749F"/>
    <w:rsid w:val="00D676FA"/>
    <w:rsid w:val="00D67862"/>
    <w:rsid w:val="00D67ADF"/>
    <w:rsid w:val="00D67E31"/>
    <w:rsid w:val="00D67EAC"/>
    <w:rsid w:val="00D6FD0D"/>
    <w:rsid w:val="00D70513"/>
    <w:rsid w:val="00D70873"/>
    <w:rsid w:val="00D70BF6"/>
    <w:rsid w:val="00D710FD"/>
    <w:rsid w:val="00D7149F"/>
    <w:rsid w:val="00D722C3"/>
    <w:rsid w:val="00D72451"/>
    <w:rsid w:val="00D72527"/>
    <w:rsid w:val="00D72741"/>
    <w:rsid w:val="00D728A9"/>
    <w:rsid w:val="00D72BE3"/>
    <w:rsid w:val="00D72E89"/>
    <w:rsid w:val="00D7312C"/>
    <w:rsid w:val="00D73624"/>
    <w:rsid w:val="00D743B1"/>
    <w:rsid w:val="00D747B6"/>
    <w:rsid w:val="00D74B20"/>
    <w:rsid w:val="00D77303"/>
    <w:rsid w:val="00D77710"/>
    <w:rsid w:val="00D7789D"/>
    <w:rsid w:val="00D77D57"/>
    <w:rsid w:val="00D77DA4"/>
    <w:rsid w:val="00D8012D"/>
    <w:rsid w:val="00D80226"/>
    <w:rsid w:val="00D80612"/>
    <w:rsid w:val="00D807AF"/>
    <w:rsid w:val="00D828D2"/>
    <w:rsid w:val="00D82FDF"/>
    <w:rsid w:val="00D8302A"/>
    <w:rsid w:val="00D83125"/>
    <w:rsid w:val="00D836AA"/>
    <w:rsid w:val="00D837C0"/>
    <w:rsid w:val="00D845C0"/>
    <w:rsid w:val="00D84C88"/>
    <w:rsid w:val="00D8568F"/>
    <w:rsid w:val="00D8585F"/>
    <w:rsid w:val="00D85F37"/>
    <w:rsid w:val="00D860B1"/>
    <w:rsid w:val="00D86CD3"/>
    <w:rsid w:val="00D87096"/>
    <w:rsid w:val="00D870FC"/>
    <w:rsid w:val="00D874DE"/>
    <w:rsid w:val="00D87A9F"/>
    <w:rsid w:val="00D87D15"/>
    <w:rsid w:val="00D900AE"/>
    <w:rsid w:val="00D90101"/>
    <w:rsid w:val="00D90EFA"/>
    <w:rsid w:val="00D9102D"/>
    <w:rsid w:val="00D9147E"/>
    <w:rsid w:val="00D91592"/>
    <w:rsid w:val="00D91919"/>
    <w:rsid w:val="00D92468"/>
    <w:rsid w:val="00D92D64"/>
    <w:rsid w:val="00D93113"/>
    <w:rsid w:val="00D9404D"/>
    <w:rsid w:val="00D947D8"/>
    <w:rsid w:val="00D947D9"/>
    <w:rsid w:val="00D953FB"/>
    <w:rsid w:val="00D96B81"/>
    <w:rsid w:val="00D96B85"/>
    <w:rsid w:val="00D96D6B"/>
    <w:rsid w:val="00D96D74"/>
    <w:rsid w:val="00D97160"/>
    <w:rsid w:val="00D972AD"/>
    <w:rsid w:val="00D97678"/>
    <w:rsid w:val="00D9772B"/>
    <w:rsid w:val="00D97E7D"/>
    <w:rsid w:val="00DA0573"/>
    <w:rsid w:val="00DA08B9"/>
    <w:rsid w:val="00DA09DF"/>
    <w:rsid w:val="00DA182B"/>
    <w:rsid w:val="00DA1C04"/>
    <w:rsid w:val="00DA2644"/>
    <w:rsid w:val="00DA2C95"/>
    <w:rsid w:val="00DA3100"/>
    <w:rsid w:val="00DA3555"/>
    <w:rsid w:val="00DA3659"/>
    <w:rsid w:val="00DA42DC"/>
    <w:rsid w:val="00DA4520"/>
    <w:rsid w:val="00DA4763"/>
    <w:rsid w:val="00DA4AB1"/>
    <w:rsid w:val="00DA5418"/>
    <w:rsid w:val="00DA59F8"/>
    <w:rsid w:val="00DA65AC"/>
    <w:rsid w:val="00DA65CC"/>
    <w:rsid w:val="00DA6E77"/>
    <w:rsid w:val="00DA6FE1"/>
    <w:rsid w:val="00DA7130"/>
    <w:rsid w:val="00DA72E3"/>
    <w:rsid w:val="00DA7ED2"/>
    <w:rsid w:val="00DB0A2E"/>
    <w:rsid w:val="00DB0AC7"/>
    <w:rsid w:val="00DB0E41"/>
    <w:rsid w:val="00DB17E0"/>
    <w:rsid w:val="00DB1975"/>
    <w:rsid w:val="00DB1B2C"/>
    <w:rsid w:val="00DB1C8B"/>
    <w:rsid w:val="00DB1E98"/>
    <w:rsid w:val="00DB2AC6"/>
    <w:rsid w:val="00DB3A31"/>
    <w:rsid w:val="00DB3CCF"/>
    <w:rsid w:val="00DB413A"/>
    <w:rsid w:val="00DB4326"/>
    <w:rsid w:val="00DB457F"/>
    <w:rsid w:val="00DB7AEB"/>
    <w:rsid w:val="00DB7B42"/>
    <w:rsid w:val="00DB7B6F"/>
    <w:rsid w:val="00DB7B94"/>
    <w:rsid w:val="00DB7BC6"/>
    <w:rsid w:val="00DB7DD8"/>
    <w:rsid w:val="00DC0113"/>
    <w:rsid w:val="00DC0354"/>
    <w:rsid w:val="00DC0672"/>
    <w:rsid w:val="00DC0BD9"/>
    <w:rsid w:val="00DC0C9E"/>
    <w:rsid w:val="00DC1B20"/>
    <w:rsid w:val="00DC2381"/>
    <w:rsid w:val="00DC2668"/>
    <w:rsid w:val="00DC2CD1"/>
    <w:rsid w:val="00DC3DA4"/>
    <w:rsid w:val="00DC42B1"/>
    <w:rsid w:val="00DC4301"/>
    <w:rsid w:val="00DC4735"/>
    <w:rsid w:val="00DC4A06"/>
    <w:rsid w:val="00DC5B1E"/>
    <w:rsid w:val="00DC5D77"/>
    <w:rsid w:val="00DC5EBA"/>
    <w:rsid w:val="00DC6038"/>
    <w:rsid w:val="00DC65CE"/>
    <w:rsid w:val="00DC682B"/>
    <w:rsid w:val="00DC7008"/>
    <w:rsid w:val="00DC7074"/>
    <w:rsid w:val="00DC7324"/>
    <w:rsid w:val="00DC7DFE"/>
    <w:rsid w:val="00DC7E22"/>
    <w:rsid w:val="00DD08CF"/>
    <w:rsid w:val="00DD1701"/>
    <w:rsid w:val="00DD17B7"/>
    <w:rsid w:val="00DD2035"/>
    <w:rsid w:val="00DD235B"/>
    <w:rsid w:val="00DD2FC1"/>
    <w:rsid w:val="00DD31FE"/>
    <w:rsid w:val="00DD3404"/>
    <w:rsid w:val="00DD3891"/>
    <w:rsid w:val="00DD4FD5"/>
    <w:rsid w:val="00DD55DE"/>
    <w:rsid w:val="00DD6775"/>
    <w:rsid w:val="00DD6D61"/>
    <w:rsid w:val="00DD7227"/>
    <w:rsid w:val="00DD7237"/>
    <w:rsid w:val="00DE02E0"/>
    <w:rsid w:val="00DE0C1E"/>
    <w:rsid w:val="00DE1427"/>
    <w:rsid w:val="00DE15CF"/>
    <w:rsid w:val="00DE1A85"/>
    <w:rsid w:val="00DE1C33"/>
    <w:rsid w:val="00DE2587"/>
    <w:rsid w:val="00DE278B"/>
    <w:rsid w:val="00DE2B00"/>
    <w:rsid w:val="00DE310A"/>
    <w:rsid w:val="00DE42AF"/>
    <w:rsid w:val="00DE46B5"/>
    <w:rsid w:val="00DE4B0A"/>
    <w:rsid w:val="00DE4BB5"/>
    <w:rsid w:val="00DE5953"/>
    <w:rsid w:val="00DE5A41"/>
    <w:rsid w:val="00DE5CED"/>
    <w:rsid w:val="00DE6ADD"/>
    <w:rsid w:val="00DE6E07"/>
    <w:rsid w:val="00DE6E23"/>
    <w:rsid w:val="00DE773D"/>
    <w:rsid w:val="00DE7744"/>
    <w:rsid w:val="00DE77D3"/>
    <w:rsid w:val="00DE796D"/>
    <w:rsid w:val="00DE7D3C"/>
    <w:rsid w:val="00DF07E0"/>
    <w:rsid w:val="00DF10BC"/>
    <w:rsid w:val="00DF1906"/>
    <w:rsid w:val="00DF1DAF"/>
    <w:rsid w:val="00DF2280"/>
    <w:rsid w:val="00DF2339"/>
    <w:rsid w:val="00DF2885"/>
    <w:rsid w:val="00DF38FA"/>
    <w:rsid w:val="00DF4854"/>
    <w:rsid w:val="00DF52B1"/>
    <w:rsid w:val="00DF54F7"/>
    <w:rsid w:val="00DF558A"/>
    <w:rsid w:val="00DF586E"/>
    <w:rsid w:val="00DF6342"/>
    <w:rsid w:val="00DF666C"/>
    <w:rsid w:val="00DF70C7"/>
    <w:rsid w:val="00DF73D2"/>
    <w:rsid w:val="00DF75EB"/>
    <w:rsid w:val="00DF7711"/>
    <w:rsid w:val="00DF78C2"/>
    <w:rsid w:val="00DF79A7"/>
    <w:rsid w:val="00E00097"/>
    <w:rsid w:val="00E00944"/>
    <w:rsid w:val="00E00FB5"/>
    <w:rsid w:val="00E026A9"/>
    <w:rsid w:val="00E02E17"/>
    <w:rsid w:val="00E0374F"/>
    <w:rsid w:val="00E03C26"/>
    <w:rsid w:val="00E03CCF"/>
    <w:rsid w:val="00E0436E"/>
    <w:rsid w:val="00E04578"/>
    <w:rsid w:val="00E0479C"/>
    <w:rsid w:val="00E04A24"/>
    <w:rsid w:val="00E04BA7"/>
    <w:rsid w:val="00E04E89"/>
    <w:rsid w:val="00E05C9C"/>
    <w:rsid w:val="00E06094"/>
    <w:rsid w:val="00E072DC"/>
    <w:rsid w:val="00E10153"/>
    <w:rsid w:val="00E101C4"/>
    <w:rsid w:val="00E101FC"/>
    <w:rsid w:val="00E102E9"/>
    <w:rsid w:val="00E1110C"/>
    <w:rsid w:val="00E115FA"/>
    <w:rsid w:val="00E1215C"/>
    <w:rsid w:val="00E12244"/>
    <w:rsid w:val="00E12EBC"/>
    <w:rsid w:val="00E12F9E"/>
    <w:rsid w:val="00E13FE4"/>
    <w:rsid w:val="00E14012"/>
    <w:rsid w:val="00E148AC"/>
    <w:rsid w:val="00E14BFA"/>
    <w:rsid w:val="00E15235"/>
    <w:rsid w:val="00E15B87"/>
    <w:rsid w:val="00E15F46"/>
    <w:rsid w:val="00E162AA"/>
    <w:rsid w:val="00E162E7"/>
    <w:rsid w:val="00E162EC"/>
    <w:rsid w:val="00E167FC"/>
    <w:rsid w:val="00E17F68"/>
    <w:rsid w:val="00E20383"/>
    <w:rsid w:val="00E2121A"/>
    <w:rsid w:val="00E21396"/>
    <w:rsid w:val="00E21695"/>
    <w:rsid w:val="00E216EA"/>
    <w:rsid w:val="00E223F6"/>
    <w:rsid w:val="00E22A30"/>
    <w:rsid w:val="00E22F26"/>
    <w:rsid w:val="00E23390"/>
    <w:rsid w:val="00E23725"/>
    <w:rsid w:val="00E23CF9"/>
    <w:rsid w:val="00E2478D"/>
    <w:rsid w:val="00E24A2E"/>
    <w:rsid w:val="00E24B29"/>
    <w:rsid w:val="00E2511E"/>
    <w:rsid w:val="00E25A00"/>
    <w:rsid w:val="00E26382"/>
    <w:rsid w:val="00E264AC"/>
    <w:rsid w:val="00E267F1"/>
    <w:rsid w:val="00E26B44"/>
    <w:rsid w:val="00E272C1"/>
    <w:rsid w:val="00E27522"/>
    <w:rsid w:val="00E27A8D"/>
    <w:rsid w:val="00E27B0D"/>
    <w:rsid w:val="00E30050"/>
    <w:rsid w:val="00E30402"/>
    <w:rsid w:val="00E31F05"/>
    <w:rsid w:val="00E31F6A"/>
    <w:rsid w:val="00E32978"/>
    <w:rsid w:val="00E32BAD"/>
    <w:rsid w:val="00E32DF4"/>
    <w:rsid w:val="00E3409C"/>
    <w:rsid w:val="00E345AC"/>
    <w:rsid w:val="00E34886"/>
    <w:rsid w:val="00E34D96"/>
    <w:rsid w:val="00E35314"/>
    <w:rsid w:val="00E357D4"/>
    <w:rsid w:val="00E357F0"/>
    <w:rsid w:val="00E35C8F"/>
    <w:rsid w:val="00E35EDC"/>
    <w:rsid w:val="00E3665E"/>
    <w:rsid w:val="00E36A8C"/>
    <w:rsid w:val="00E36BEC"/>
    <w:rsid w:val="00E373BD"/>
    <w:rsid w:val="00E375D1"/>
    <w:rsid w:val="00E377A1"/>
    <w:rsid w:val="00E37BF7"/>
    <w:rsid w:val="00E400FB"/>
    <w:rsid w:val="00E406AF"/>
    <w:rsid w:val="00E40715"/>
    <w:rsid w:val="00E414C2"/>
    <w:rsid w:val="00E417C8"/>
    <w:rsid w:val="00E418D2"/>
    <w:rsid w:val="00E420D2"/>
    <w:rsid w:val="00E4256A"/>
    <w:rsid w:val="00E4263B"/>
    <w:rsid w:val="00E42FAF"/>
    <w:rsid w:val="00E430FE"/>
    <w:rsid w:val="00E4345D"/>
    <w:rsid w:val="00E43ABC"/>
    <w:rsid w:val="00E43AD2"/>
    <w:rsid w:val="00E43B8A"/>
    <w:rsid w:val="00E443B7"/>
    <w:rsid w:val="00E4486B"/>
    <w:rsid w:val="00E44BBA"/>
    <w:rsid w:val="00E44C2A"/>
    <w:rsid w:val="00E4506F"/>
    <w:rsid w:val="00E45BE9"/>
    <w:rsid w:val="00E45C8B"/>
    <w:rsid w:val="00E460CA"/>
    <w:rsid w:val="00E46700"/>
    <w:rsid w:val="00E46D5E"/>
    <w:rsid w:val="00E47547"/>
    <w:rsid w:val="00E500C4"/>
    <w:rsid w:val="00E507B2"/>
    <w:rsid w:val="00E507EC"/>
    <w:rsid w:val="00E5085D"/>
    <w:rsid w:val="00E50A88"/>
    <w:rsid w:val="00E50AA4"/>
    <w:rsid w:val="00E51C13"/>
    <w:rsid w:val="00E521A6"/>
    <w:rsid w:val="00E52277"/>
    <w:rsid w:val="00E5240D"/>
    <w:rsid w:val="00E5262A"/>
    <w:rsid w:val="00E547C6"/>
    <w:rsid w:val="00E55389"/>
    <w:rsid w:val="00E55689"/>
    <w:rsid w:val="00E557BD"/>
    <w:rsid w:val="00E55AF2"/>
    <w:rsid w:val="00E55CB1"/>
    <w:rsid w:val="00E56334"/>
    <w:rsid w:val="00E565A8"/>
    <w:rsid w:val="00E56D44"/>
    <w:rsid w:val="00E577DD"/>
    <w:rsid w:val="00E5796A"/>
    <w:rsid w:val="00E6009D"/>
    <w:rsid w:val="00E60A74"/>
    <w:rsid w:val="00E619B9"/>
    <w:rsid w:val="00E62576"/>
    <w:rsid w:val="00E62CA1"/>
    <w:rsid w:val="00E63161"/>
    <w:rsid w:val="00E6363E"/>
    <w:rsid w:val="00E63717"/>
    <w:rsid w:val="00E640CE"/>
    <w:rsid w:val="00E6455B"/>
    <w:rsid w:val="00E65231"/>
    <w:rsid w:val="00E6546C"/>
    <w:rsid w:val="00E66D0C"/>
    <w:rsid w:val="00E67B18"/>
    <w:rsid w:val="00E67D1C"/>
    <w:rsid w:val="00E7014F"/>
    <w:rsid w:val="00E70D3F"/>
    <w:rsid w:val="00E70F50"/>
    <w:rsid w:val="00E7112B"/>
    <w:rsid w:val="00E71DAF"/>
    <w:rsid w:val="00E71E58"/>
    <w:rsid w:val="00E720A9"/>
    <w:rsid w:val="00E72BB5"/>
    <w:rsid w:val="00E738E4"/>
    <w:rsid w:val="00E739A5"/>
    <w:rsid w:val="00E73D06"/>
    <w:rsid w:val="00E748C7"/>
    <w:rsid w:val="00E749FF"/>
    <w:rsid w:val="00E74CFA"/>
    <w:rsid w:val="00E75436"/>
    <w:rsid w:val="00E760A9"/>
    <w:rsid w:val="00E76120"/>
    <w:rsid w:val="00E761D1"/>
    <w:rsid w:val="00E764A5"/>
    <w:rsid w:val="00E76538"/>
    <w:rsid w:val="00E76F9C"/>
    <w:rsid w:val="00E7702D"/>
    <w:rsid w:val="00E7710B"/>
    <w:rsid w:val="00E77491"/>
    <w:rsid w:val="00E77A84"/>
    <w:rsid w:val="00E77D91"/>
    <w:rsid w:val="00E77FCD"/>
    <w:rsid w:val="00E80243"/>
    <w:rsid w:val="00E808A3"/>
    <w:rsid w:val="00E80992"/>
    <w:rsid w:val="00E80C49"/>
    <w:rsid w:val="00E81097"/>
    <w:rsid w:val="00E811AC"/>
    <w:rsid w:val="00E81915"/>
    <w:rsid w:val="00E8239A"/>
    <w:rsid w:val="00E82820"/>
    <w:rsid w:val="00E82E26"/>
    <w:rsid w:val="00E82E87"/>
    <w:rsid w:val="00E839C2"/>
    <w:rsid w:val="00E83BCB"/>
    <w:rsid w:val="00E83BD0"/>
    <w:rsid w:val="00E83CD1"/>
    <w:rsid w:val="00E842A1"/>
    <w:rsid w:val="00E84375"/>
    <w:rsid w:val="00E8595E"/>
    <w:rsid w:val="00E85AFB"/>
    <w:rsid w:val="00E870BC"/>
    <w:rsid w:val="00E8714F"/>
    <w:rsid w:val="00E87A1C"/>
    <w:rsid w:val="00E9046A"/>
    <w:rsid w:val="00E90C53"/>
    <w:rsid w:val="00E90D99"/>
    <w:rsid w:val="00E9156E"/>
    <w:rsid w:val="00E9157E"/>
    <w:rsid w:val="00E9172D"/>
    <w:rsid w:val="00E92AC7"/>
    <w:rsid w:val="00E9306D"/>
    <w:rsid w:val="00E94207"/>
    <w:rsid w:val="00E9567C"/>
    <w:rsid w:val="00E95B44"/>
    <w:rsid w:val="00E95F63"/>
    <w:rsid w:val="00E96695"/>
    <w:rsid w:val="00E968CA"/>
    <w:rsid w:val="00E96A6F"/>
    <w:rsid w:val="00E96C79"/>
    <w:rsid w:val="00E96E6E"/>
    <w:rsid w:val="00E97E9E"/>
    <w:rsid w:val="00EA0F09"/>
    <w:rsid w:val="00EA10D8"/>
    <w:rsid w:val="00EA1819"/>
    <w:rsid w:val="00EA1AB7"/>
    <w:rsid w:val="00EA1B29"/>
    <w:rsid w:val="00EA2456"/>
    <w:rsid w:val="00EA2A26"/>
    <w:rsid w:val="00EA32D8"/>
    <w:rsid w:val="00EA334A"/>
    <w:rsid w:val="00EA3586"/>
    <w:rsid w:val="00EA3884"/>
    <w:rsid w:val="00EA4119"/>
    <w:rsid w:val="00EA46EC"/>
    <w:rsid w:val="00EA4863"/>
    <w:rsid w:val="00EA4FFB"/>
    <w:rsid w:val="00EA5046"/>
    <w:rsid w:val="00EA5807"/>
    <w:rsid w:val="00EA61B2"/>
    <w:rsid w:val="00EA6405"/>
    <w:rsid w:val="00EA7E8A"/>
    <w:rsid w:val="00EB0E7D"/>
    <w:rsid w:val="00EB1461"/>
    <w:rsid w:val="00EB15A9"/>
    <w:rsid w:val="00EB1887"/>
    <w:rsid w:val="00EB1EE5"/>
    <w:rsid w:val="00EB1F53"/>
    <w:rsid w:val="00EB2630"/>
    <w:rsid w:val="00EB3140"/>
    <w:rsid w:val="00EB4353"/>
    <w:rsid w:val="00EB4F7E"/>
    <w:rsid w:val="00EB538B"/>
    <w:rsid w:val="00EB5405"/>
    <w:rsid w:val="00EB55A8"/>
    <w:rsid w:val="00EB717F"/>
    <w:rsid w:val="00EB734A"/>
    <w:rsid w:val="00EB7679"/>
    <w:rsid w:val="00EC049F"/>
    <w:rsid w:val="00EC14E7"/>
    <w:rsid w:val="00EC15A2"/>
    <w:rsid w:val="00EC1666"/>
    <w:rsid w:val="00EC1BCC"/>
    <w:rsid w:val="00EC1E24"/>
    <w:rsid w:val="00EC1E33"/>
    <w:rsid w:val="00EC2701"/>
    <w:rsid w:val="00EC2A7E"/>
    <w:rsid w:val="00EC2B07"/>
    <w:rsid w:val="00EC2D96"/>
    <w:rsid w:val="00EC31A2"/>
    <w:rsid w:val="00EC3F06"/>
    <w:rsid w:val="00EC435B"/>
    <w:rsid w:val="00EC473A"/>
    <w:rsid w:val="00EC5247"/>
    <w:rsid w:val="00EC549F"/>
    <w:rsid w:val="00EC602D"/>
    <w:rsid w:val="00EC6551"/>
    <w:rsid w:val="00EC6602"/>
    <w:rsid w:val="00EC78AA"/>
    <w:rsid w:val="00EC7AF7"/>
    <w:rsid w:val="00EC7CC2"/>
    <w:rsid w:val="00EC7D94"/>
    <w:rsid w:val="00ED03FC"/>
    <w:rsid w:val="00ED04D3"/>
    <w:rsid w:val="00ED1399"/>
    <w:rsid w:val="00ED1C03"/>
    <w:rsid w:val="00ED1F2B"/>
    <w:rsid w:val="00ED2173"/>
    <w:rsid w:val="00ED22B7"/>
    <w:rsid w:val="00ED2D90"/>
    <w:rsid w:val="00ED362A"/>
    <w:rsid w:val="00ED3A7B"/>
    <w:rsid w:val="00ED431C"/>
    <w:rsid w:val="00ED4666"/>
    <w:rsid w:val="00ED4906"/>
    <w:rsid w:val="00ED4BC3"/>
    <w:rsid w:val="00ED4F9D"/>
    <w:rsid w:val="00ED5551"/>
    <w:rsid w:val="00ED5850"/>
    <w:rsid w:val="00ED5F93"/>
    <w:rsid w:val="00ED6467"/>
    <w:rsid w:val="00ED67FE"/>
    <w:rsid w:val="00ED6C16"/>
    <w:rsid w:val="00ED7338"/>
    <w:rsid w:val="00ED73CF"/>
    <w:rsid w:val="00ED7672"/>
    <w:rsid w:val="00ED7E34"/>
    <w:rsid w:val="00EE0B84"/>
    <w:rsid w:val="00EE1635"/>
    <w:rsid w:val="00EE1EC8"/>
    <w:rsid w:val="00EE20C7"/>
    <w:rsid w:val="00EE258F"/>
    <w:rsid w:val="00EE3EAE"/>
    <w:rsid w:val="00EE449C"/>
    <w:rsid w:val="00EE4895"/>
    <w:rsid w:val="00EE49EB"/>
    <w:rsid w:val="00EE4E09"/>
    <w:rsid w:val="00EE52C0"/>
    <w:rsid w:val="00EE60CD"/>
    <w:rsid w:val="00EE6DD7"/>
    <w:rsid w:val="00EE7AA3"/>
    <w:rsid w:val="00EF1004"/>
    <w:rsid w:val="00EF107C"/>
    <w:rsid w:val="00EF109A"/>
    <w:rsid w:val="00EF10B8"/>
    <w:rsid w:val="00EF315F"/>
    <w:rsid w:val="00EF3A38"/>
    <w:rsid w:val="00EF3AE2"/>
    <w:rsid w:val="00EF3C33"/>
    <w:rsid w:val="00EF4152"/>
    <w:rsid w:val="00EF51FE"/>
    <w:rsid w:val="00EF5A73"/>
    <w:rsid w:val="00EF5EB0"/>
    <w:rsid w:val="00EF61CD"/>
    <w:rsid w:val="00EF6BAE"/>
    <w:rsid w:val="00EF728C"/>
    <w:rsid w:val="00EF75A5"/>
    <w:rsid w:val="00EF75B0"/>
    <w:rsid w:val="00F00156"/>
    <w:rsid w:val="00F00456"/>
    <w:rsid w:val="00F00909"/>
    <w:rsid w:val="00F00ABC"/>
    <w:rsid w:val="00F01A37"/>
    <w:rsid w:val="00F01C0F"/>
    <w:rsid w:val="00F020C5"/>
    <w:rsid w:val="00F025CC"/>
    <w:rsid w:val="00F035AA"/>
    <w:rsid w:val="00F03C47"/>
    <w:rsid w:val="00F04040"/>
    <w:rsid w:val="00F04254"/>
    <w:rsid w:val="00F04CBE"/>
    <w:rsid w:val="00F05019"/>
    <w:rsid w:val="00F053E2"/>
    <w:rsid w:val="00F055E1"/>
    <w:rsid w:val="00F057B9"/>
    <w:rsid w:val="00F05E16"/>
    <w:rsid w:val="00F0654E"/>
    <w:rsid w:val="00F067A8"/>
    <w:rsid w:val="00F068E6"/>
    <w:rsid w:val="00F072B1"/>
    <w:rsid w:val="00F07422"/>
    <w:rsid w:val="00F0763B"/>
    <w:rsid w:val="00F07A40"/>
    <w:rsid w:val="00F106A1"/>
    <w:rsid w:val="00F10D6C"/>
    <w:rsid w:val="00F111C3"/>
    <w:rsid w:val="00F1125B"/>
    <w:rsid w:val="00F112C4"/>
    <w:rsid w:val="00F113BD"/>
    <w:rsid w:val="00F11461"/>
    <w:rsid w:val="00F11747"/>
    <w:rsid w:val="00F11A5E"/>
    <w:rsid w:val="00F12956"/>
    <w:rsid w:val="00F12A86"/>
    <w:rsid w:val="00F13628"/>
    <w:rsid w:val="00F13A87"/>
    <w:rsid w:val="00F13B09"/>
    <w:rsid w:val="00F13DFA"/>
    <w:rsid w:val="00F14145"/>
    <w:rsid w:val="00F156F4"/>
    <w:rsid w:val="00F15B20"/>
    <w:rsid w:val="00F15EF2"/>
    <w:rsid w:val="00F15F74"/>
    <w:rsid w:val="00F16AF3"/>
    <w:rsid w:val="00F174CE"/>
    <w:rsid w:val="00F175C0"/>
    <w:rsid w:val="00F1771F"/>
    <w:rsid w:val="00F20091"/>
    <w:rsid w:val="00F2066E"/>
    <w:rsid w:val="00F207FF"/>
    <w:rsid w:val="00F20B14"/>
    <w:rsid w:val="00F213B0"/>
    <w:rsid w:val="00F21438"/>
    <w:rsid w:val="00F21B65"/>
    <w:rsid w:val="00F2281E"/>
    <w:rsid w:val="00F22BCE"/>
    <w:rsid w:val="00F23723"/>
    <w:rsid w:val="00F243B7"/>
    <w:rsid w:val="00F247D9"/>
    <w:rsid w:val="00F24836"/>
    <w:rsid w:val="00F24B1F"/>
    <w:rsid w:val="00F24BC6"/>
    <w:rsid w:val="00F2527A"/>
    <w:rsid w:val="00F25495"/>
    <w:rsid w:val="00F25726"/>
    <w:rsid w:val="00F25E5E"/>
    <w:rsid w:val="00F25F3A"/>
    <w:rsid w:val="00F26916"/>
    <w:rsid w:val="00F26E02"/>
    <w:rsid w:val="00F27005"/>
    <w:rsid w:val="00F30366"/>
    <w:rsid w:val="00F30616"/>
    <w:rsid w:val="00F31A87"/>
    <w:rsid w:val="00F31AA3"/>
    <w:rsid w:val="00F31AD2"/>
    <w:rsid w:val="00F323D4"/>
    <w:rsid w:val="00F32D38"/>
    <w:rsid w:val="00F32EFC"/>
    <w:rsid w:val="00F32F49"/>
    <w:rsid w:val="00F33984"/>
    <w:rsid w:val="00F33C32"/>
    <w:rsid w:val="00F3401E"/>
    <w:rsid w:val="00F34FF7"/>
    <w:rsid w:val="00F35DD7"/>
    <w:rsid w:val="00F36053"/>
    <w:rsid w:val="00F3635C"/>
    <w:rsid w:val="00F36D7E"/>
    <w:rsid w:val="00F37253"/>
    <w:rsid w:val="00F37817"/>
    <w:rsid w:val="00F37AD6"/>
    <w:rsid w:val="00F40862"/>
    <w:rsid w:val="00F40893"/>
    <w:rsid w:val="00F40BDA"/>
    <w:rsid w:val="00F40FD7"/>
    <w:rsid w:val="00F411CE"/>
    <w:rsid w:val="00F41256"/>
    <w:rsid w:val="00F41B01"/>
    <w:rsid w:val="00F41DBD"/>
    <w:rsid w:val="00F42B3B"/>
    <w:rsid w:val="00F43BF3"/>
    <w:rsid w:val="00F44AC8"/>
    <w:rsid w:val="00F457CB"/>
    <w:rsid w:val="00F4598E"/>
    <w:rsid w:val="00F45B11"/>
    <w:rsid w:val="00F46509"/>
    <w:rsid w:val="00F4672F"/>
    <w:rsid w:val="00F46905"/>
    <w:rsid w:val="00F471BD"/>
    <w:rsid w:val="00F47E38"/>
    <w:rsid w:val="00F5014A"/>
    <w:rsid w:val="00F50C9C"/>
    <w:rsid w:val="00F517D0"/>
    <w:rsid w:val="00F51E7E"/>
    <w:rsid w:val="00F52424"/>
    <w:rsid w:val="00F525CE"/>
    <w:rsid w:val="00F52DC8"/>
    <w:rsid w:val="00F536C3"/>
    <w:rsid w:val="00F544FF"/>
    <w:rsid w:val="00F54C4E"/>
    <w:rsid w:val="00F556EC"/>
    <w:rsid w:val="00F55975"/>
    <w:rsid w:val="00F56BCD"/>
    <w:rsid w:val="00F56C65"/>
    <w:rsid w:val="00F56DCF"/>
    <w:rsid w:val="00F5726D"/>
    <w:rsid w:val="00F574BA"/>
    <w:rsid w:val="00F6012D"/>
    <w:rsid w:val="00F60B13"/>
    <w:rsid w:val="00F616ED"/>
    <w:rsid w:val="00F617D2"/>
    <w:rsid w:val="00F61837"/>
    <w:rsid w:val="00F61E7E"/>
    <w:rsid w:val="00F623AF"/>
    <w:rsid w:val="00F6320C"/>
    <w:rsid w:val="00F6322D"/>
    <w:rsid w:val="00F63F3E"/>
    <w:rsid w:val="00F64594"/>
    <w:rsid w:val="00F64CFC"/>
    <w:rsid w:val="00F65299"/>
    <w:rsid w:val="00F658EC"/>
    <w:rsid w:val="00F66093"/>
    <w:rsid w:val="00F6679D"/>
    <w:rsid w:val="00F66B87"/>
    <w:rsid w:val="00F67713"/>
    <w:rsid w:val="00F706DA"/>
    <w:rsid w:val="00F70F87"/>
    <w:rsid w:val="00F713C6"/>
    <w:rsid w:val="00F71B6D"/>
    <w:rsid w:val="00F71F0B"/>
    <w:rsid w:val="00F71F0E"/>
    <w:rsid w:val="00F7224F"/>
    <w:rsid w:val="00F72BF7"/>
    <w:rsid w:val="00F7330A"/>
    <w:rsid w:val="00F733C7"/>
    <w:rsid w:val="00F73809"/>
    <w:rsid w:val="00F738AF"/>
    <w:rsid w:val="00F745A8"/>
    <w:rsid w:val="00F74804"/>
    <w:rsid w:val="00F750C3"/>
    <w:rsid w:val="00F758EE"/>
    <w:rsid w:val="00F75DF2"/>
    <w:rsid w:val="00F767AC"/>
    <w:rsid w:val="00F77035"/>
    <w:rsid w:val="00F777F2"/>
    <w:rsid w:val="00F77809"/>
    <w:rsid w:val="00F77A9C"/>
    <w:rsid w:val="00F77F65"/>
    <w:rsid w:val="00F7AC64"/>
    <w:rsid w:val="00F80042"/>
    <w:rsid w:val="00F80CC6"/>
    <w:rsid w:val="00F813D3"/>
    <w:rsid w:val="00F81901"/>
    <w:rsid w:val="00F81A9F"/>
    <w:rsid w:val="00F821E2"/>
    <w:rsid w:val="00F82461"/>
    <w:rsid w:val="00F8249F"/>
    <w:rsid w:val="00F8284F"/>
    <w:rsid w:val="00F828E3"/>
    <w:rsid w:val="00F82F75"/>
    <w:rsid w:val="00F82F8E"/>
    <w:rsid w:val="00F8341B"/>
    <w:rsid w:val="00F8366B"/>
    <w:rsid w:val="00F83B49"/>
    <w:rsid w:val="00F8448B"/>
    <w:rsid w:val="00F84FAF"/>
    <w:rsid w:val="00F851A6"/>
    <w:rsid w:val="00F85205"/>
    <w:rsid w:val="00F85FED"/>
    <w:rsid w:val="00F86070"/>
    <w:rsid w:val="00F8611F"/>
    <w:rsid w:val="00F86C9B"/>
    <w:rsid w:val="00F878C8"/>
    <w:rsid w:val="00F90D4E"/>
    <w:rsid w:val="00F91ED5"/>
    <w:rsid w:val="00F920A4"/>
    <w:rsid w:val="00F92D1D"/>
    <w:rsid w:val="00F930C1"/>
    <w:rsid w:val="00F9327F"/>
    <w:rsid w:val="00F936B2"/>
    <w:rsid w:val="00F93E79"/>
    <w:rsid w:val="00F94631"/>
    <w:rsid w:val="00F95110"/>
    <w:rsid w:val="00F9518D"/>
    <w:rsid w:val="00F95A80"/>
    <w:rsid w:val="00F95C3A"/>
    <w:rsid w:val="00F963A8"/>
    <w:rsid w:val="00F9642D"/>
    <w:rsid w:val="00F9684A"/>
    <w:rsid w:val="00F969B4"/>
    <w:rsid w:val="00F96A20"/>
    <w:rsid w:val="00F96ADE"/>
    <w:rsid w:val="00F971FA"/>
    <w:rsid w:val="00F9722A"/>
    <w:rsid w:val="00F97AE9"/>
    <w:rsid w:val="00F97E5F"/>
    <w:rsid w:val="00FA01A9"/>
    <w:rsid w:val="00FA02C0"/>
    <w:rsid w:val="00FA064D"/>
    <w:rsid w:val="00FA07EC"/>
    <w:rsid w:val="00FA0852"/>
    <w:rsid w:val="00FA1967"/>
    <w:rsid w:val="00FA1CCC"/>
    <w:rsid w:val="00FA1E11"/>
    <w:rsid w:val="00FA1F42"/>
    <w:rsid w:val="00FA2BED"/>
    <w:rsid w:val="00FA3913"/>
    <w:rsid w:val="00FA391E"/>
    <w:rsid w:val="00FA3B30"/>
    <w:rsid w:val="00FA3D9C"/>
    <w:rsid w:val="00FA40A0"/>
    <w:rsid w:val="00FA4895"/>
    <w:rsid w:val="00FA5367"/>
    <w:rsid w:val="00FA652D"/>
    <w:rsid w:val="00FA659B"/>
    <w:rsid w:val="00FA71DA"/>
    <w:rsid w:val="00FA72D5"/>
    <w:rsid w:val="00FA7563"/>
    <w:rsid w:val="00FA7CF4"/>
    <w:rsid w:val="00FA7F44"/>
    <w:rsid w:val="00FA7FAC"/>
    <w:rsid w:val="00FB02F0"/>
    <w:rsid w:val="00FB04B8"/>
    <w:rsid w:val="00FB1678"/>
    <w:rsid w:val="00FB1B45"/>
    <w:rsid w:val="00FB1FD2"/>
    <w:rsid w:val="00FB25B5"/>
    <w:rsid w:val="00FB26E9"/>
    <w:rsid w:val="00FB3C37"/>
    <w:rsid w:val="00FB3E55"/>
    <w:rsid w:val="00FB428D"/>
    <w:rsid w:val="00FB4311"/>
    <w:rsid w:val="00FB43E8"/>
    <w:rsid w:val="00FB44E7"/>
    <w:rsid w:val="00FB4CF5"/>
    <w:rsid w:val="00FB52C6"/>
    <w:rsid w:val="00FB5808"/>
    <w:rsid w:val="00FB7CE8"/>
    <w:rsid w:val="00FB7EBB"/>
    <w:rsid w:val="00FC116D"/>
    <w:rsid w:val="00FC22D9"/>
    <w:rsid w:val="00FC25BA"/>
    <w:rsid w:val="00FC2D17"/>
    <w:rsid w:val="00FC3275"/>
    <w:rsid w:val="00FC35BB"/>
    <w:rsid w:val="00FC3787"/>
    <w:rsid w:val="00FC3DE6"/>
    <w:rsid w:val="00FC49C1"/>
    <w:rsid w:val="00FC4D2B"/>
    <w:rsid w:val="00FC62BF"/>
    <w:rsid w:val="00FC6946"/>
    <w:rsid w:val="00FC6CD7"/>
    <w:rsid w:val="00FD06B6"/>
    <w:rsid w:val="00FD18FD"/>
    <w:rsid w:val="00FD1BD8"/>
    <w:rsid w:val="00FD1E7A"/>
    <w:rsid w:val="00FD1E83"/>
    <w:rsid w:val="00FD2386"/>
    <w:rsid w:val="00FD24A7"/>
    <w:rsid w:val="00FD2973"/>
    <w:rsid w:val="00FD2C67"/>
    <w:rsid w:val="00FD31A3"/>
    <w:rsid w:val="00FD37E4"/>
    <w:rsid w:val="00FD3AD3"/>
    <w:rsid w:val="00FD3B24"/>
    <w:rsid w:val="00FD63DB"/>
    <w:rsid w:val="00FD6E7F"/>
    <w:rsid w:val="00FD6EBF"/>
    <w:rsid w:val="00FD73E5"/>
    <w:rsid w:val="00FD759F"/>
    <w:rsid w:val="00FD7A2E"/>
    <w:rsid w:val="00FD7FAB"/>
    <w:rsid w:val="00FE0CA6"/>
    <w:rsid w:val="00FE0ED3"/>
    <w:rsid w:val="00FE0F31"/>
    <w:rsid w:val="00FE26B3"/>
    <w:rsid w:val="00FE3191"/>
    <w:rsid w:val="00FE354A"/>
    <w:rsid w:val="00FE37D3"/>
    <w:rsid w:val="00FE4531"/>
    <w:rsid w:val="00FE4C99"/>
    <w:rsid w:val="00FE4FDF"/>
    <w:rsid w:val="00FE5284"/>
    <w:rsid w:val="00FE590C"/>
    <w:rsid w:val="00FE5F55"/>
    <w:rsid w:val="00FE6ECE"/>
    <w:rsid w:val="00FE770D"/>
    <w:rsid w:val="00FE7DC8"/>
    <w:rsid w:val="00FEE8A8"/>
    <w:rsid w:val="00FF0C89"/>
    <w:rsid w:val="00FF1214"/>
    <w:rsid w:val="00FF17A5"/>
    <w:rsid w:val="00FF19BF"/>
    <w:rsid w:val="00FF2074"/>
    <w:rsid w:val="00FF2A47"/>
    <w:rsid w:val="00FF3274"/>
    <w:rsid w:val="00FF385E"/>
    <w:rsid w:val="00FF48F2"/>
    <w:rsid w:val="00FF4C7D"/>
    <w:rsid w:val="00FF4CBA"/>
    <w:rsid w:val="00FF4DAE"/>
    <w:rsid w:val="00FF4FF6"/>
    <w:rsid w:val="00FF57C8"/>
    <w:rsid w:val="00FF6117"/>
    <w:rsid w:val="00FF6142"/>
    <w:rsid w:val="00FF6310"/>
    <w:rsid w:val="00FF6368"/>
    <w:rsid w:val="00FF6FEE"/>
    <w:rsid w:val="00FF78C2"/>
    <w:rsid w:val="00FF78CB"/>
    <w:rsid w:val="00FF79AD"/>
    <w:rsid w:val="00FF7B69"/>
    <w:rsid w:val="00FF7BF0"/>
    <w:rsid w:val="00FF7F42"/>
    <w:rsid w:val="010C7DF7"/>
    <w:rsid w:val="01121F08"/>
    <w:rsid w:val="011B685C"/>
    <w:rsid w:val="0126197F"/>
    <w:rsid w:val="013716DC"/>
    <w:rsid w:val="013AC366"/>
    <w:rsid w:val="013B2D9D"/>
    <w:rsid w:val="014111D0"/>
    <w:rsid w:val="01515616"/>
    <w:rsid w:val="015A538A"/>
    <w:rsid w:val="01603889"/>
    <w:rsid w:val="0163DB1E"/>
    <w:rsid w:val="016746A2"/>
    <w:rsid w:val="01713680"/>
    <w:rsid w:val="01784AC4"/>
    <w:rsid w:val="017EAF21"/>
    <w:rsid w:val="0187E70A"/>
    <w:rsid w:val="018B6E16"/>
    <w:rsid w:val="018C4258"/>
    <w:rsid w:val="01AE2AB9"/>
    <w:rsid w:val="01B7DE19"/>
    <w:rsid w:val="01C23286"/>
    <w:rsid w:val="01C82E05"/>
    <w:rsid w:val="01D1FC09"/>
    <w:rsid w:val="01DC451D"/>
    <w:rsid w:val="01E66E91"/>
    <w:rsid w:val="02115E56"/>
    <w:rsid w:val="0217F63F"/>
    <w:rsid w:val="021DD279"/>
    <w:rsid w:val="0224FA13"/>
    <w:rsid w:val="023BED79"/>
    <w:rsid w:val="025D94A8"/>
    <w:rsid w:val="025E251D"/>
    <w:rsid w:val="0265F69E"/>
    <w:rsid w:val="026D9E9F"/>
    <w:rsid w:val="0270AF3C"/>
    <w:rsid w:val="0271462B"/>
    <w:rsid w:val="027B51F7"/>
    <w:rsid w:val="027BF16A"/>
    <w:rsid w:val="028836E3"/>
    <w:rsid w:val="02886C4C"/>
    <w:rsid w:val="028B4E11"/>
    <w:rsid w:val="02943DF1"/>
    <w:rsid w:val="029B5E0B"/>
    <w:rsid w:val="02BA20D2"/>
    <w:rsid w:val="02C01401"/>
    <w:rsid w:val="02CCBCEB"/>
    <w:rsid w:val="02CE78D4"/>
    <w:rsid w:val="02D44870"/>
    <w:rsid w:val="02DAE5B0"/>
    <w:rsid w:val="02DE4ADA"/>
    <w:rsid w:val="02DE7FD7"/>
    <w:rsid w:val="02E8B083"/>
    <w:rsid w:val="02EDAD40"/>
    <w:rsid w:val="02F6D01C"/>
    <w:rsid w:val="02FAF36D"/>
    <w:rsid w:val="0302B15C"/>
    <w:rsid w:val="030CEFED"/>
    <w:rsid w:val="030E9A46"/>
    <w:rsid w:val="031A5824"/>
    <w:rsid w:val="031E98EF"/>
    <w:rsid w:val="0326CBDC"/>
    <w:rsid w:val="032D9401"/>
    <w:rsid w:val="032DDD54"/>
    <w:rsid w:val="033046D8"/>
    <w:rsid w:val="034A6F71"/>
    <w:rsid w:val="034F53D2"/>
    <w:rsid w:val="03544205"/>
    <w:rsid w:val="0359A8A5"/>
    <w:rsid w:val="036BE7C2"/>
    <w:rsid w:val="03762619"/>
    <w:rsid w:val="038348A8"/>
    <w:rsid w:val="038B0D31"/>
    <w:rsid w:val="038F89EE"/>
    <w:rsid w:val="039256A0"/>
    <w:rsid w:val="039ABD8D"/>
    <w:rsid w:val="03A6D8DF"/>
    <w:rsid w:val="03B41130"/>
    <w:rsid w:val="03BA0602"/>
    <w:rsid w:val="03D4BFF9"/>
    <w:rsid w:val="03D4C094"/>
    <w:rsid w:val="03DAB06C"/>
    <w:rsid w:val="03F4609F"/>
    <w:rsid w:val="0403AE68"/>
    <w:rsid w:val="0404BCCF"/>
    <w:rsid w:val="0408C6AF"/>
    <w:rsid w:val="040C8C69"/>
    <w:rsid w:val="0419DB3D"/>
    <w:rsid w:val="041FD926"/>
    <w:rsid w:val="0426F218"/>
    <w:rsid w:val="04284705"/>
    <w:rsid w:val="043DD33D"/>
    <w:rsid w:val="044962C3"/>
    <w:rsid w:val="0456FB9A"/>
    <w:rsid w:val="0461089C"/>
    <w:rsid w:val="046DF388"/>
    <w:rsid w:val="046EB79E"/>
    <w:rsid w:val="0472157B"/>
    <w:rsid w:val="0474468E"/>
    <w:rsid w:val="04759AEF"/>
    <w:rsid w:val="047705D7"/>
    <w:rsid w:val="047908CD"/>
    <w:rsid w:val="04799890"/>
    <w:rsid w:val="047B41B9"/>
    <w:rsid w:val="047B43B0"/>
    <w:rsid w:val="0483E459"/>
    <w:rsid w:val="04982CAA"/>
    <w:rsid w:val="04A2CA01"/>
    <w:rsid w:val="04A92F92"/>
    <w:rsid w:val="04ACA473"/>
    <w:rsid w:val="04B25F5D"/>
    <w:rsid w:val="04B96093"/>
    <w:rsid w:val="04D26BA3"/>
    <w:rsid w:val="04D5216F"/>
    <w:rsid w:val="04DAAD97"/>
    <w:rsid w:val="04DF0776"/>
    <w:rsid w:val="04E8B951"/>
    <w:rsid w:val="04F30EF3"/>
    <w:rsid w:val="04F9EAA8"/>
    <w:rsid w:val="0502E4C1"/>
    <w:rsid w:val="05035AA7"/>
    <w:rsid w:val="0510F831"/>
    <w:rsid w:val="05126A4E"/>
    <w:rsid w:val="0513B0DF"/>
    <w:rsid w:val="05154E42"/>
    <w:rsid w:val="05162B96"/>
    <w:rsid w:val="05319630"/>
    <w:rsid w:val="05340C7A"/>
    <w:rsid w:val="053CD28F"/>
    <w:rsid w:val="054677AF"/>
    <w:rsid w:val="05564A60"/>
    <w:rsid w:val="055A234C"/>
    <w:rsid w:val="056207D5"/>
    <w:rsid w:val="05636020"/>
    <w:rsid w:val="05693899"/>
    <w:rsid w:val="0573638C"/>
    <w:rsid w:val="057D1E2A"/>
    <w:rsid w:val="0580CBF7"/>
    <w:rsid w:val="0582CE26"/>
    <w:rsid w:val="058E70CE"/>
    <w:rsid w:val="0594F674"/>
    <w:rsid w:val="05955A95"/>
    <w:rsid w:val="059E1ADE"/>
    <w:rsid w:val="05B0BA61"/>
    <w:rsid w:val="05BAD542"/>
    <w:rsid w:val="05BFDA2C"/>
    <w:rsid w:val="05C7FA94"/>
    <w:rsid w:val="05D9F100"/>
    <w:rsid w:val="05DD50C0"/>
    <w:rsid w:val="05DDCF05"/>
    <w:rsid w:val="05DFA928"/>
    <w:rsid w:val="05DFC130"/>
    <w:rsid w:val="05F0C66B"/>
    <w:rsid w:val="05F79A8B"/>
    <w:rsid w:val="05FF7645"/>
    <w:rsid w:val="06016259"/>
    <w:rsid w:val="06171A4A"/>
    <w:rsid w:val="061D1DD8"/>
    <w:rsid w:val="06276DB9"/>
    <w:rsid w:val="062EB168"/>
    <w:rsid w:val="06358993"/>
    <w:rsid w:val="0636EC84"/>
    <w:rsid w:val="064CEBD1"/>
    <w:rsid w:val="0655296C"/>
    <w:rsid w:val="066E8CBD"/>
    <w:rsid w:val="0675CAA2"/>
    <w:rsid w:val="0688F74C"/>
    <w:rsid w:val="06896546"/>
    <w:rsid w:val="068EA030"/>
    <w:rsid w:val="0691B7A1"/>
    <w:rsid w:val="0699FA5D"/>
    <w:rsid w:val="069A1AEC"/>
    <w:rsid w:val="06B54996"/>
    <w:rsid w:val="06BC77AE"/>
    <w:rsid w:val="06D3E984"/>
    <w:rsid w:val="06D686E6"/>
    <w:rsid w:val="06DD5DB5"/>
    <w:rsid w:val="06E96919"/>
    <w:rsid w:val="06ECDDB7"/>
    <w:rsid w:val="06ED2785"/>
    <w:rsid w:val="07116849"/>
    <w:rsid w:val="0714CCE0"/>
    <w:rsid w:val="071BDA21"/>
    <w:rsid w:val="071D1F0D"/>
    <w:rsid w:val="071E36F8"/>
    <w:rsid w:val="072F602B"/>
    <w:rsid w:val="0731B3E3"/>
    <w:rsid w:val="0735AC02"/>
    <w:rsid w:val="073D9E63"/>
    <w:rsid w:val="073E8A3E"/>
    <w:rsid w:val="0740AC5A"/>
    <w:rsid w:val="075C2EEB"/>
    <w:rsid w:val="075C5841"/>
    <w:rsid w:val="077454E1"/>
    <w:rsid w:val="077669A3"/>
    <w:rsid w:val="07794130"/>
    <w:rsid w:val="077B4A36"/>
    <w:rsid w:val="077F1C84"/>
    <w:rsid w:val="07895E49"/>
    <w:rsid w:val="078D9D29"/>
    <w:rsid w:val="07A5C485"/>
    <w:rsid w:val="07B05354"/>
    <w:rsid w:val="07BB786F"/>
    <w:rsid w:val="07C7CFA2"/>
    <w:rsid w:val="07CF7A0D"/>
    <w:rsid w:val="07D08A62"/>
    <w:rsid w:val="07D8DB9E"/>
    <w:rsid w:val="07E59308"/>
    <w:rsid w:val="07E760C7"/>
    <w:rsid w:val="07EF26A5"/>
    <w:rsid w:val="07F3238C"/>
    <w:rsid w:val="07F9CE05"/>
    <w:rsid w:val="07FAAC24"/>
    <w:rsid w:val="07FAF3CA"/>
    <w:rsid w:val="0804A716"/>
    <w:rsid w:val="0808B0D6"/>
    <w:rsid w:val="0817EC47"/>
    <w:rsid w:val="082161E6"/>
    <w:rsid w:val="08264956"/>
    <w:rsid w:val="082E67FA"/>
    <w:rsid w:val="08323133"/>
    <w:rsid w:val="08379CD9"/>
    <w:rsid w:val="0838E705"/>
    <w:rsid w:val="083AC27F"/>
    <w:rsid w:val="083FDF51"/>
    <w:rsid w:val="0847171A"/>
    <w:rsid w:val="08521E8F"/>
    <w:rsid w:val="0852CAA1"/>
    <w:rsid w:val="0854DB7A"/>
    <w:rsid w:val="085B6B25"/>
    <w:rsid w:val="0865978A"/>
    <w:rsid w:val="08763F5A"/>
    <w:rsid w:val="08877FC7"/>
    <w:rsid w:val="0889BB0E"/>
    <w:rsid w:val="0893725F"/>
    <w:rsid w:val="0896B729"/>
    <w:rsid w:val="08AA9728"/>
    <w:rsid w:val="08C7907D"/>
    <w:rsid w:val="08CA19E2"/>
    <w:rsid w:val="08D84724"/>
    <w:rsid w:val="08E4DAA6"/>
    <w:rsid w:val="08EED84E"/>
    <w:rsid w:val="08EF564C"/>
    <w:rsid w:val="08F090A5"/>
    <w:rsid w:val="08F5155F"/>
    <w:rsid w:val="08F8F372"/>
    <w:rsid w:val="090B4998"/>
    <w:rsid w:val="09114413"/>
    <w:rsid w:val="092069BF"/>
    <w:rsid w:val="0925DA7C"/>
    <w:rsid w:val="0926A79C"/>
    <w:rsid w:val="092B68D8"/>
    <w:rsid w:val="092C05D2"/>
    <w:rsid w:val="093D15C8"/>
    <w:rsid w:val="09441D7C"/>
    <w:rsid w:val="094578AD"/>
    <w:rsid w:val="09680418"/>
    <w:rsid w:val="096AEC00"/>
    <w:rsid w:val="096E02F7"/>
    <w:rsid w:val="096F5228"/>
    <w:rsid w:val="0994FC2C"/>
    <w:rsid w:val="0996A62F"/>
    <w:rsid w:val="099F885C"/>
    <w:rsid w:val="09A517D6"/>
    <w:rsid w:val="09AC6531"/>
    <w:rsid w:val="09AF2E00"/>
    <w:rsid w:val="09C457E7"/>
    <w:rsid w:val="09CBA683"/>
    <w:rsid w:val="09D91124"/>
    <w:rsid w:val="09DEE0D4"/>
    <w:rsid w:val="09E64387"/>
    <w:rsid w:val="09E657DB"/>
    <w:rsid w:val="09EE74F9"/>
    <w:rsid w:val="09EF4488"/>
    <w:rsid w:val="09F3801B"/>
    <w:rsid w:val="09F41870"/>
    <w:rsid w:val="09FBA0DF"/>
    <w:rsid w:val="09FC1157"/>
    <w:rsid w:val="0A00E6C3"/>
    <w:rsid w:val="0A0A3D62"/>
    <w:rsid w:val="0A1FF9E5"/>
    <w:rsid w:val="0A25A299"/>
    <w:rsid w:val="0A284020"/>
    <w:rsid w:val="0A2A556C"/>
    <w:rsid w:val="0A362952"/>
    <w:rsid w:val="0A3D7A7F"/>
    <w:rsid w:val="0A4588C9"/>
    <w:rsid w:val="0A4F3890"/>
    <w:rsid w:val="0A578F67"/>
    <w:rsid w:val="0A58FFC2"/>
    <w:rsid w:val="0A5ABF53"/>
    <w:rsid w:val="0A6896FE"/>
    <w:rsid w:val="0A6BA034"/>
    <w:rsid w:val="0A6EA525"/>
    <w:rsid w:val="0A92606B"/>
    <w:rsid w:val="0A942DB6"/>
    <w:rsid w:val="0A984D06"/>
    <w:rsid w:val="0A99AD3A"/>
    <w:rsid w:val="0A9BA273"/>
    <w:rsid w:val="0A9D10BD"/>
    <w:rsid w:val="0AA34D0B"/>
    <w:rsid w:val="0AA4AD23"/>
    <w:rsid w:val="0AA746E9"/>
    <w:rsid w:val="0ABA22BF"/>
    <w:rsid w:val="0ACAA978"/>
    <w:rsid w:val="0ACCF43E"/>
    <w:rsid w:val="0AD79944"/>
    <w:rsid w:val="0ADF96C8"/>
    <w:rsid w:val="0AE1B605"/>
    <w:rsid w:val="0AE2FC55"/>
    <w:rsid w:val="0AF67B75"/>
    <w:rsid w:val="0AFC3584"/>
    <w:rsid w:val="0B046EFC"/>
    <w:rsid w:val="0B08FAB6"/>
    <w:rsid w:val="0B15449F"/>
    <w:rsid w:val="0B1653A0"/>
    <w:rsid w:val="0B243824"/>
    <w:rsid w:val="0B2B3078"/>
    <w:rsid w:val="0B302829"/>
    <w:rsid w:val="0B3204AB"/>
    <w:rsid w:val="0B37534A"/>
    <w:rsid w:val="0B379F3D"/>
    <w:rsid w:val="0B3B58BD"/>
    <w:rsid w:val="0B3E8408"/>
    <w:rsid w:val="0B3FF93A"/>
    <w:rsid w:val="0B423EFE"/>
    <w:rsid w:val="0B427F58"/>
    <w:rsid w:val="0B61239A"/>
    <w:rsid w:val="0B63490B"/>
    <w:rsid w:val="0B6D9300"/>
    <w:rsid w:val="0B9C90D6"/>
    <w:rsid w:val="0B9DA31D"/>
    <w:rsid w:val="0B9DDCDC"/>
    <w:rsid w:val="0BC5099F"/>
    <w:rsid w:val="0BD124FC"/>
    <w:rsid w:val="0BD3B386"/>
    <w:rsid w:val="0BEFE28D"/>
    <w:rsid w:val="0BF00D7B"/>
    <w:rsid w:val="0BF744D3"/>
    <w:rsid w:val="0BFD5BF3"/>
    <w:rsid w:val="0C0D4DC4"/>
    <w:rsid w:val="0C11F63D"/>
    <w:rsid w:val="0C22E703"/>
    <w:rsid w:val="0C2AE847"/>
    <w:rsid w:val="0C31D739"/>
    <w:rsid w:val="0C32BFF4"/>
    <w:rsid w:val="0C35F9BB"/>
    <w:rsid w:val="0C3725EA"/>
    <w:rsid w:val="0C379A20"/>
    <w:rsid w:val="0C42D52B"/>
    <w:rsid w:val="0C49CBD0"/>
    <w:rsid w:val="0C50F1A1"/>
    <w:rsid w:val="0C66BF21"/>
    <w:rsid w:val="0C685142"/>
    <w:rsid w:val="0C6FE3BF"/>
    <w:rsid w:val="0C74726A"/>
    <w:rsid w:val="0C7B2E17"/>
    <w:rsid w:val="0C7BE449"/>
    <w:rsid w:val="0C94E69B"/>
    <w:rsid w:val="0CAC1174"/>
    <w:rsid w:val="0CB1D61E"/>
    <w:rsid w:val="0CBB865A"/>
    <w:rsid w:val="0CD370FC"/>
    <w:rsid w:val="0CD6E2A8"/>
    <w:rsid w:val="0CE62AA6"/>
    <w:rsid w:val="0CFCCDDD"/>
    <w:rsid w:val="0D074527"/>
    <w:rsid w:val="0D0AE0AC"/>
    <w:rsid w:val="0D26E54A"/>
    <w:rsid w:val="0D415C27"/>
    <w:rsid w:val="0D4AAF5D"/>
    <w:rsid w:val="0D4B3FA7"/>
    <w:rsid w:val="0D4C7693"/>
    <w:rsid w:val="0D51D0B3"/>
    <w:rsid w:val="0D54D4C0"/>
    <w:rsid w:val="0D6F9A40"/>
    <w:rsid w:val="0D75EA5D"/>
    <w:rsid w:val="0D85AA4C"/>
    <w:rsid w:val="0D8D787C"/>
    <w:rsid w:val="0D8FC125"/>
    <w:rsid w:val="0D907402"/>
    <w:rsid w:val="0D9BC9F7"/>
    <w:rsid w:val="0DA50639"/>
    <w:rsid w:val="0DB74D9D"/>
    <w:rsid w:val="0DDC26E8"/>
    <w:rsid w:val="0DDEDAB2"/>
    <w:rsid w:val="0DEC1E0C"/>
    <w:rsid w:val="0E0584EF"/>
    <w:rsid w:val="0E15F404"/>
    <w:rsid w:val="0E2E1A8A"/>
    <w:rsid w:val="0E2F1C61"/>
    <w:rsid w:val="0E3AB569"/>
    <w:rsid w:val="0E6B0BF9"/>
    <w:rsid w:val="0E6BCFC7"/>
    <w:rsid w:val="0E73521C"/>
    <w:rsid w:val="0E91A27B"/>
    <w:rsid w:val="0EAC2477"/>
    <w:rsid w:val="0EB054DC"/>
    <w:rsid w:val="0EB89DA9"/>
    <w:rsid w:val="0EC1F0CA"/>
    <w:rsid w:val="0ED6AB93"/>
    <w:rsid w:val="0ED81CA8"/>
    <w:rsid w:val="0EDFF9DF"/>
    <w:rsid w:val="0EE22F86"/>
    <w:rsid w:val="0EEF87F2"/>
    <w:rsid w:val="0EF1D220"/>
    <w:rsid w:val="0EF25FF6"/>
    <w:rsid w:val="0F066B9C"/>
    <w:rsid w:val="0F20392E"/>
    <w:rsid w:val="0F23A5F1"/>
    <w:rsid w:val="0F3947B9"/>
    <w:rsid w:val="0F45F0EE"/>
    <w:rsid w:val="0F4C5267"/>
    <w:rsid w:val="0F4F8B99"/>
    <w:rsid w:val="0F6191E0"/>
    <w:rsid w:val="0F62E66E"/>
    <w:rsid w:val="0F66F453"/>
    <w:rsid w:val="0F6A5AA3"/>
    <w:rsid w:val="0F6B1FA3"/>
    <w:rsid w:val="0F72DBEA"/>
    <w:rsid w:val="0F75817F"/>
    <w:rsid w:val="0F7DC981"/>
    <w:rsid w:val="0F7DCB40"/>
    <w:rsid w:val="0F82EDE1"/>
    <w:rsid w:val="0F849B56"/>
    <w:rsid w:val="0F9644F0"/>
    <w:rsid w:val="0F97906A"/>
    <w:rsid w:val="0F9D4D29"/>
    <w:rsid w:val="0FA84591"/>
    <w:rsid w:val="0FAAC151"/>
    <w:rsid w:val="0FB0D6EA"/>
    <w:rsid w:val="0FB1C465"/>
    <w:rsid w:val="0FB6AFCD"/>
    <w:rsid w:val="0FCC7461"/>
    <w:rsid w:val="0FD560F3"/>
    <w:rsid w:val="0FDCA357"/>
    <w:rsid w:val="0FDE3BFF"/>
    <w:rsid w:val="0FF0ED96"/>
    <w:rsid w:val="0FF19DD9"/>
    <w:rsid w:val="100D0999"/>
    <w:rsid w:val="1021CC0B"/>
    <w:rsid w:val="102BBA8F"/>
    <w:rsid w:val="10409517"/>
    <w:rsid w:val="105C0793"/>
    <w:rsid w:val="105E00CC"/>
    <w:rsid w:val="10663F56"/>
    <w:rsid w:val="107A62A3"/>
    <w:rsid w:val="107F0288"/>
    <w:rsid w:val="108BD3B2"/>
    <w:rsid w:val="108CF320"/>
    <w:rsid w:val="108D0639"/>
    <w:rsid w:val="109C9F65"/>
    <w:rsid w:val="10A73B02"/>
    <w:rsid w:val="10B601E2"/>
    <w:rsid w:val="10C37E9E"/>
    <w:rsid w:val="10DC5679"/>
    <w:rsid w:val="10F14811"/>
    <w:rsid w:val="10F778A8"/>
    <w:rsid w:val="1112EE73"/>
    <w:rsid w:val="111594AD"/>
    <w:rsid w:val="111D4E99"/>
    <w:rsid w:val="112246C4"/>
    <w:rsid w:val="113920A2"/>
    <w:rsid w:val="114E4537"/>
    <w:rsid w:val="114FAD71"/>
    <w:rsid w:val="1157D3FA"/>
    <w:rsid w:val="115F73DE"/>
    <w:rsid w:val="117E56B1"/>
    <w:rsid w:val="1181AF0A"/>
    <w:rsid w:val="11824C1A"/>
    <w:rsid w:val="1187B1D5"/>
    <w:rsid w:val="1190ECC1"/>
    <w:rsid w:val="11953AFB"/>
    <w:rsid w:val="11962740"/>
    <w:rsid w:val="1196829B"/>
    <w:rsid w:val="1198962D"/>
    <w:rsid w:val="119DF740"/>
    <w:rsid w:val="11C85B33"/>
    <w:rsid w:val="11CEC6B4"/>
    <w:rsid w:val="11D30D37"/>
    <w:rsid w:val="11D42134"/>
    <w:rsid w:val="11D61D8A"/>
    <w:rsid w:val="11D7B9ED"/>
    <w:rsid w:val="11E12E10"/>
    <w:rsid w:val="11F5DFF9"/>
    <w:rsid w:val="11FB9EF2"/>
    <w:rsid w:val="120FE773"/>
    <w:rsid w:val="12218A75"/>
    <w:rsid w:val="122B944F"/>
    <w:rsid w:val="122C6418"/>
    <w:rsid w:val="122D04F0"/>
    <w:rsid w:val="12316068"/>
    <w:rsid w:val="1233E688"/>
    <w:rsid w:val="1248E237"/>
    <w:rsid w:val="125BCFEE"/>
    <w:rsid w:val="125D381B"/>
    <w:rsid w:val="126DD39B"/>
    <w:rsid w:val="126E4096"/>
    <w:rsid w:val="12708BDA"/>
    <w:rsid w:val="12726E4C"/>
    <w:rsid w:val="1277AE1F"/>
    <w:rsid w:val="1278B6CC"/>
    <w:rsid w:val="128DAC93"/>
    <w:rsid w:val="12912799"/>
    <w:rsid w:val="1296F632"/>
    <w:rsid w:val="12994420"/>
    <w:rsid w:val="129A40E3"/>
    <w:rsid w:val="12A44756"/>
    <w:rsid w:val="12A62899"/>
    <w:rsid w:val="12B18835"/>
    <w:rsid w:val="12B33F9B"/>
    <w:rsid w:val="12BEDB3F"/>
    <w:rsid w:val="12CAA70C"/>
    <w:rsid w:val="12CE5330"/>
    <w:rsid w:val="12D8B2A1"/>
    <w:rsid w:val="12E44792"/>
    <w:rsid w:val="12E73D2E"/>
    <w:rsid w:val="12EFF8D8"/>
    <w:rsid w:val="12F27C7A"/>
    <w:rsid w:val="12F64354"/>
    <w:rsid w:val="12F75122"/>
    <w:rsid w:val="13072CC6"/>
    <w:rsid w:val="130C59B3"/>
    <w:rsid w:val="13283164"/>
    <w:rsid w:val="132B0A8E"/>
    <w:rsid w:val="132C3AED"/>
    <w:rsid w:val="13375714"/>
    <w:rsid w:val="1341A93D"/>
    <w:rsid w:val="1345EC4D"/>
    <w:rsid w:val="13482C62"/>
    <w:rsid w:val="134BFF6E"/>
    <w:rsid w:val="134FBEFC"/>
    <w:rsid w:val="1358E84D"/>
    <w:rsid w:val="135D7970"/>
    <w:rsid w:val="136E5043"/>
    <w:rsid w:val="13710A44"/>
    <w:rsid w:val="13746284"/>
    <w:rsid w:val="1378BF17"/>
    <w:rsid w:val="137E299D"/>
    <w:rsid w:val="138FFF7F"/>
    <w:rsid w:val="13926BF7"/>
    <w:rsid w:val="1394BCD4"/>
    <w:rsid w:val="13A3B437"/>
    <w:rsid w:val="13A82167"/>
    <w:rsid w:val="13B03233"/>
    <w:rsid w:val="13BB5338"/>
    <w:rsid w:val="13BE7CAA"/>
    <w:rsid w:val="13C0E157"/>
    <w:rsid w:val="13C9F531"/>
    <w:rsid w:val="13CA734D"/>
    <w:rsid w:val="13D2BC6E"/>
    <w:rsid w:val="13D536F4"/>
    <w:rsid w:val="13D5B972"/>
    <w:rsid w:val="13DB3E80"/>
    <w:rsid w:val="13DB5D97"/>
    <w:rsid w:val="13DC11BA"/>
    <w:rsid w:val="13F121BC"/>
    <w:rsid w:val="13F7B3DA"/>
    <w:rsid w:val="13FE73F9"/>
    <w:rsid w:val="1403B128"/>
    <w:rsid w:val="140D6B5D"/>
    <w:rsid w:val="1429D52F"/>
    <w:rsid w:val="142E5000"/>
    <w:rsid w:val="1434E8E1"/>
    <w:rsid w:val="143DA263"/>
    <w:rsid w:val="1440C09D"/>
    <w:rsid w:val="14436828"/>
    <w:rsid w:val="14471000"/>
    <w:rsid w:val="144D0020"/>
    <w:rsid w:val="144EF37F"/>
    <w:rsid w:val="1453F08C"/>
    <w:rsid w:val="14544F4B"/>
    <w:rsid w:val="14579907"/>
    <w:rsid w:val="1459F686"/>
    <w:rsid w:val="145B0062"/>
    <w:rsid w:val="145F868D"/>
    <w:rsid w:val="146D1443"/>
    <w:rsid w:val="1480484E"/>
    <w:rsid w:val="148471A9"/>
    <w:rsid w:val="149B75C8"/>
    <w:rsid w:val="14A2EC63"/>
    <w:rsid w:val="14A34E8C"/>
    <w:rsid w:val="14A52DC1"/>
    <w:rsid w:val="14AC4BDF"/>
    <w:rsid w:val="14AF7B0A"/>
    <w:rsid w:val="14B1B823"/>
    <w:rsid w:val="14B43698"/>
    <w:rsid w:val="14BA0585"/>
    <w:rsid w:val="14BC552B"/>
    <w:rsid w:val="14C609D0"/>
    <w:rsid w:val="14CF0EE3"/>
    <w:rsid w:val="14D8D285"/>
    <w:rsid w:val="14DC49E4"/>
    <w:rsid w:val="14DC568A"/>
    <w:rsid w:val="14E23B03"/>
    <w:rsid w:val="14E269A6"/>
    <w:rsid w:val="14E6252D"/>
    <w:rsid w:val="14F3E3B3"/>
    <w:rsid w:val="14F81145"/>
    <w:rsid w:val="14FB9BA8"/>
    <w:rsid w:val="1503690E"/>
    <w:rsid w:val="1506393C"/>
    <w:rsid w:val="15109C45"/>
    <w:rsid w:val="1514C82B"/>
    <w:rsid w:val="1519CE6A"/>
    <w:rsid w:val="151AB3BF"/>
    <w:rsid w:val="151CE893"/>
    <w:rsid w:val="15289820"/>
    <w:rsid w:val="152AF4D5"/>
    <w:rsid w:val="153481C9"/>
    <w:rsid w:val="15390E10"/>
    <w:rsid w:val="153E37A7"/>
    <w:rsid w:val="1546AF93"/>
    <w:rsid w:val="155C318F"/>
    <w:rsid w:val="156C5C62"/>
    <w:rsid w:val="157110B8"/>
    <w:rsid w:val="15769E0E"/>
    <w:rsid w:val="158D5D20"/>
    <w:rsid w:val="15992FD4"/>
    <w:rsid w:val="15A620BE"/>
    <w:rsid w:val="15A8E3F9"/>
    <w:rsid w:val="15A988BA"/>
    <w:rsid w:val="15AE14D0"/>
    <w:rsid w:val="15D06452"/>
    <w:rsid w:val="15D2C4C3"/>
    <w:rsid w:val="15DE1E5E"/>
    <w:rsid w:val="15E8AEC6"/>
    <w:rsid w:val="15EA6D45"/>
    <w:rsid w:val="15EAEB08"/>
    <w:rsid w:val="16035628"/>
    <w:rsid w:val="160954C8"/>
    <w:rsid w:val="161223AC"/>
    <w:rsid w:val="1618367B"/>
    <w:rsid w:val="16205CC6"/>
    <w:rsid w:val="163CD6B6"/>
    <w:rsid w:val="1650252D"/>
    <w:rsid w:val="1651B5B8"/>
    <w:rsid w:val="165B8E40"/>
    <w:rsid w:val="1662F296"/>
    <w:rsid w:val="16662036"/>
    <w:rsid w:val="16708D39"/>
    <w:rsid w:val="167E120C"/>
    <w:rsid w:val="168465B4"/>
    <w:rsid w:val="16906ADD"/>
    <w:rsid w:val="169F9097"/>
    <w:rsid w:val="16A21A97"/>
    <w:rsid w:val="16C6F2CF"/>
    <w:rsid w:val="16C9B558"/>
    <w:rsid w:val="16CD1A5A"/>
    <w:rsid w:val="16E3200D"/>
    <w:rsid w:val="16F4814C"/>
    <w:rsid w:val="16FA421A"/>
    <w:rsid w:val="16FAF1D9"/>
    <w:rsid w:val="17011F12"/>
    <w:rsid w:val="17096A45"/>
    <w:rsid w:val="170AD4D9"/>
    <w:rsid w:val="170F002A"/>
    <w:rsid w:val="17201293"/>
    <w:rsid w:val="17294894"/>
    <w:rsid w:val="172A2A2C"/>
    <w:rsid w:val="173637BA"/>
    <w:rsid w:val="1740A9D8"/>
    <w:rsid w:val="1751C1BE"/>
    <w:rsid w:val="1751C965"/>
    <w:rsid w:val="175A6DD0"/>
    <w:rsid w:val="175E2300"/>
    <w:rsid w:val="17616F49"/>
    <w:rsid w:val="176F50A0"/>
    <w:rsid w:val="17726EC9"/>
    <w:rsid w:val="177822C1"/>
    <w:rsid w:val="1782B7F8"/>
    <w:rsid w:val="1788CEC7"/>
    <w:rsid w:val="178C5D88"/>
    <w:rsid w:val="178F243A"/>
    <w:rsid w:val="17925277"/>
    <w:rsid w:val="17973317"/>
    <w:rsid w:val="1798A5C7"/>
    <w:rsid w:val="17B36C53"/>
    <w:rsid w:val="17B49E54"/>
    <w:rsid w:val="17C9377A"/>
    <w:rsid w:val="17DAF3F6"/>
    <w:rsid w:val="17DF6C21"/>
    <w:rsid w:val="180F90D4"/>
    <w:rsid w:val="181ED4A0"/>
    <w:rsid w:val="1820FEA3"/>
    <w:rsid w:val="18241D78"/>
    <w:rsid w:val="18267D5C"/>
    <w:rsid w:val="1829D699"/>
    <w:rsid w:val="182B4679"/>
    <w:rsid w:val="182EB74B"/>
    <w:rsid w:val="1830778E"/>
    <w:rsid w:val="183E26F7"/>
    <w:rsid w:val="183FF69B"/>
    <w:rsid w:val="18419700"/>
    <w:rsid w:val="184B62A3"/>
    <w:rsid w:val="1850DCB0"/>
    <w:rsid w:val="18544A5A"/>
    <w:rsid w:val="18548955"/>
    <w:rsid w:val="187B928A"/>
    <w:rsid w:val="18870AAC"/>
    <w:rsid w:val="18879D39"/>
    <w:rsid w:val="188B99B9"/>
    <w:rsid w:val="1891E70A"/>
    <w:rsid w:val="18948DE3"/>
    <w:rsid w:val="18950BD2"/>
    <w:rsid w:val="18A13F81"/>
    <w:rsid w:val="18BBD2CE"/>
    <w:rsid w:val="18CEBF77"/>
    <w:rsid w:val="18E619BA"/>
    <w:rsid w:val="18E97B9B"/>
    <w:rsid w:val="18EE86B6"/>
    <w:rsid w:val="18F343F9"/>
    <w:rsid w:val="18FB84A8"/>
    <w:rsid w:val="190326B3"/>
    <w:rsid w:val="191525B5"/>
    <w:rsid w:val="192F6A9E"/>
    <w:rsid w:val="195166B7"/>
    <w:rsid w:val="1959F7AD"/>
    <w:rsid w:val="195E193B"/>
    <w:rsid w:val="1968ABC4"/>
    <w:rsid w:val="197B2EA1"/>
    <w:rsid w:val="197FE54C"/>
    <w:rsid w:val="198F51CC"/>
    <w:rsid w:val="19A8D006"/>
    <w:rsid w:val="19B776AB"/>
    <w:rsid w:val="19B9F887"/>
    <w:rsid w:val="19C07C73"/>
    <w:rsid w:val="19C0A454"/>
    <w:rsid w:val="19CC9438"/>
    <w:rsid w:val="19D5ED72"/>
    <w:rsid w:val="19E27518"/>
    <w:rsid w:val="19E40D68"/>
    <w:rsid w:val="19EF619B"/>
    <w:rsid w:val="19F0DA64"/>
    <w:rsid w:val="19F583F7"/>
    <w:rsid w:val="19F9E6E4"/>
    <w:rsid w:val="1A0D7B51"/>
    <w:rsid w:val="1A1CBCDA"/>
    <w:rsid w:val="1A298EAA"/>
    <w:rsid w:val="1A30DC57"/>
    <w:rsid w:val="1A5ACF13"/>
    <w:rsid w:val="1A5DE8B5"/>
    <w:rsid w:val="1A625A11"/>
    <w:rsid w:val="1A6F9D93"/>
    <w:rsid w:val="1A730E52"/>
    <w:rsid w:val="1A80B1F7"/>
    <w:rsid w:val="1A80F9BF"/>
    <w:rsid w:val="1A81DC0D"/>
    <w:rsid w:val="1A8207BE"/>
    <w:rsid w:val="1A822127"/>
    <w:rsid w:val="1A855D32"/>
    <w:rsid w:val="1A9B46CE"/>
    <w:rsid w:val="1A9B7F45"/>
    <w:rsid w:val="1AA26D72"/>
    <w:rsid w:val="1AA964EE"/>
    <w:rsid w:val="1AA97FE8"/>
    <w:rsid w:val="1AAF36F8"/>
    <w:rsid w:val="1AB20134"/>
    <w:rsid w:val="1AB29EC3"/>
    <w:rsid w:val="1AB5CCF3"/>
    <w:rsid w:val="1AB6DE2C"/>
    <w:rsid w:val="1AD145B9"/>
    <w:rsid w:val="1ADB30BF"/>
    <w:rsid w:val="1AE24168"/>
    <w:rsid w:val="1AE82CDC"/>
    <w:rsid w:val="1AEF4028"/>
    <w:rsid w:val="1AFA2E29"/>
    <w:rsid w:val="1B00A545"/>
    <w:rsid w:val="1B02D1D3"/>
    <w:rsid w:val="1B0E0429"/>
    <w:rsid w:val="1B148613"/>
    <w:rsid w:val="1B170CE3"/>
    <w:rsid w:val="1B184655"/>
    <w:rsid w:val="1B191581"/>
    <w:rsid w:val="1B1BF678"/>
    <w:rsid w:val="1B1FB4D0"/>
    <w:rsid w:val="1B25FCDE"/>
    <w:rsid w:val="1B2D7968"/>
    <w:rsid w:val="1B314BE7"/>
    <w:rsid w:val="1B320DB1"/>
    <w:rsid w:val="1B32BAF8"/>
    <w:rsid w:val="1B33E225"/>
    <w:rsid w:val="1B34F9AB"/>
    <w:rsid w:val="1B378EF9"/>
    <w:rsid w:val="1B3CB554"/>
    <w:rsid w:val="1B436A80"/>
    <w:rsid w:val="1B451598"/>
    <w:rsid w:val="1B4E8E38"/>
    <w:rsid w:val="1B4EC0A4"/>
    <w:rsid w:val="1B580F8E"/>
    <w:rsid w:val="1B59D1EF"/>
    <w:rsid w:val="1B5E8537"/>
    <w:rsid w:val="1B5EBA0E"/>
    <w:rsid w:val="1B5ED3F1"/>
    <w:rsid w:val="1B643717"/>
    <w:rsid w:val="1B6F1E85"/>
    <w:rsid w:val="1B72AF78"/>
    <w:rsid w:val="1B7F5648"/>
    <w:rsid w:val="1B83ECF8"/>
    <w:rsid w:val="1B8B7C0F"/>
    <w:rsid w:val="1B8E3BE4"/>
    <w:rsid w:val="1B90189F"/>
    <w:rsid w:val="1B9D4ADD"/>
    <w:rsid w:val="1B9DBE5E"/>
    <w:rsid w:val="1BA2A45C"/>
    <w:rsid w:val="1BA34101"/>
    <w:rsid w:val="1BBB5CF9"/>
    <w:rsid w:val="1BBBE46A"/>
    <w:rsid w:val="1BBC927D"/>
    <w:rsid w:val="1BBED232"/>
    <w:rsid w:val="1BD46C2C"/>
    <w:rsid w:val="1BD47E3F"/>
    <w:rsid w:val="1BDE2BF1"/>
    <w:rsid w:val="1BE3E4E0"/>
    <w:rsid w:val="1BE92704"/>
    <w:rsid w:val="1BEB6831"/>
    <w:rsid w:val="1BF0EE54"/>
    <w:rsid w:val="1BF17C8B"/>
    <w:rsid w:val="1BF35BAF"/>
    <w:rsid w:val="1BF5C65A"/>
    <w:rsid w:val="1BF8D065"/>
    <w:rsid w:val="1C0285B9"/>
    <w:rsid w:val="1C063145"/>
    <w:rsid w:val="1C0670F3"/>
    <w:rsid w:val="1C0CCD7F"/>
    <w:rsid w:val="1C0D6E75"/>
    <w:rsid w:val="1C11157F"/>
    <w:rsid w:val="1C1625BF"/>
    <w:rsid w:val="1C176BA4"/>
    <w:rsid w:val="1C1EEBA1"/>
    <w:rsid w:val="1C2714C4"/>
    <w:rsid w:val="1C2D861E"/>
    <w:rsid w:val="1C3720F1"/>
    <w:rsid w:val="1C3908E2"/>
    <w:rsid w:val="1C3EBC91"/>
    <w:rsid w:val="1C48F590"/>
    <w:rsid w:val="1C4BFA4A"/>
    <w:rsid w:val="1C4FFC70"/>
    <w:rsid w:val="1C506528"/>
    <w:rsid w:val="1C658AB5"/>
    <w:rsid w:val="1C6EBD5E"/>
    <w:rsid w:val="1C6EC403"/>
    <w:rsid w:val="1C744F36"/>
    <w:rsid w:val="1C763978"/>
    <w:rsid w:val="1C7D05DD"/>
    <w:rsid w:val="1C8879A6"/>
    <w:rsid w:val="1C8A9F2D"/>
    <w:rsid w:val="1CAD5244"/>
    <w:rsid w:val="1CADA419"/>
    <w:rsid w:val="1CB67E82"/>
    <w:rsid w:val="1CB8ED07"/>
    <w:rsid w:val="1CBF09D4"/>
    <w:rsid w:val="1CC6EB7E"/>
    <w:rsid w:val="1CCF5496"/>
    <w:rsid w:val="1CDDB09C"/>
    <w:rsid w:val="1CE4A547"/>
    <w:rsid w:val="1CE73F4E"/>
    <w:rsid w:val="1CEB9C22"/>
    <w:rsid w:val="1CF94518"/>
    <w:rsid w:val="1CFA8421"/>
    <w:rsid w:val="1CFF9C08"/>
    <w:rsid w:val="1D08F911"/>
    <w:rsid w:val="1D19E649"/>
    <w:rsid w:val="1D1B6F76"/>
    <w:rsid w:val="1D1F0DC1"/>
    <w:rsid w:val="1D377537"/>
    <w:rsid w:val="1D41AFED"/>
    <w:rsid w:val="1D48C686"/>
    <w:rsid w:val="1D4B7A62"/>
    <w:rsid w:val="1D582FC1"/>
    <w:rsid w:val="1D5C880C"/>
    <w:rsid w:val="1D61D76A"/>
    <w:rsid w:val="1D74130F"/>
    <w:rsid w:val="1D854DE6"/>
    <w:rsid w:val="1D873892"/>
    <w:rsid w:val="1D98CD78"/>
    <w:rsid w:val="1D9B2901"/>
    <w:rsid w:val="1D9EDDDE"/>
    <w:rsid w:val="1DABEB75"/>
    <w:rsid w:val="1DB826DE"/>
    <w:rsid w:val="1DC10434"/>
    <w:rsid w:val="1DC8C554"/>
    <w:rsid w:val="1DD486D4"/>
    <w:rsid w:val="1DDD4185"/>
    <w:rsid w:val="1DE38131"/>
    <w:rsid w:val="1DE4B642"/>
    <w:rsid w:val="1DE69490"/>
    <w:rsid w:val="1DEA6EC1"/>
    <w:rsid w:val="1DEBDAE4"/>
    <w:rsid w:val="1DEDB7D8"/>
    <w:rsid w:val="1DFB6615"/>
    <w:rsid w:val="1E0394BE"/>
    <w:rsid w:val="1E0EEC3D"/>
    <w:rsid w:val="1E1895DE"/>
    <w:rsid w:val="1E2E45C3"/>
    <w:rsid w:val="1E3E3EAE"/>
    <w:rsid w:val="1E3E7985"/>
    <w:rsid w:val="1E5000A4"/>
    <w:rsid w:val="1E593044"/>
    <w:rsid w:val="1E5BA6C6"/>
    <w:rsid w:val="1E622131"/>
    <w:rsid w:val="1E7FACE8"/>
    <w:rsid w:val="1E83685A"/>
    <w:rsid w:val="1E8818FE"/>
    <w:rsid w:val="1E8AD791"/>
    <w:rsid w:val="1E93C072"/>
    <w:rsid w:val="1EAD5BA2"/>
    <w:rsid w:val="1EB055E9"/>
    <w:rsid w:val="1EB73F90"/>
    <w:rsid w:val="1EBDEDC0"/>
    <w:rsid w:val="1EC12DC6"/>
    <w:rsid w:val="1EC24445"/>
    <w:rsid w:val="1EC83F46"/>
    <w:rsid w:val="1ECBBC79"/>
    <w:rsid w:val="1EDD4459"/>
    <w:rsid w:val="1EDD90C4"/>
    <w:rsid w:val="1EDF8EE3"/>
    <w:rsid w:val="1EE14012"/>
    <w:rsid w:val="1EF23E40"/>
    <w:rsid w:val="1EF72A5C"/>
    <w:rsid w:val="1EFA4D92"/>
    <w:rsid w:val="1EFA71EC"/>
    <w:rsid w:val="1F076838"/>
    <w:rsid w:val="1F0DEBCC"/>
    <w:rsid w:val="1F0E6F01"/>
    <w:rsid w:val="1F13CC3A"/>
    <w:rsid w:val="1F1D2472"/>
    <w:rsid w:val="1F2308F3"/>
    <w:rsid w:val="1F2ACA89"/>
    <w:rsid w:val="1F38A870"/>
    <w:rsid w:val="1F4AB5AB"/>
    <w:rsid w:val="1F63B7DF"/>
    <w:rsid w:val="1F74F2B6"/>
    <w:rsid w:val="1F7A9565"/>
    <w:rsid w:val="1F832F6B"/>
    <w:rsid w:val="1F8C9AED"/>
    <w:rsid w:val="1FA3F08E"/>
    <w:rsid w:val="1FA8A51D"/>
    <w:rsid w:val="1FB5ACCA"/>
    <w:rsid w:val="1FB6EECD"/>
    <w:rsid w:val="1FB72ED9"/>
    <w:rsid w:val="1FBB36DC"/>
    <w:rsid w:val="1FC0A1C0"/>
    <w:rsid w:val="1FD17050"/>
    <w:rsid w:val="1FD68581"/>
    <w:rsid w:val="1FD6E214"/>
    <w:rsid w:val="1FE2483F"/>
    <w:rsid w:val="1FE3D261"/>
    <w:rsid w:val="1FFF4726"/>
    <w:rsid w:val="1FFF65FE"/>
    <w:rsid w:val="200C4DE9"/>
    <w:rsid w:val="201324D2"/>
    <w:rsid w:val="201FB8FD"/>
    <w:rsid w:val="203EEA90"/>
    <w:rsid w:val="2040C5F7"/>
    <w:rsid w:val="2046C4F4"/>
    <w:rsid w:val="204AC36D"/>
    <w:rsid w:val="204B8DFF"/>
    <w:rsid w:val="204CF36B"/>
    <w:rsid w:val="2059BF85"/>
    <w:rsid w:val="2068FE1E"/>
    <w:rsid w:val="208757EE"/>
    <w:rsid w:val="208D0723"/>
    <w:rsid w:val="208E5A68"/>
    <w:rsid w:val="20A1DDA3"/>
    <w:rsid w:val="20A902F0"/>
    <w:rsid w:val="20C06FF2"/>
    <w:rsid w:val="20D65373"/>
    <w:rsid w:val="20DFBF5B"/>
    <w:rsid w:val="20E2B1B4"/>
    <w:rsid w:val="20EDBA1D"/>
    <w:rsid w:val="20FE10FD"/>
    <w:rsid w:val="2121CD65"/>
    <w:rsid w:val="21274F43"/>
    <w:rsid w:val="2128A319"/>
    <w:rsid w:val="212EE44F"/>
    <w:rsid w:val="2135DF50"/>
    <w:rsid w:val="214CD17E"/>
    <w:rsid w:val="214CEB54"/>
    <w:rsid w:val="214D3FAC"/>
    <w:rsid w:val="2166513A"/>
    <w:rsid w:val="21747626"/>
    <w:rsid w:val="21789337"/>
    <w:rsid w:val="217A08F5"/>
    <w:rsid w:val="217AD185"/>
    <w:rsid w:val="217E09F6"/>
    <w:rsid w:val="2180EE58"/>
    <w:rsid w:val="2181D63C"/>
    <w:rsid w:val="218D52E7"/>
    <w:rsid w:val="218D9D45"/>
    <w:rsid w:val="21992446"/>
    <w:rsid w:val="21A9DC6A"/>
    <w:rsid w:val="21B4CA7A"/>
    <w:rsid w:val="21B78188"/>
    <w:rsid w:val="21CA9790"/>
    <w:rsid w:val="21DCA65E"/>
    <w:rsid w:val="21E16694"/>
    <w:rsid w:val="21E44844"/>
    <w:rsid w:val="21F6DB25"/>
    <w:rsid w:val="21FE4D66"/>
    <w:rsid w:val="2203E1A4"/>
    <w:rsid w:val="220DCFAD"/>
    <w:rsid w:val="221A22A3"/>
    <w:rsid w:val="222687FF"/>
    <w:rsid w:val="2226A1B5"/>
    <w:rsid w:val="2227F36C"/>
    <w:rsid w:val="22288BF9"/>
    <w:rsid w:val="2232E74C"/>
    <w:rsid w:val="2234048A"/>
    <w:rsid w:val="223F9333"/>
    <w:rsid w:val="223F96AC"/>
    <w:rsid w:val="22422C25"/>
    <w:rsid w:val="2242D0F7"/>
    <w:rsid w:val="22437E81"/>
    <w:rsid w:val="2254834C"/>
    <w:rsid w:val="2258BF09"/>
    <w:rsid w:val="225A89E8"/>
    <w:rsid w:val="225AA9B5"/>
    <w:rsid w:val="226EA885"/>
    <w:rsid w:val="227F8BCB"/>
    <w:rsid w:val="22840C22"/>
    <w:rsid w:val="229F2D0F"/>
    <w:rsid w:val="22B8E9AD"/>
    <w:rsid w:val="22C225D5"/>
    <w:rsid w:val="22D1EC70"/>
    <w:rsid w:val="22D439BE"/>
    <w:rsid w:val="22D74320"/>
    <w:rsid w:val="22E76C54"/>
    <w:rsid w:val="22EC02A4"/>
    <w:rsid w:val="22FF9795"/>
    <w:rsid w:val="230233BA"/>
    <w:rsid w:val="23050A6B"/>
    <w:rsid w:val="23079A79"/>
    <w:rsid w:val="23142FFF"/>
    <w:rsid w:val="2320993E"/>
    <w:rsid w:val="232A39B1"/>
    <w:rsid w:val="232A7F95"/>
    <w:rsid w:val="2333599F"/>
    <w:rsid w:val="23345D73"/>
    <w:rsid w:val="234310FC"/>
    <w:rsid w:val="2349D7BB"/>
    <w:rsid w:val="234CCA4A"/>
    <w:rsid w:val="235A7A03"/>
    <w:rsid w:val="235F767C"/>
    <w:rsid w:val="2364E539"/>
    <w:rsid w:val="236A84B0"/>
    <w:rsid w:val="238805E9"/>
    <w:rsid w:val="238F1B94"/>
    <w:rsid w:val="239B9A6A"/>
    <w:rsid w:val="239C0BE6"/>
    <w:rsid w:val="23A063D8"/>
    <w:rsid w:val="23A18908"/>
    <w:rsid w:val="23A5913E"/>
    <w:rsid w:val="23BB721F"/>
    <w:rsid w:val="23CE3611"/>
    <w:rsid w:val="23CEB7AD"/>
    <w:rsid w:val="23F34E83"/>
    <w:rsid w:val="23F82919"/>
    <w:rsid w:val="23FF0C4D"/>
    <w:rsid w:val="240D70B8"/>
    <w:rsid w:val="242BF7C8"/>
    <w:rsid w:val="243509C6"/>
    <w:rsid w:val="244236A5"/>
    <w:rsid w:val="2446AB15"/>
    <w:rsid w:val="2447E67F"/>
    <w:rsid w:val="244C8136"/>
    <w:rsid w:val="244E5D3E"/>
    <w:rsid w:val="245D37C0"/>
    <w:rsid w:val="24650DCA"/>
    <w:rsid w:val="2467FBB8"/>
    <w:rsid w:val="2468BA27"/>
    <w:rsid w:val="2475AA57"/>
    <w:rsid w:val="247B1776"/>
    <w:rsid w:val="247ED1F0"/>
    <w:rsid w:val="2489D39A"/>
    <w:rsid w:val="248F0F22"/>
    <w:rsid w:val="24920586"/>
    <w:rsid w:val="2492CF5B"/>
    <w:rsid w:val="24A2F9AD"/>
    <w:rsid w:val="24A9B061"/>
    <w:rsid w:val="24AB8601"/>
    <w:rsid w:val="24B95057"/>
    <w:rsid w:val="24C3CD64"/>
    <w:rsid w:val="24CB4312"/>
    <w:rsid w:val="24CC7D8A"/>
    <w:rsid w:val="24CF2794"/>
    <w:rsid w:val="24DF42AF"/>
    <w:rsid w:val="24F7743C"/>
    <w:rsid w:val="24FC9D33"/>
    <w:rsid w:val="25086393"/>
    <w:rsid w:val="250C0271"/>
    <w:rsid w:val="2513E76D"/>
    <w:rsid w:val="2514371A"/>
    <w:rsid w:val="2518829B"/>
    <w:rsid w:val="25285E32"/>
    <w:rsid w:val="2528E9F8"/>
    <w:rsid w:val="252951E3"/>
    <w:rsid w:val="252A7D23"/>
    <w:rsid w:val="252FE4D0"/>
    <w:rsid w:val="2532EA6F"/>
    <w:rsid w:val="25399B10"/>
    <w:rsid w:val="2541ED60"/>
    <w:rsid w:val="25457B26"/>
    <w:rsid w:val="254933BE"/>
    <w:rsid w:val="254F41CC"/>
    <w:rsid w:val="25522CEA"/>
    <w:rsid w:val="255291B8"/>
    <w:rsid w:val="255436C6"/>
    <w:rsid w:val="2557FC16"/>
    <w:rsid w:val="25587E35"/>
    <w:rsid w:val="2560E1A7"/>
    <w:rsid w:val="25624D5D"/>
    <w:rsid w:val="256674AF"/>
    <w:rsid w:val="256B28F7"/>
    <w:rsid w:val="256F06B9"/>
    <w:rsid w:val="257295B8"/>
    <w:rsid w:val="258AC21D"/>
    <w:rsid w:val="258D75AD"/>
    <w:rsid w:val="258FCC9A"/>
    <w:rsid w:val="25941708"/>
    <w:rsid w:val="25A4A9A6"/>
    <w:rsid w:val="25AC9653"/>
    <w:rsid w:val="25AED488"/>
    <w:rsid w:val="25AF8E7E"/>
    <w:rsid w:val="25B5617F"/>
    <w:rsid w:val="25C0ADAA"/>
    <w:rsid w:val="25C1A6F0"/>
    <w:rsid w:val="25D80388"/>
    <w:rsid w:val="25DA696C"/>
    <w:rsid w:val="25E2D0EB"/>
    <w:rsid w:val="25E8D4B7"/>
    <w:rsid w:val="25EA73E7"/>
    <w:rsid w:val="26045B3B"/>
    <w:rsid w:val="260724BA"/>
    <w:rsid w:val="26148FD8"/>
    <w:rsid w:val="261D4DE9"/>
    <w:rsid w:val="262DEF4C"/>
    <w:rsid w:val="2630ABB3"/>
    <w:rsid w:val="26392E9C"/>
    <w:rsid w:val="263CD80B"/>
    <w:rsid w:val="263F1378"/>
    <w:rsid w:val="26490AF2"/>
    <w:rsid w:val="26497AE0"/>
    <w:rsid w:val="264B1125"/>
    <w:rsid w:val="264C50FF"/>
    <w:rsid w:val="2650F47C"/>
    <w:rsid w:val="26585F5E"/>
    <w:rsid w:val="2659BF8A"/>
    <w:rsid w:val="265C52C4"/>
    <w:rsid w:val="267B3ADD"/>
    <w:rsid w:val="267E52B2"/>
    <w:rsid w:val="26801B63"/>
    <w:rsid w:val="26874BC1"/>
    <w:rsid w:val="268D8624"/>
    <w:rsid w:val="269BF69A"/>
    <w:rsid w:val="26AC04E1"/>
    <w:rsid w:val="26B1E7A2"/>
    <w:rsid w:val="26B5B461"/>
    <w:rsid w:val="26C12D35"/>
    <w:rsid w:val="26D08CA9"/>
    <w:rsid w:val="26D1A429"/>
    <w:rsid w:val="26D2ECF1"/>
    <w:rsid w:val="26E2CAA5"/>
    <w:rsid w:val="26ED93C6"/>
    <w:rsid w:val="27069181"/>
    <w:rsid w:val="270AC135"/>
    <w:rsid w:val="270E2BE3"/>
    <w:rsid w:val="27125AB3"/>
    <w:rsid w:val="2723E992"/>
    <w:rsid w:val="2725FAA0"/>
    <w:rsid w:val="272ACCD3"/>
    <w:rsid w:val="27321029"/>
    <w:rsid w:val="2734B10A"/>
    <w:rsid w:val="27377B5C"/>
    <w:rsid w:val="273E8358"/>
    <w:rsid w:val="2741AA5F"/>
    <w:rsid w:val="2742B5C6"/>
    <w:rsid w:val="2743020A"/>
    <w:rsid w:val="27453860"/>
    <w:rsid w:val="2749F35E"/>
    <w:rsid w:val="274ED752"/>
    <w:rsid w:val="2752B4ED"/>
    <w:rsid w:val="2756B119"/>
    <w:rsid w:val="27573E46"/>
    <w:rsid w:val="2758A0CE"/>
    <w:rsid w:val="275AEF43"/>
    <w:rsid w:val="275EBD54"/>
    <w:rsid w:val="276CEE5D"/>
    <w:rsid w:val="278B0B34"/>
    <w:rsid w:val="278D32CC"/>
    <w:rsid w:val="2798172B"/>
    <w:rsid w:val="27A48302"/>
    <w:rsid w:val="27ADE1B3"/>
    <w:rsid w:val="27BB00F3"/>
    <w:rsid w:val="27BE30C0"/>
    <w:rsid w:val="27C13E4A"/>
    <w:rsid w:val="27C1693A"/>
    <w:rsid w:val="27C3479D"/>
    <w:rsid w:val="27C56128"/>
    <w:rsid w:val="27CAD392"/>
    <w:rsid w:val="27D0DCE8"/>
    <w:rsid w:val="27D9CFC8"/>
    <w:rsid w:val="27EBB3FB"/>
    <w:rsid w:val="27F24F7A"/>
    <w:rsid w:val="27F6BD2E"/>
    <w:rsid w:val="28014E92"/>
    <w:rsid w:val="28051975"/>
    <w:rsid w:val="280BD5F4"/>
    <w:rsid w:val="28130AD2"/>
    <w:rsid w:val="2815C2EF"/>
    <w:rsid w:val="281A12CC"/>
    <w:rsid w:val="281B643E"/>
    <w:rsid w:val="28220005"/>
    <w:rsid w:val="282CC9F6"/>
    <w:rsid w:val="283D45B5"/>
    <w:rsid w:val="28413D66"/>
    <w:rsid w:val="2845E640"/>
    <w:rsid w:val="28482C3A"/>
    <w:rsid w:val="285152DD"/>
    <w:rsid w:val="28517A5F"/>
    <w:rsid w:val="28620A0C"/>
    <w:rsid w:val="286F60B1"/>
    <w:rsid w:val="287354CC"/>
    <w:rsid w:val="2873DA09"/>
    <w:rsid w:val="287BFF02"/>
    <w:rsid w:val="287D19F7"/>
    <w:rsid w:val="2880D480"/>
    <w:rsid w:val="2886BE64"/>
    <w:rsid w:val="289B609D"/>
    <w:rsid w:val="28A2718A"/>
    <w:rsid w:val="28A82A5E"/>
    <w:rsid w:val="28A9E53A"/>
    <w:rsid w:val="28AF4B78"/>
    <w:rsid w:val="28C994AD"/>
    <w:rsid w:val="28CB3E54"/>
    <w:rsid w:val="28E07438"/>
    <w:rsid w:val="28EAB3B7"/>
    <w:rsid w:val="28F025F8"/>
    <w:rsid w:val="28F38FD0"/>
    <w:rsid w:val="28F84795"/>
    <w:rsid w:val="2903799E"/>
    <w:rsid w:val="292A4AAC"/>
    <w:rsid w:val="2941D5A7"/>
    <w:rsid w:val="294C3FC8"/>
    <w:rsid w:val="294E4A21"/>
    <w:rsid w:val="295723C1"/>
    <w:rsid w:val="296B8291"/>
    <w:rsid w:val="29724F32"/>
    <w:rsid w:val="297470E2"/>
    <w:rsid w:val="297FF5A5"/>
    <w:rsid w:val="29815EE7"/>
    <w:rsid w:val="298AFAFE"/>
    <w:rsid w:val="298E892F"/>
    <w:rsid w:val="29948453"/>
    <w:rsid w:val="2996EDAE"/>
    <w:rsid w:val="29A3F9BD"/>
    <w:rsid w:val="29A9EBF5"/>
    <w:rsid w:val="29AB9883"/>
    <w:rsid w:val="29BA65E3"/>
    <w:rsid w:val="29D344AC"/>
    <w:rsid w:val="29D974ED"/>
    <w:rsid w:val="29E147CF"/>
    <w:rsid w:val="2A00BF15"/>
    <w:rsid w:val="2A26543D"/>
    <w:rsid w:val="2A3B77DC"/>
    <w:rsid w:val="2A41F0C2"/>
    <w:rsid w:val="2A47B802"/>
    <w:rsid w:val="2A4AA891"/>
    <w:rsid w:val="2A579A37"/>
    <w:rsid w:val="2A5A7DAC"/>
    <w:rsid w:val="2A5DE147"/>
    <w:rsid w:val="2A70E477"/>
    <w:rsid w:val="2A725C42"/>
    <w:rsid w:val="2A729C09"/>
    <w:rsid w:val="2A75281C"/>
    <w:rsid w:val="2A7B8BB9"/>
    <w:rsid w:val="2A839F98"/>
    <w:rsid w:val="2A8D71DD"/>
    <w:rsid w:val="2AA36FAE"/>
    <w:rsid w:val="2AB56DD4"/>
    <w:rsid w:val="2AB63DF6"/>
    <w:rsid w:val="2ABEEB16"/>
    <w:rsid w:val="2AC09430"/>
    <w:rsid w:val="2AC2A063"/>
    <w:rsid w:val="2AC61BEE"/>
    <w:rsid w:val="2ACAECB3"/>
    <w:rsid w:val="2ACBC37E"/>
    <w:rsid w:val="2AD06D30"/>
    <w:rsid w:val="2AD0F883"/>
    <w:rsid w:val="2AEB158C"/>
    <w:rsid w:val="2AEF51F1"/>
    <w:rsid w:val="2AF86107"/>
    <w:rsid w:val="2B002F21"/>
    <w:rsid w:val="2B012164"/>
    <w:rsid w:val="2B07B70E"/>
    <w:rsid w:val="2B098BD4"/>
    <w:rsid w:val="2B0AC38E"/>
    <w:rsid w:val="2B0C5F39"/>
    <w:rsid w:val="2B0C7A7A"/>
    <w:rsid w:val="2B18EA71"/>
    <w:rsid w:val="2B2149A8"/>
    <w:rsid w:val="2B259F61"/>
    <w:rsid w:val="2B2DD203"/>
    <w:rsid w:val="2B5A287F"/>
    <w:rsid w:val="2B65EF8B"/>
    <w:rsid w:val="2B70CFCE"/>
    <w:rsid w:val="2B71DEB1"/>
    <w:rsid w:val="2B7A59FC"/>
    <w:rsid w:val="2B7C0A39"/>
    <w:rsid w:val="2B8797F2"/>
    <w:rsid w:val="2B892584"/>
    <w:rsid w:val="2B9EEC5B"/>
    <w:rsid w:val="2BB20684"/>
    <w:rsid w:val="2BB77C5F"/>
    <w:rsid w:val="2BB868D7"/>
    <w:rsid w:val="2BBBE471"/>
    <w:rsid w:val="2BDE5D8E"/>
    <w:rsid w:val="2BE9E9A5"/>
    <w:rsid w:val="2BED4908"/>
    <w:rsid w:val="2BEE6678"/>
    <w:rsid w:val="2BFAB9F2"/>
    <w:rsid w:val="2C0531DA"/>
    <w:rsid w:val="2C097981"/>
    <w:rsid w:val="2C167A1A"/>
    <w:rsid w:val="2C1A4B35"/>
    <w:rsid w:val="2C245FA8"/>
    <w:rsid w:val="2C2594CD"/>
    <w:rsid w:val="2C3C0B20"/>
    <w:rsid w:val="2C429C50"/>
    <w:rsid w:val="2C5453A9"/>
    <w:rsid w:val="2C54A097"/>
    <w:rsid w:val="2C57D053"/>
    <w:rsid w:val="2C58C5AD"/>
    <w:rsid w:val="2C670097"/>
    <w:rsid w:val="2C675A69"/>
    <w:rsid w:val="2C6C345C"/>
    <w:rsid w:val="2C819F6D"/>
    <w:rsid w:val="2C859E17"/>
    <w:rsid w:val="2C8647EF"/>
    <w:rsid w:val="2C8ECFB5"/>
    <w:rsid w:val="2C99CD57"/>
    <w:rsid w:val="2C9D8418"/>
    <w:rsid w:val="2CAF3509"/>
    <w:rsid w:val="2CC68EF4"/>
    <w:rsid w:val="2CD45A9C"/>
    <w:rsid w:val="2CDE4573"/>
    <w:rsid w:val="2CE5E5C9"/>
    <w:rsid w:val="2CF15CDD"/>
    <w:rsid w:val="2CF38C76"/>
    <w:rsid w:val="2D00E167"/>
    <w:rsid w:val="2D15BFD2"/>
    <w:rsid w:val="2D180588"/>
    <w:rsid w:val="2D1963D3"/>
    <w:rsid w:val="2D1CD57D"/>
    <w:rsid w:val="2D1CF30A"/>
    <w:rsid w:val="2D20C59D"/>
    <w:rsid w:val="2D22F931"/>
    <w:rsid w:val="2D4606F6"/>
    <w:rsid w:val="2D46D13A"/>
    <w:rsid w:val="2D4F2CCF"/>
    <w:rsid w:val="2D5A69B1"/>
    <w:rsid w:val="2D62B502"/>
    <w:rsid w:val="2D7577EE"/>
    <w:rsid w:val="2D77A384"/>
    <w:rsid w:val="2D7B581B"/>
    <w:rsid w:val="2D7ED071"/>
    <w:rsid w:val="2D7F4AF8"/>
    <w:rsid w:val="2D8F391F"/>
    <w:rsid w:val="2DA2C5D0"/>
    <w:rsid w:val="2DA4F199"/>
    <w:rsid w:val="2DB6D45A"/>
    <w:rsid w:val="2DC52F02"/>
    <w:rsid w:val="2DD163F8"/>
    <w:rsid w:val="2DDF62AD"/>
    <w:rsid w:val="2DDF71E7"/>
    <w:rsid w:val="2DE1D1D1"/>
    <w:rsid w:val="2DF595E3"/>
    <w:rsid w:val="2DF83BF1"/>
    <w:rsid w:val="2E051044"/>
    <w:rsid w:val="2E070628"/>
    <w:rsid w:val="2E163FDB"/>
    <w:rsid w:val="2E1A10F8"/>
    <w:rsid w:val="2E1BF388"/>
    <w:rsid w:val="2E248307"/>
    <w:rsid w:val="2E2ED1E4"/>
    <w:rsid w:val="2E4449AC"/>
    <w:rsid w:val="2E586716"/>
    <w:rsid w:val="2E598125"/>
    <w:rsid w:val="2E613EAD"/>
    <w:rsid w:val="2E66A940"/>
    <w:rsid w:val="2E674818"/>
    <w:rsid w:val="2E6F8527"/>
    <w:rsid w:val="2E746EA0"/>
    <w:rsid w:val="2E865724"/>
    <w:rsid w:val="2EA7DE55"/>
    <w:rsid w:val="2EB5821D"/>
    <w:rsid w:val="2EBFFCBE"/>
    <w:rsid w:val="2EC0C646"/>
    <w:rsid w:val="2EC4B4E5"/>
    <w:rsid w:val="2ED2D872"/>
    <w:rsid w:val="2ED56F71"/>
    <w:rsid w:val="2ED8553A"/>
    <w:rsid w:val="2EE66248"/>
    <w:rsid w:val="2EE77853"/>
    <w:rsid w:val="2EF23193"/>
    <w:rsid w:val="2EF38533"/>
    <w:rsid w:val="2F008D9B"/>
    <w:rsid w:val="2F0353B1"/>
    <w:rsid w:val="2F04B4E9"/>
    <w:rsid w:val="2F122C4E"/>
    <w:rsid w:val="2F17521B"/>
    <w:rsid w:val="2F175DC6"/>
    <w:rsid w:val="2F20966C"/>
    <w:rsid w:val="2F2D01BB"/>
    <w:rsid w:val="2F373C1F"/>
    <w:rsid w:val="2F426C20"/>
    <w:rsid w:val="2F4A17CF"/>
    <w:rsid w:val="2F57A864"/>
    <w:rsid w:val="2F5EB17E"/>
    <w:rsid w:val="2F7AC024"/>
    <w:rsid w:val="2F844A14"/>
    <w:rsid w:val="2F930406"/>
    <w:rsid w:val="2F97CD80"/>
    <w:rsid w:val="2F9FAB56"/>
    <w:rsid w:val="2FA6E48E"/>
    <w:rsid w:val="2FB3C8F7"/>
    <w:rsid w:val="2FBE672C"/>
    <w:rsid w:val="2FCBA4C3"/>
    <w:rsid w:val="2FCF81F7"/>
    <w:rsid w:val="2FCF99F7"/>
    <w:rsid w:val="2FD4E547"/>
    <w:rsid w:val="2FDB6FA6"/>
    <w:rsid w:val="2FDDCFE2"/>
    <w:rsid w:val="2FE178F2"/>
    <w:rsid w:val="2FEACA4A"/>
    <w:rsid w:val="2FEC6308"/>
    <w:rsid w:val="2FEEBB6A"/>
    <w:rsid w:val="3000EB66"/>
    <w:rsid w:val="302AE4DB"/>
    <w:rsid w:val="30365EDC"/>
    <w:rsid w:val="304738D3"/>
    <w:rsid w:val="30481008"/>
    <w:rsid w:val="3048BDBC"/>
    <w:rsid w:val="304FA64A"/>
    <w:rsid w:val="3053D891"/>
    <w:rsid w:val="305506CF"/>
    <w:rsid w:val="305C4E07"/>
    <w:rsid w:val="307AC08E"/>
    <w:rsid w:val="307C6A75"/>
    <w:rsid w:val="307DFBE2"/>
    <w:rsid w:val="3080227F"/>
    <w:rsid w:val="30818963"/>
    <w:rsid w:val="308B55D5"/>
    <w:rsid w:val="308B6DCB"/>
    <w:rsid w:val="30A8F123"/>
    <w:rsid w:val="30AE8643"/>
    <w:rsid w:val="30BC63F2"/>
    <w:rsid w:val="30C4AFEE"/>
    <w:rsid w:val="30CD849F"/>
    <w:rsid w:val="30E4635E"/>
    <w:rsid w:val="30ED9B55"/>
    <w:rsid w:val="30EE4F4F"/>
    <w:rsid w:val="30F430C6"/>
    <w:rsid w:val="30FCF6D6"/>
    <w:rsid w:val="310BE37A"/>
    <w:rsid w:val="310D0B96"/>
    <w:rsid w:val="3116D6DA"/>
    <w:rsid w:val="311C6AFC"/>
    <w:rsid w:val="3127B51E"/>
    <w:rsid w:val="3130EF92"/>
    <w:rsid w:val="313A29A6"/>
    <w:rsid w:val="313BBAC8"/>
    <w:rsid w:val="313EBE36"/>
    <w:rsid w:val="314C53FF"/>
    <w:rsid w:val="3150A254"/>
    <w:rsid w:val="315C8D1C"/>
    <w:rsid w:val="31696EDD"/>
    <w:rsid w:val="316E4E16"/>
    <w:rsid w:val="3176D26F"/>
    <w:rsid w:val="31835240"/>
    <w:rsid w:val="319015E1"/>
    <w:rsid w:val="31918EB8"/>
    <w:rsid w:val="3199E0A1"/>
    <w:rsid w:val="319F5CEC"/>
    <w:rsid w:val="31A61B82"/>
    <w:rsid w:val="31AC4BDC"/>
    <w:rsid w:val="31AF89F2"/>
    <w:rsid w:val="31B1B696"/>
    <w:rsid w:val="31B3A5FB"/>
    <w:rsid w:val="31B68D0B"/>
    <w:rsid w:val="31D33B2A"/>
    <w:rsid w:val="31D41B9E"/>
    <w:rsid w:val="31DE6578"/>
    <w:rsid w:val="31E359B4"/>
    <w:rsid w:val="31E68756"/>
    <w:rsid w:val="31ED4BC8"/>
    <w:rsid w:val="31EE350B"/>
    <w:rsid w:val="31F0281D"/>
    <w:rsid w:val="31F0B588"/>
    <w:rsid w:val="32068C20"/>
    <w:rsid w:val="3216555E"/>
    <w:rsid w:val="3225F3F9"/>
    <w:rsid w:val="32272636"/>
    <w:rsid w:val="32498C69"/>
    <w:rsid w:val="324B0CF9"/>
    <w:rsid w:val="325344A3"/>
    <w:rsid w:val="325F60A7"/>
    <w:rsid w:val="326E2827"/>
    <w:rsid w:val="326EAD9E"/>
    <w:rsid w:val="32723D7C"/>
    <w:rsid w:val="3277276E"/>
    <w:rsid w:val="328B93B5"/>
    <w:rsid w:val="32992BE9"/>
    <w:rsid w:val="329CB8C9"/>
    <w:rsid w:val="32A8CA92"/>
    <w:rsid w:val="32AFCBA5"/>
    <w:rsid w:val="32BA9B47"/>
    <w:rsid w:val="32D03661"/>
    <w:rsid w:val="32D2F02D"/>
    <w:rsid w:val="32DB3ACE"/>
    <w:rsid w:val="32E8103A"/>
    <w:rsid w:val="32EACC27"/>
    <w:rsid w:val="32ED1AC7"/>
    <w:rsid w:val="32EE2F45"/>
    <w:rsid w:val="32EEE6A1"/>
    <w:rsid w:val="32FB3509"/>
    <w:rsid w:val="32FDCF58"/>
    <w:rsid w:val="33104F16"/>
    <w:rsid w:val="331D9A41"/>
    <w:rsid w:val="33358F71"/>
    <w:rsid w:val="3337A178"/>
    <w:rsid w:val="3337D449"/>
    <w:rsid w:val="33392A14"/>
    <w:rsid w:val="335F8520"/>
    <w:rsid w:val="3369535C"/>
    <w:rsid w:val="336CCD29"/>
    <w:rsid w:val="3380F721"/>
    <w:rsid w:val="338537A2"/>
    <w:rsid w:val="338E0D80"/>
    <w:rsid w:val="3390C1BF"/>
    <w:rsid w:val="33A51135"/>
    <w:rsid w:val="33AB23FB"/>
    <w:rsid w:val="33C6F656"/>
    <w:rsid w:val="33C708BB"/>
    <w:rsid w:val="33E1A6C9"/>
    <w:rsid w:val="33EE26C9"/>
    <w:rsid w:val="33EF8B5B"/>
    <w:rsid w:val="33F834D7"/>
    <w:rsid w:val="33F9679A"/>
    <w:rsid w:val="33FA1F40"/>
    <w:rsid w:val="33FD257E"/>
    <w:rsid w:val="340188DB"/>
    <w:rsid w:val="3407D407"/>
    <w:rsid w:val="3409C131"/>
    <w:rsid w:val="340CC57C"/>
    <w:rsid w:val="3412F7CF"/>
    <w:rsid w:val="3415171D"/>
    <w:rsid w:val="3418F7EE"/>
    <w:rsid w:val="341D8830"/>
    <w:rsid w:val="341F6C7E"/>
    <w:rsid w:val="342B16E5"/>
    <w:rsid w:val="34383E49"/>
    <w:rsid w:val="343C2479"/>
    <w:rsid w:val="34428166"/>
    <w:rsid w:val="345163C8"/>
    <w:rsid w:val="3451C95A"/>
    <w:rsid w:val="3454F63C"/>
    <w:rsid w:val="345B3956"/>
    <w:rsid w:val="345EF84A"/>
    <w:rsid w:val="346B9F0B"/>
    <w:rsid w:val="34782DCA"/>
    <w:rsid w:val="3489A17E"/>
    <w:rsid w:val="348C865C"/>
    <w:rsid w:val="348D72DE"/>
    <w:rsid w:val="3492227D"/>
    <w:rsid w:val="34AB6FC5"/>
    <w:rsid w:val="34ACED18"/>
    <w:rsid w:val="34B9AFD5"/>
    <w:rsid w:val="34BA4FCD"/>
    <w:rsid w:val="34BC8D4C"/>
    <w:rsid w:val="34C47832"/>
    <w:rsid w:val="34DAF9BD"/>
    <w:rsid w:val="34DF5E23"/>
    <w:rsid w:val="34EC4B05"/>
    <w:rsid w:val="34EE9624"/>
    <w:rsid w:val="34F0F5A7"/>
    <w:rsid w:val="34FE498F"/>
    <w:rsid w:val="35033A9D"/>
    <w:rsid w:val="3509EF10"/>
    <w:rsid w:val="350B054D"/>
    <w:rsid w:val="350FDB23"/>
    <w:rsid w:val="351065BD"/>
    <w:rsid w:val="351B29E7"/>
    <w:rsid w:val="351FDEB3"/>
    <w:rsid w:val="351FE698"/>
    <w:rsid w:val="35255131"/>
    <w:rsid w:val="352CC2EA"/>
    <w:rsid w:val="353BA700"/>
    <w:rsid w:val="353CA683"/>
    <w:rsid w:val="353F1F4E"/>
    <w:rsid w:val="3540E196"/>
    <w:rsid w:val="354ACA12"/>
    <w:rsid w:val="3551CD3C"/>
    <w:rsid w:val="3553CBE4"/>
    <w:rsid w:val="35552DE0"/>
    <w:rsid w:val="356294F2"/>
    <w:rsid w:val="35638C76"/>
    <w:rsid w:val="356712AA"/>
    <w:rsid w:val="356F8108"/>
    <w:rsid w:val="356FD4B5"/>
    <w:rsid w:val="3570D0E4"/>
    <w:rsid w:val="357F5A93"/>
    <w:rsid w:val="35805B6E"/>
    <w:rsid w:val="35816FDA"/>
    <w:rsid w:val="35883D61"/>
    <w:rsid w:val="3589FDA6"/>
    <w:rsid w:val="35959FD3"/>
    <w:rsid w:val="359CEB02"/>
    <w:rsid w:val="35B74774"/>
    <w:rsid w:val="35BADEBB"/>
    <w:rsid w:val="35BD3B8F"/>
    <w:rsid w:val="35C03A70"/>
    <w:rsid w:val="35C7D24D"/>
    <w:rsid w:val="35C880A1"/>
    <w:rsid w:val="35D32116"/>
    <w:rsid w:val="35D81944"/>
    <w:rsid w:val="35EA25B8"/>
    <w:rsid w:val="35FAE3A3"/>
    <w:rsid w:val="35FD5AE1"/>
    <w:rsid w:val="360D2B8A"/>
    <w:rsid w:val="36126DAE"/>
    <w:rsid w:val="3615D359"/>
    <w:rsid w:val="361D2929"/>
    <w:rsid w:val="362890B6"/>
    <w:rsid w:val="363A9201"/>
    <w:rsid w:val="363F272C"/>
    <w:rsid w:val="3644002C"/>
    <w:rsid w:val="365C947F"/>
    <w:rsid w:val="36722EA3"/>
    <w:rsid w:val="367C2CCD"/>
    <w:rsid w:val="36838788"/>
    <w:rsid w:val="3683B287"/>
    <w:rsid w:val="3686A7DF"/>
    <w:rsid w:val="369C3134"/>
    <w:rsid w:val="36A75A11"/>
    <w:rsid w:val="36AC41AA"/>
    <w:rsid w:val="36B0E38F"/>
    <w:rsid w:val="36B8BA40"/>
    <w:rsid w:val="36C5CB05"/>
    <w:rsid w:val="36D0642B"/>
    <w:rsid w:val="36D7AE22"/>
    <w:rsid w:val="36ED7511"/>
    <w:rsid w:val="36F28C55"/>
    <w:rsid w:val="36FA1B61"/>
    <w:rsid w:val="36FA611E"/>
    <w:rsid w:val="3702270A"/>
    <w:rsid w:val="37023918"/>
    <w:rsid w:val="370630D5"/>
    <w:rsid w:val="370F39AE"/>
    <w:rsid w:val="371BBCFD"/>
    <w:rsid w:val="37277436"/>
    <w:rsid w:val="37370F01"/>
    <w:rsid w:val="3739766D"/>
    <w:rsid w:val="373AA486"/>
    <w:rsid w:val="374259C6"/>
    <w:rsid w:val="374B14D1"/>
    <w:rsid w:val="375A1F38"/>
    <w:rsid w:val="3763A647"/>
    <w:rsid w:val="376828CE"/>
    <w:rsid w:val="3768BFEE"/>
    <w:rsid w:val="376A27B2"/>
    <w:rsid w:val="376FDC72"/>
    <w:rsid w:val="3779899F"/>
    <w:rsid w:val="37989F68"/>
    <w:rsid w:val="37A34157"/>
    <w:rsid w:val="37AB737F"/>
    <w:rsid w:val="37AE0BBD"/>
    <w:rsid w:val="37B0166C"/>
    <w:rsid w:val="37B5D5B3"/>
    <w:rsid w:val="37B6919B"/>
    <w:rsid w:val="37C364BE"/>
    <w:rsid w:val="37D70EB5"/>
    <w:rsid w:val="37DA7E9A"/>
    <w:rsid w:val="37FBDB68"/>
    <w:rsid w:val="3800D8F4"/>
    <w:rsid w:val="38022889"/>
    <w:rsid w:val="3808572B"/>
    <w:rsid w:val="380DEE35"/>
    <w:rsid w:val="380F60D6"/>
    <w:rsid w:val="381999EB"/>
    <w:rsid w:val="381A637C"/>
    <w:rsid w:val="381AC088"/>
    <w:rsid w:val="381D4569"/>
    <w:rsid w:val="38222C8F"/>
    <w:rsid w:val="38275547"/>
    <w:rsid w:val="382CFAEB"/>
    <w:rsid w:val="3833EEA2"/>
    <w:rsid w:val="383BE5CD"/>
    <w:rsid w:val="38578478"/>
    <w:rsid w:val="38594594"/>
    <w:rsid w:val="38712CBA"/>
    <w:rsid w:val="3876C010"/>
    <w:rsid w:val="38896DFE"/>
    <w:rsid w:val="388A45C9"/>
    <w:rsid w:val="389F3688"/>
    <w:rsid w:val="38AB58FC"/>
    <w:rsid w:val="38AC0273"/>
    <w:rsid w:val="38D65BA8"/>
    <w:rsid w:val="38D74F6A"/>
    <w:rsid w:val="38D8460D"/>
    <w:rsid w:val="38D88B0F"/>
    <w:rsid w:val="38DD94CA"/>
    <w:rsid w:val="38E2369A"/>
    <w:rsid w:val="38E74478"/>
    <w:rsid w:val="38FC9B75"/>
    <w:rsid w:val="3909B52A"/>
    <w:rsid w:val="390E9DD5"/>
    <w:rsid w:val="39255D6D"/>
    <w:rsid w:val="39269D63"/>
    <w:rsid w:val="39300EA0"/>
    <w:rsid w:val="39303495"/>
    <w:rsid w:val="39358FAC"/>
    <w:rsid w:val="393C11C8"/>
    <w:rsid w:val="394457B9"/>
    <w:rsid w:val="3944EDEA"/>
    <w:rsid w:val="3946B029"/>
    <w:rsid w:val="3947DCF3"/>
    <w:rsid w:val="3955DD01"/>
    <w:rsid w:val="39562BBB"/>
    <w:rsid w:val="395F6007"/>
    <w:rsid w:val="396F097D"/>
    <w:rsid w:val="3973321B"/>
    <w:rsid w:val="397649B1"/>
    <w:rsid w:val="39782FDB"/>
    <w:rsid w:val="3979E9CD"/>
    <w:rsid w:val="397AB614"/>
    <w:rsid w:val="398A5DBE"/>
    <w:rsid w:val="399E4F4C"/>
    <w:rsid w:val="399F337E"/>
    <w:rsid w:val="399F3510"/>
    <w:rsid w:val="39ACDDC4"/>
    <w:rsid w:val="39B1D41E"/>
    <w:rsid w:val="39B82C07"/>
    <w:rsid w:val="39B92C24"/>
    <w:rsid w:val="39BC728F"/>
    <w:rsid w:val="39BDEB3E"/>
    <w:rsid w:val="39CABA0F"/>
    <w:rsid w:val="39D3D04C"/>
    <w:rsid w:val="39FB8F73"/>
    <w:rsid w:val="3A04C3F6"/>
    <w:rsid w:val="3A057628"/>
    <w:rsid w:val="3A064CE3"/>
    <w:rsid w:val="3A270F1B"/>
    <w:rsid w:val="3A326FA8"/>
    <w:rsid w:val="3A3498BC"/>
    <w:rsid w:val="3A3A5F44"/>
    <w:rsid w:val="3A3D4C7D"/>
    <w:rsid w:val="3A4ADF2B"/>
    <w:rsid w:val="3A5167A0"/>
    <w:rsid w:val="3A5271A7"/>
    <w:rsid w:val="3A54C6C5"/>
    <w:rsid w:val="3A561913"/>
    <w:rsid w:val="3A564C19"/>
    <w:rsid w:val="3A5E7A51"/>
    <w:rsid w:val="3A614456"/>
    <w:rsid w:val="3A62FC25"/>
    <w:rsid w:val="3A668E3D"/>
    <w:rsid w:val="3A735A80"/>
    <w:rsid w:val="3A745DA7"/>
    <w:rsid w:val="3A7DC2FC"/>
    <w:rsid w:val="3A81ACA3"/>
    <w:rsid w:val="3A8A822A"/>
    <w:rsid w:val="3A8E5711"/>
    <w:rsid w:val="3A92A84A"/>
    <w:rsid w:val="3A96BEA3"/>
    <w:rsid w:val="3A985D2C"/>
    <w:rsid w:val="3A9C4DC0"/>
    <w:rsid w:val="3AA6F9AB"/>
    <w:rsid w:val="3AAEB545"/>
    <w:rsid w:val="3AB1E6A7"/>
    <w:rsid w:val="3AC0AD80"/>
    <w:rsid w:val="3ACB865C"/>
    <w:rsid w:val="3ADD8AE4"/>
    <w:rsid w:val="3ADF6F79"/>
    <w:rsid w:val="3AE27AFC"/>
    <w:rsid w:val="3AF5ED7E"/>
    <w:rsid w:val="3AF688D1"/>
    <w:rsid w:val="3AFC3CE9"/>
    <w:rsid w:val="3AFDD469"/>
    <w:rsid w:val="3AFE48F2"/>
    <w:rsid w:val="3B05CE8C"/>
    <w:rsid w:val="3B0600B0"/>
    <w:rsid w:val="3B0ADEB8"/>
    <w:rsid w:val="3B113E73"/>
    <w:rsid w:val="3B147470"/>
    <w:rsid w:val="3B1591DD"/>
    <w:rsid w:val="3B17B1C9"/>
    <w:rsid w:val="3B18A605"/>
    <w:rsid w:val="3B1D2DEF"/>
    <w:rsid w:val="3B1DABD5"/>
    <w:rsid w:val="3B29FACD"/>
    <w:rsid w:val="3B2E5692"/>
    <w:rsid w:val="3B32AD5E"/>
    <w:rsid w:val="3B33EA8A"/>
    <w:rsid w:val="3B435477"/>
    <w:rsid w:val="3B5F9F8D"/>
    <w:rsid w:val="3B67BF07"/>
    <w:rsid w:val="3B6D032D"/>
    <w:rsid w:val="3B77C0D3"/>
    <w:rsid w:val="3B86FD4A"/>
    <w:rsid w:val="3B88699B"/>
    <w:rsid w:val="3B9754D3"/>
    <w:rsid w:val="3B9819A4"/>
    <w:rsid w:val="3B98B37D"/>
    <w:rsid w:val="3BB2A806"/>
    <w:rsid w:val="3BE9253E"/>
    <w:rsid w:val="3BFA6805"/>
    <w:rsid w:val="3BFEBA36"/>
    <w:rsid w:val="3C08DA0F"/>
    <w:rsid w:val="3C15D03A"/>
    <w:rsid w:val="3C17DAF3"/>
    <w:rsid w:val="3C28D5F7"/>
    <w:rsid w:val="3C299908"/>
    <w:rsid w:val="3C2DCA14"/>
    <w:rsid w:val="3C309EA9"/>
    <w:rsid w:val="3C399C11"/>
    <w:rsid w:val="3C467F34"/>
    <w:rsid w:val="3C4C5BCF"/>
    <w:rsid w:val="3C4F157D"/>
    <w:rsid w:val="3C510BE8"/>
    <w:rsid w:val="3C5332F1"/>
    <w:rsid w:val="3C5A1417"/>
    <w:rsid w:val="3C682E97"/>
    <w:rsid w:val="3C779780"/>
    <w:rsid w:val="3C7E6D6F"/>
    <w:rsid w:val="3C7E8F78"/>
    <w:rsid w:val="3C809783"/>
    <w:rsid w:val="3C8EF280"/>
    <w:rsid w:val="3C9DFA35"/>
    <w:rsid w:val="3C9E41B3"/>
    <w:rsid w:val="3C9F318C"/>
    <w:rsid w:val="3CAB917F"/>
    <w:rsid w:val="3CABC79D"/>
    <w:rsid w:val="3CACA2D1"/>
    <w:rsid w:val="3CB6E311"/>
    <w:rsid w:val="3CBBFA85"/>
    <w:rsid w:val="3CD15B52"/>
    <w:rsid w:val="3CDC2D44"/>
    <w:rsid w:val="3CF82D0C"/>
    <w:rsid w:val="3CF8ACE7"/>
    <w:rsid w:val="3D03D2DA"/>
    <w:rsid w:val="3D0D6AB3"/>
    <w:rsid w:val="3D140572"/>
    <w:rsid w:val="3D151870"/>
    <w:rsid w:val="3D20F35F"/>
    <w:rsid w:val="3D2E55D9"/>
    <w:rsid w:val="3D2FA367"/>
    <w:rsid w:val="3D308231"/>
    <w:rsid w:val="3D336EE1"/>
    <w:rsid w:val="3D38E6EF"/>
    <w:rsid w:val="3D3A740B"/>
    <w:rsid w:val="3D3D32A0"/>
    <w:rsid w:val="3D508677"/>
    <w:rsid w:val="3D5ED0C7"/>
    <w:rsid w:val="3D5F4EA5"/>
    <w:rsid w:val="3D60597D"/>
    <w:rsid w:val="3D60B1E0"/>
    <w:rsid w:val="3D682908"/>
    <w:rsid w:val="3D782F4F"/>
    <w:rsid w:val="3D82B573"/>
    <w:rsid w:val="3D8E6E34"/>
    <w:rsid w:val="3D936FFE"/>
    <w:rsid w:val="3D99AAA9"/>
    <w:rsid w:val="3DA8CEA7"/>
    <w:rsid w:val="3DA9161D"/>
    <w:rsid w:val="3DCB56C3"/>
    <w:rsid w:val="3DD71E0E"/>
    <w:rsid w:val="3DD74650"/>
    <w:rsid w:val="3DD77465"/>
    <w:rsid w:val="3DF18FD7"/>
    <w:rsid w:val="3E010556"/>
    <w:rsid w:val="3E049879"/>
    <w:rsid w:val="3E16ABC9"/>
    <w:rsid w:val="3E179C2C"/>
    <w:rsid w:val="3E21ECB2"/>
    <w:rsid w:val="3E26BC3A"/>
    <w:rsid w:val="3E2EAE0A"/>
    <w:rsid w:val="3E2F4C58"/>
    <w:rsid w:val="3E305637"/>
    <w:rsid w:val="3E37F906"/>
    <w:rsid w:val="3E389F45"/>
    <w:rsid w:val="3E46EE9D"/>
    <w:rsid w:val="3E51CB93"/>
    <w:rsid w:val="3E58A3A2"/>
    <w:rsid w:val="3E6004AD"/>
    <w:rsid w:val="3E60B2E1"/>
    <w:rsid w:val="3E7F06E1"/>
    <w:rsid w:val="3E8412F4"/>
    <w:rsid w:val="3E845EED"/>
    <w:rsid w:val="3E86828E"/>
    <w:rsid w:val="3E871239"/>
    <w:rsid w:val="3E997906"/>
    <w:rsid w:val="3E9F1CF3"/>
    <w:rsid w:val="3E9FF6EC"/>
    <w:rsid w:val="3EA02A1A"/>
    <w:rsid w:val="3EA82625"/>
    <w:rsid w:val="3EA93B14"/>
    <w:rsid w:val="3EB47B9E"/>
    <w:rsid w:val="3EBDCBB1"/>
    <w:rsid w:val="3ED764E2"/>
    <w:rsid w:val="3EE39D8F"/>
    <w:rsid w:val="3EEF0195"/>
    <w:rsid w:val="3EF2577E"/>
    <w:rsid w:val="3EF34F39"/>
    <w:rsid w:val="3EF4E16D"/>
    <w:rsid w:val="3EF7771B"/>
    <w:rsid w:val="3EF8B575"/>
    <w:rsid w:val="3F03CEED"/>
    <w:rsid w:val="3F05377D"/>
    <w:rsid w:val="3F0543DA"/>
    <w:rsid w:val="3F0D96C4"/>
    <w:rsid w:val="3F2AE632"/>
    <w:rsid w:val="3F2F1F08"/>
    <w:rsid w:val="3F3B9158"/>
    <w:rsid w:val="3F462DA0"/>
    <w:rsid w:val="3F4980B7"/>
    <w:rsid w:val="3F4DF152"/>
    <w:rsid w:val="3F4ECD8D"/>
    <w:rsid w:val="3F5AA6DA"/>
    <w:rsid w:val="3F711636"/>
    <w:rsid w:val="3F9D7179"/>
    <w:rsid w:val="3FA41AFA"/>
    <w:rsid w:val="3FB9722C"/>
    <w:rsid w:val="3FBAE709"/>
    <w:rsid w:val="3FBBDD8B"/>
    <w:rsid w:val="3FC53A5F"/>
    <w:rsid w:val="3FCAE2E5"/>
    <w:rsid w:val="3FD79218"/>
    <w:rsid w:val="3FD796D1"/>
    <w:rsid w:val="3FD85712"/>
    <w:rsid w:val="3FE4F4DD"/>
    <w:rsid w:val="3FEB5847"/>
    <w:rsid w:val="3FF9206A"/>
    <w:rsid w:val="3FFFF091"/>
    <w:rsid w:val="4003965C"/>
    <w:rsid w:val="4003AD84"/>
    <w:rsid w:val="4003BE69"/>
    <w:rsid w:val="40058AC3"/>
    <w:rsid w:val="400D99DE"/>
    <w:rsid w:val="402118E3"/>
    <w:rsid w:val="40299491"/>
    <w:rsid w:val="402B7287"/>
    <w:rsid w:val="403C3B33"/>
    <w:rsid w:val="40524987"/>
    <w:rsid w:val="405DB391"/>
    <w:rsid w:val="40603C54"/>
    <w:rsid w:val="4067BBA9"/>
    <w:rsid w:val="4072878F"/>
    <w:rsid w:val="4088F178"/>
    <w:rsid w:val="408919DB"/>
    <w:rsid w:val="4094937E"/>
    <w:rsid w:val="409CAF5D"/>
    <w:rsid w:val="409DDE4E"/>
    <w:rsid w:val="40A15BAE"/>
    <w:rsid w:val="40A764E6"/>
    <w:rsid w:val="40AEBCF8"/>
    <w:rsid w:val="40B920AD"/>
    <w:rsid w:val="40C89AF1"/>
    <w:rsid w:val="40D0F5C4"/>
    <w:rsid w:val="40D2C844"/>
    <w:rsid w:val="40DC2DF0"/>
    <w:rsid w:val="40E836F6"/>
    <w:rsid w:val="40ECA852"/>
    <w:rsid w:val="40EFC3B9"/>
    <w:rsid w:val="40F68C25"/>
    <w:rsid w:val="40F94DB6"/>
    <w:rsid w:val="41028C68"/>
    <w:rsid w:val="41029B07"/>
    <w:rsid w:val="41056BA5"/>
    <w:rsid w:val="4124BA92"/>
    <w:rsid w:val="41275F0C"/>
    <w:rsid w:val="412A9C65"/>
    <w:rsid w:val="412E7FC4"/>
    <w:rsid w:val="41331F91"/>
    <w:rsid w:val="414040B0"/>
    <w:rsid w:val="41406C89"/>
    <w:rsid w:val="4141CB5D"/>
    <w:rsid w:val="41497263"/>
    <w:rsid w:val="4149BCB5"/>
    <w:rsid w:val="414CC24A"/>
    <w:rsid w:val="415128CC"/>
    <w:rsid w:val="415408A6"/>
    <w:rsid w:val="4166F37A"/>
    <w:rsid w:val="41692443"/>
    <w:rsid w:val="41698657"/>
    <w:rsid w:val="417BB18C"/>
    <w:rsid w:val="417C1530"/>
    <w:rsid w:val="417F307F"/>
    <w:rsid w:val="4186993E"/>
    <w:rsid w:val="4189814E"/>
    <w:rsid w:val="418B3048"/>
    <w:rsid w:val="419286F2"/>
    <w:rsid w:val="419B1B9B"/>
    <w:rsid w:val="419FFAF8"/>
    <w:rsid w:val="41A84120"/>
    <w:rsid w:val="41A84D25"/>
    <w:rsid w:val="41AC391B"/>
    <w:rsid w:val="41B2F4B0"/>
    <w:rsid w:val="41B7E92E"/>
    <w:rsid w:val="41BD25FB"/>
    <w:rsid w:val="41C95E47"/>
    <w:rsid w:val="41CB64B1"/>
    <w:rsid w:val="41CB9E2F"/>
    <w:rsid w:val="41D6E69E"/>
    <w:rsid w:val="41DD627C"/>
    <w:rsid w:val="41E8714C"/>
    <w:rsid w:val="41ED866E"/>
    <w:rsid w:val="41EEF451"/>
    <w:rsid w:val="41F72CE9"/>
    <w:rsid w:val="41FA0F21"/>
    <w:rsid w:val="41FA755D"/>
    <w:rsid w:val="41FE5BC9"/>
    <w:rsid w:val="420F05A4"/>
    <w:rsid w:val="42179F90"/>
    <w:rsid w:val="4219A233"/>
    <w:rsid w:val="422814F5"/>
    <w:rsid w:val="422F6251"/>
    <w:rsid w:val="423330DC"/>
    <w:rsid w:val="423A2007"/>
    <w:rsid w:val="423B9343"/>
    <w:rsid w:val="42495E1E"/>
    <w:rsid w:val="425939CD"/>
    <w:rsid w:val="425B4CD0"/>
    <w:rsid w:val="425E508A"/>
    <w:rsid w:val="42606867"/>
    <w:rsid w:val="4261F746"/>
    <w:rsid w:val="426B9E22"/>
    <w:rsid w:val="42782F16"/>
    <w:rsid w:val="4287903A"/>
    <w:rsid w:val="428E0268"/>
    <w:rsid w:val="42982A62"/>
    <w:rsid w:val="42A89399"/>
    <w:rsid w:val="42BD883C"/>
    <w:rsid w:val="42C13217"/>
    <w:rsid w:val="42C54E11"/>
    <w:rsid w:val="42D52C24"/>
    <w:rsid w:val="42DFD817"/>
    <w:rsid w:val="42E0CCAF"/>
    <w:rsid w:val="42FC9761"/>
    <w:rsid w:val="42FDF4B6"/>
    <w:rsid w:val="42FED81B"/>
    <w:rsid w:val="43001489"/>
    <w:rsid w:val="430CC19F"/>
    <w:rsid w:val="430D3914"/>
    <w:rsid w:val="43204CEE"/>
    <w:rsid w:val="432104CD"/>
    <w:rsid w:val="4323E066"/>
    <w:rsid w:val="4326629D"/>
    <w:rsid w:val="432DE4EB"/>
    <w:rsid w:val="43353DFF"/>
    <w:rsid w:val="433D271C"/>
    <w:rsid w:val="4349EAF4"/>
    <w:rsid w:val="434CB08C"/>
    <w:rsid w:val="436575B3"/>
    <w:rsid w:val="4367DE12"/>
    <w:rsid w:val="43724264"/>
    <w:rsid w:val="43844279"/>
    <w:rsid w:val="43857162"/>
    <w:rsid w:val="4390021F"/>
    <w:rsid w:val="439585E5"/>
    <w:rsid w:val="43AC484F"/>
    <w:rsid w:val="43B29425"/>
    <w:rsid w:val="43B98250"/>
    <w:rsid w:val="43BE36CD"/>
    <w:rsid w:val="43C82D57"/>
    <w:rsid w:val="43CB8839"/>
    <w:rsid w:val="43CECD2B"/>
    <w:rsid w:val="43D8FDBB"/>
    <w:rsid w:val="43DD1A20"/>
    <w:rsid w:val="43E132D5"/>
    <w:rsid w:val="43E49F61"/>
    <w:rsid w:val="43E51A0B"/>
    <w:rsid w:val="43F0CA27"/>
    <w:rsid w:val="43F8264E"/>
    <w:rsid w:val="43FC5235"/>
    <w:rsid w:val="44010500"/>
    <w:rsid w:val="44047331"/>
    <w:rsid w:val="4406AF5B"/>
    <w:rsid w:val="440DD754"/>
    <w:rsid w:val="441741A7"/>
    <w:rsid w:val="44274B4D"/>
    <w:rsid w:val="4429F5CD"/>
    <w:rsid w:val="4430EE78"/>
    <w:rsid w:val="4431F7B7"/>
    <w:rsid w:val="444D39E1"/>
    <w:rsid w:val="4453A285"/>
    <w:rsid w:val="44571B07"/>
    <w:rsid w:val="4459589D"/>
    <w:rsid w:val="445F32AA"/>
    <w:rsid w:val="44616B23"/>
    <w:rsid w:val="44681113"/>
    <w:rsid w:val="447F9A58"/>
    <w:rsid w:val="44815C91"/>
    <w:rsid w:val="448D75F5"/>
    <w:rsid w:val="449DA3C1"/>
    <w:rsid w:val="44A9C782"/>
    <w:rsid w:val="44AE30C9"/>
    <w:rsid w:val="44C04383"/>
    <w:rsid w:val="44C39E9C"/>
    <w:rsid w:val="44C9E531"/>
    <w:rsid w:val="44D1E708"/>
    <w:rsid w:val="44F8B5B7"/>
    <w:rsid w:val="44FAB3E2"/>
    <w:rsid w:val="44FC7D41"/>
    <w:rsid w:val="450B1901"/>
    <w:rsid w:val="450B7896"/>
    <w:rsid w:val="450CB52B"/>
    <w:rsid w:val="45106545"/>
    <w:rsid w:val="4515E88C"/>
    <w:rsid w:val="451F80EC"/>
    <w:rsid w:val="452012DA"/>
    <w:rsid w:val="4521CE86"/>
    <w:rsid w:val="452AC970"/>
    <w:rsid w:val="4534A392"/>
    <w:rsid w:val="4536A9E3"/>
    <w:rsid w:val="454692F2"/>
    <w:rsid w:val="454CEA9A"/>
    <w:rsid w:val="4551A332"/>
    <w:rsid w:val="4551ABC6"/>
    <w:rsid w:val="4551BE2B"/>
    <w:rsid w:val="4551D084"/>
    <w:rsid w:val="455582C3"/>
    <w:rsid w:val="455A0C4C"/>
    <w:rsid w:val="455DC1E8"/>
    <w:rsid w:val="455FC745"/>
    <w:rsid w:val="456CD022"/>
    <w:rsid w:val="456D4F0F"/>
    <w:rsid w:val="4570DD38"/>
    <w:rsid w:val="459ACDD0"/>
    <w:rsid w:val="459C9544"/>
    <w:rsid w:val="45AAD973"/>
    <w:rsid w:val="45B0928B"/>
    <w:rsid w:val="45BA2680"/>
    <w:rsid w:val="45C93612"/>
    <w:rsid w:val="45D18F55"/>
    <w:rsid w:val="45D2C0FC"/>
    <w:rsid w:val="45D42E83"/>
    <w:rsid w:val="45DF3900"/>
    <w:rsid w:val="45F27F0D"/>
    <w:rsid w:val="45F2EEDE"/>
    <w:rsid w:val="45F528FE"/>
    <w:rsid w:val="45F560D7"/>
    <w:rsid w:val="460376CC"/>
    <w:rsid w:val="46057DB7"/>
    <w:rsid w:val="4607A992"/>
    <w:rsid w:val="4607E9AD"/>
    <w:rsid w:val="460A5043"/>
    <w:rsid w:val="460ED7ED"/>
    <w:rsid w:val="4613A0C3"/>
    <w:rsid w:val="46335DF3"/>
    <w:rsid w:val="46384EF7"/>
    <w:rsid w:val="4639EE87"/>
    <w:rsid w:val="463A59AB"/>
    <w:rsid w:val="463AADFE"/>
    <w:rsid w:val="46463EFB"/>
    <w:rsid w:val="464C68CC"/>
    <w:rsid w:val="465B0CAD"/>
    <w:rsid w:val="467DA9D3"/>
    <w:rsid w:val="468C9478"/>
    <w:rsid w:val="469462C8"/>
    <w:rsid w:val="46974D16"/>
    <w:rsid w:val="46994AA0"/>
    <w:rsid w:val="46A4026E"/>
    <w:rsid w:val="46A9FC29"/>
    <w:rsid w:val="46AC64A1"/>
    <w:rsid w:val="46B1EBDB"/>
    <w:rsid w:val="46B35B1B"/>
    <w:rsid w:val="46C061A3"/>
    <w:rsid w:val="46C88ACD"/>
    <w:rsid w:val="46D4E993"/>
    <w:rsid w:val="46D720E9"/>
    <w:rsid w:val="46D95C1B"/>
    <w:rsid w:val="46E11336"/>
    <w:rsid w:val="472997B9"/>
    <w:rsid w:val="472B58AF"/>
    <w:rsid w:val="472FF73D"/>
    <w:rsid w:val="47327773"/>
    <w:rsid w:val="4733C3BF"/>
    <w:rsid w:val="47428BA5"/>
    <w:rsid w:val="47435A86"/>
    <w:rsid w:val="475501FA"/>
    <w:rsid w:val="475A035A"/>
    <w:rsid w:val="475B627B"/>
    <w:rsid w:val="475B86B0"/>
    <w:rsid w:val="475D8619"/>
    <w:rsid w:val="4761EE40"/>
    <w:rsid w:val="4772C426"/>
    <w:rsid w:val="47759026"/>
    <w:rsid w:val="4777D26D"/>
    <w:rsid w:val="477D7732"/>
    <w:rsid w:val="479C1977"/>
    <w:rsid w:val="47A80FEC"/>
    <w:rsid w:val="47ABB9CF"/>
    <w:rsid w:val="47C1C6DE"/>
    <w:rsid w:val="47CC68CF"/>
    <w:rsid w:val="47CD9E80"/>
    <w:rsid w:val="47CDBD02"/>
    <w:rsid w:val="47D03B23"/>
    <w:rsid w:val="47D52A81"/>
    <w:rsid w:val="47DAFB56"/>
    <w:rsid w:val="47DD5C9A"/>
    <w:rsid w:val="47E3D8E0"/>
    <w:rsid w:val="47E5C835"/>
    <w:rsid w:val="4801739F"/>
    <w:rsid w:val="48064F16"/>
    <w:rsid w:val="480750C9"/>
    <w:rsid w:val="480C1FD5"/>
    <w:rsid w:val="4814CC22"/>
    <w:rsid w:val="48272102"/>
    <w:rsid w:val="482922F0"/>
    <w:rsid w:val="48320130"/>
    <w:rsid w:val="483C6529"/>
    <w:rsid w:val="483DFFB6"/>
    <w:rsid w:val="48486E6C"/>
    <w:rsid w:val="484AD7BC"/>
    <w:rsid w:val="486DD6A6"/>
    <w:rsid w:val="487BAE43"/>
    <w:rsid w:val="487DD1C0"/>
    <w:rsid w:val="487EB60F"/>
    <w:rsid w:val="4885ECA0"/>
    <w:rsid w:val="48882B41"/>
    <w:rsid w:val="48921256"/>
    <w:rsid w:val="48A42B32"/>
    <w:rsid w:val="48AE8ECC"/>
    <w:rsid w:val="48B142C3"/>
    <w:rsid w:val="48B78412"/>
    <w:rsid w:val="48C65A4E"/>
    <w:rsid w:val="48E6D25B"/>
    <w:rsid w:val="48E7506F"/>
    <w:rsid w:val="48F2EC09"/>
    <w:rsid w:val="48FC7498"/>
    <w:rsid w:val="48FD5F38"/>
    <w:rsid w:val="490627CB"/>
    <w:rsid w:val="49146729"/>
    <w:rsid w:val="491F78DC"/>
    <w:rsid w:val="49225876"/>
    <w:rsid w:val="4924AF6B"/>
    <w:rsid w:val="4925F2A3"/>
    <w:rsid w:val="4926EE6B"/>
    <w:rsid w:val="492A475F"/>
    <w:rsid w:val="492D7B2C"/>
    <w:rsid w:val="4934753D"/>
    <w:rsid w:val="493D8A4E"/>
    <w:rsid w:val="4941E852"/>
    <w:rsid w:val="49511E5F"/>
    <w:rsid w:val="49605472"/>
    <w:rsid w:val="4966D8B0"/>
    <w:rsid w:val="4975D3C0"/>
    <w:rsid w:val="497D07B9"/>
    <w:rsid w:val="4981EF48"/>
    <w:rsid w:val="498B0EE5"/>
    <w:rsid w:val="49927529"/>
    <w:rsid w:val="49982E41"/>
    <w:rsid w:val="49A3EA42"/>
    <w:rsid w:val="49A8DFF6"/>
    <w:rsid w:val="49AD73C0"/>
    <w:rsid w:val="49AF2C53"/>
    <w:rsid w:val="49B883ED"/>
    <w:rsid w:val="49C1DEB5"/>
    <w:rsid w:val="49C7B5D8"/>
    <w:rsid w:val="49D72752"/>
    <w:rsid w:val="49D992BE"/>
    <w:rsid w:val="49F068CF"/>
    <w:rsid w:val="49F5ED11"/>
    <w:rsid w:val="49FF0440"/>
    <w:rsid w:val="4A064849"/>
    <w:rsid w:val="4A06C67F"/>
    <w:rsid w:val="4A0D24DD"/>
    <w:rsid w:val="4A16ED96"/>
    <w:rsid w:val="4A18DA33"/>
    <w:rsid w:val="4A1BD92C"/>
    <w:rsid w:val="4A1C3BB2"/>
    <w:rsid w:val="4A1FBC4E"/>
    <w:rsid w:val="4A28F0BF"/>
    <w:rsid w:val="4A336DCA"/>
    <w:rsid w:val="4A40A791"/>
    <w:rsid w:val="4A600D0B"/>
    <w:rsid w:val="4A622AAF"/>
    <w:rsid w:val="4A624BD6"/>
    <w:rsid w:val="4A6BBD84"/>
    <w:rsid w:val="4A77769B"/>
    <w:rsid w:val="4A800803"/>
    <w:rsid w:val="4A87079F"/>
    <w:rsid w:val="4A93CA4B"/>
    <w:rsid w:val="4A9B82A9"/>
    <w:rsid w:val="4A9BAF4D"/>
    <w:rsid w:val="4AA02FFC"/>
    <w:rsid w:val="4AA165E4"/>
    <w:rsid w:val="4AAB709E"/>
    <w:rsid w:val="4AB0F03A"/>
    <w:rsid w:val="4AB5B5D1"/>
    <w:rsid w:val="4AC1591C"/>
    <w:rsid w:val="4AC3109B"/>
    <w:rsid w:val="4AC31C07"/>
    <w:rsid w:val="4ACFF621"/>
    <w:rsid w:val="4ADC0674"/>
    <w:rsid w:val="4AE095EC"/>
    <w:rsid w:val="4AE21285"/>
    <w:rsid w:val="4AE85581"/>
    <w:rsid w:val="4AECE88D"/>
    <w:rsid w:val="4AEE93EB"/>
    <w:rsid w:val="4B0B0E20"/>
    <w:rsid w:val="4B0E0B47"/>
    <w:rsid w:val="4B3A0188"/>
    <w:rsid w:val="4B42BDA4"/>
    <w:rsid w:val="4B5CC9BE"/>
    <w:rsid w:val="4B5FC002"/>
    <w:rsid w:val="4B74AD69"/>
    <w:rsid w:val="4B7C0404"/>
    <w:rsid w:val="4B91BD72"/>
    <w:rsid w:val="4B91C1C5"/>
    <w:rsid w:val="4B9385BA"/>
    <w:rsid w:val="4B94A887"/>
    <w:rsid w:val="4B94D2E9"/>
    <w:rsid w:val="4B9C7161"/>
    <w:rsid w:val="4BAC3C0F"/>
    <w:rsid w:val="4BB396A2"/>
    <w:rsid w:val="4BC4CDE9"/>
    <w:rsid w:val="4BD16AC9"/>
    <w:rsid w:val="4BD58571"/>
    <w:rsid w:val="4BD6BF69"/>
    <w:rsid w:val="4BDFC2C7"/>
    <w:rsid w:val="4BE0E079"/>
    <w:rsid w:val="4BF43E39"/>
    <w:rsid w:val="4BFB8362"/>
    <w:rsid w:val="4C010F83"/>
    <w:rsid w:val="4C0CEEB7"/>
    <w:rsid w:val="4C1132FE"/>
    <w:rsid w:val="4C22D8F6"/>
    <w:rsid w:val="4C2577BA"/>
    <w:rsid w:val="4C2770DB"/>
    <w:rsid w:val="4C28BF84"/>
    <w:rsid w:val="4C30F73C"/>
    <w:rsid w:val="4C31BD63"/>
    <w:rsid w:val="4C4E9FA0"/>
    <w:rsid w:val="4C548FC0"/>
    <w:rsid w:val="4C646A82"/>
    <w:rsid w:val="4C72B322"/>
    <w:rsid w:val="4C74BD58"/>
    <w:rsid w:val="4C7D049B"/>
    <w:rsid w:val="4C7E2AED"/>
    <w:rsid w:val="4C825B4A"/>
    <w:rsid w:val="4C902F48"/>
    <w:rsid w:val="4C9F1F32"/>
    <w:rsid w:val="4CA6A303"/>
    <w:rsid w:val="4CB14E1E"/>
    <w:rsid w:val="4CBBA49A"/>
    <w:rsid w:val="4CC6A3E7"/>
    <w:rsid w:val="4CCE5621"/>
    <w:rsid w:val="4CD083D5"/>
    <w:rsid w:val="4CD098E6"/>
    <w:rsid w:val="4CD70261"/>
    <w:rsid w:val="4CDA42E7"/>
    <w:rsid w:val="4CE5AC59"/>
    <w:rsid w:val="4CE8292F"/>
    <w:rsid w:val="4CEAF70B"/>
    <w:rsid w:val="4CF6E544"/>
    <w:rsid w:val="4CFD5193"/>
    <w:rsid w:val="4D01E110"/>
    <w:rsid w:val="4D066F5F"/>
    <w:rsid w:val="4D0A113F"/>
    <w:rsid w:val="4D0E8146"/>
    <w:rsid w:val="4D1A3FF2"/>
    <w:rsid w:val="4D1DC229"/>
    <w:rsid w:val="4D212D5F"/>
    <w:rsid w:val="4D2B24BF"/>
    <w:rsid w:val="4D2BF325"/>
    <w:rsid w:val="4D2CAA77"/>
    <w:rsid w:val="4D45452F"/>
    <w:rsid w:val="4D664901"/>
    <w:rsid w:val="4D678AC5"/>
    <w:rsid w:val="4D68C6E0"/>
    <w:rsid w:val="4D6FACEE"/>
    <w:rsid w:val="4D7B9BF2"/>
    <w:rsid w:val="4D7BA3BE"/>
    <w:rsid w:val="4D7C8674"/>
    <w:rsid w:val="4D85B9BA"/>
    <w:rsid w:val="4D895989"/>
    <w:rsid w:val="4D8E51B5"/>
    <w:rsid w:val="4D92D4BF"/>
    <w:rsid w:val="4D9AF13F"/>
    <w:rsid w:val="4D9D7088"/>
    <w:rsid w:val="4DA762D2"/>
    <w:rsid w:val="4DA8F0B7"/>
    <w:rsid w:val="4DAAD3D6"/>
    <w:rsid w:val="4DB66841"/>
    <w:rsid w:val="4DBAB9C0"/>
    <w:rsid w:val="4DD59AA5"/>
    <w:rsid w:val="4DEDD320"/>
    <w:rsid w:val="4DF073F7"/>
    <w:rsid w:val="4DF19B04"/>
    <w:rsid w:val="4DF1AE01"/>
    <w:rsid w:val="4DF49791"/>
    <w:rsid w:val="4DF723E4"/>
    <w:rsid w:val="4DF8DB09"/>
    <w:rsid w:val="4E02FF6E"/>
    <w:rsid w:val="4E190666"/>
    <w:rsid w:val="4E3367AF"/>
    <w:rsid w:val="4E3BE802"/>
    <w:rsid w:val="4E4CB75B"/>
    <w:rsid w:val="4E4FDE0F"/>
    <w:rsid w:val="4E590807"/>
    <w:rsid w:val="4E591A03"/>
    <w:rsid w:val="4E5C40FF"/>
    <w:rsid w:val="4E5CF97A"/>
    <w:rsid w:val="4E62EEC2"/>
    <w:rsid w:val="4E69A081"/>
    <w:rsid w:val="4E6DE178"/>
    <w:rsid w:val="4E77BF59"/>
    <w:rsid w:val="4E838B4D"/>
    <w:rsid w:val="4E84EF00"/>
    <w:rsid w:val="4E85248D"/>
    <w:rsid w:val="4E918927"/>
    <w:rsid w:val="4E938D9C"/>
    <w:rsid w:val="4EADFBB7"/>
    <w:rsid w:val="4EB0DC56"/>
    <w:rsid w:val="4EB2B9E9"/>
    <w:rsid w:val="4EBBDAB2"/>
    <w:rsid w:val="4EC2138A"/>
    <w:rsid w:val="4EC402D7"/>
    <w:rsid w:val="4ECC267E"/>
    <w:rsid w:val="4ED74388"/>
    <w:rsid w:val="4EE91D28"/>
    <w:rsid w:val="4EEA1C8E"/>
    <w:rsid w:val="4EFE89E7"/>
    <w:rsid w:val="4F0E916A"/>
    <w:rsid w:val="4F1233F0"/>
    <w:rsid w:val="4F2904B9"/>
    <w:rsid w:val="4F327067"/>
    <w:rsid w:val="4F39E718"/>
    <w:rsid w:val="4F400627"/>
    <w:rsid w:val="4F468FA9"/>
    <w:rsid w:val="4F5136DF"/>
    <w:rsid w:val="4F6A614D"/>
    <w:rsid w:val="4F704FC1"/>
    <w:rsid w:val="4F7054FA"/>
    <w:rsid w:val="4F780249"/>
    <w:rsid w:val="4F78BDFA"/>
    <w:rsid w:val="4F8A35A4"/>
    <w:rsid w:val="4F8AB3D3"/>
    <w:rsid w:val="4F8ECFCB"/>
    <w:rsid w:val="4F960AC6"/>
    <w:rsid w:val="4F97E1DB"/>
    <w:rsid w:val="4FA380FE"/>
    <w:rsid w:val="4FA532C2"/>
    <w:rsid w:val="4FA615FD"/>
    <w:rsid w:val="4FB10DF1"/>
    <w:rsid w:val="4FB8ECB8"/>
    <w:rsid w:val="4FBAEB51"/>
    <w:rsid w:val="4FC7758E"/>
    <w:rsid w:val="4FC95909"/>
    <w:rsid w:val="4FD6BFF4"/>
    <w:rsid w:val="4FD7E45D"/>
    <w:rsid w:val="4FDD26DC"/>
    <w:rsid w:val="4FDE118B"/>
    <w:rsid w:val="4FF4D91F"/>
    <w:rsid w:val="4FF5C9DA"/>
    <w:rsid w:val="4FFE234F"/>
    <w:rsid w:val="50026270"/>
    <w:rsid w:val="5005AA7F"/>
    <w:rsid w:val="5017766D"/>
    <w:rsid w:val="501D38E3"/>
    <w:rsid w:val="5022E983"/>
    <w:rsid w:val="50255736"/>
    <w:rsid w:val="5031265D"/>
    <w:rsid w:val="50360F77"/>
    <w:rsid w:val="50459B95"/>
    <w:rsid w:val="50499597"/>
    <w:rsid w:val="5058FBB4"/>
    <w:rsid w:val="5074FA1A"/>
    <w:rsid w:val="5085619E"/>
    <w:rsid w:val="50A0D522"/>
    <w:rsid w:val="50AE5018"/>
    <w:rsid w:val="50AF1F15"/>
    <w:rsid w:val="50B51103"/>
    <w:rsid w:val="50B81205"/>
    <w:rsid w:val="50C443A6"/>
    <w:rsid w:val="50D592F0"/>
    <w:rsid w:val="50D7466A"/>
    <w:rsid w:val="50DDED2D"/>
    <w:rsid w:val="50E20CA0"/>
    <w:rsid w:val="50EA311A"/>
    <w:rsid w:val="50FC248A"/>
    <w:rsid w:val="51024C01"/>
    <w:rsid w:val="5106E692"/>
    <w:rsid w:val="5126FF57"/>
    <w:rsid w:val="512C1A3B"/>
    <w:rsid w:val="51406EBA"/>
    <w:rsid w:val="51430943"/>
    <w:rsid w:val="514913DA"/>
    <w:rsid w:val="514C9114"/>
    <w:rsid w:val="515BA39A"/>
    <w:rsid w:val="5162BD02"/>
    <w:rsid w:val="51682FE1"/>
    <w:rsid w:val="517726AC"/>
    <w:rsid w:val="517D0818"/>
    <w:rsid w:val="5195FD0F"/>
    <w:rsid w:val="519A0205"/>
    <w:rsid w:val="519AA81B"/>
    <w:rsid w:val="51A2E043"/>
    <w:rsid w:val="51AC3FD5"/>
    <w:rsid w:val="51AF9168"/>
    <w:rsid w:val="51B18870"/>
    <w:rsid w:val="51B3021B"/>
    <w:rsid w:val="51C2773B"/>
    <w:rsid w:val="51CC4351"/>
    <w:rsid w:val="51DDA665"/>
    <w:rsid w:val="51E15CA4"/>
    <w:rsid w:val="51E64871"/>
    <w:rsid w:val="51E8169A"/>
    <w:rsid w:val="51EEC684"/>
    <w:rsid w:val="51FCBAB7"/>
    <w:rsid w:val="51FF7667"/>
    <w:rsid w:val="52000658"/>
    <w:rsid w:val="52035735"/>
    <w:rsid w:val="52079832"/>
    <w:rsid w:val="52139F49"/>
    <w:rsid w:val="521D258E"/>
    <w:rsid w:val="521EAF18"/>
    <w:rsid w:val="5221BA59"/>
    <w:rsid w:val="5223503F"/>
    <w:rsid w:val="5225CA5C"/>
    <w:rsid w:val="5225D416"/>
    <w:rsid w:val="5225E88F"/>
    <w:rsid w:val="5239019D"/>
    <w:rsid w:val="523C506E"/>
    <w:rsid w:val="5243C722"/>
    <w:rsid w:val="5245CBDC"/>
    <w:rsid w:val="524BEA59"/>
    <w:rsid w:val="52520090"/>
    <w:rsid w:val="525596EC"/>
    <w:rsid w:val="525EB8F7"/>
    <w:rsid w:val="526D6325"/>
    <w:rsid w:val="527591C1"/>
    <w:rsid w:val="52790BCE"/>
    <w:rsid w:val="5281BFEC"/>
    <w:rsid w:val="528F3262"/>
    <w:rsid w:val="5299BF25"/>
    <w:rsid w:val="529AE053"/>
    <w:rsid w:val="52A15D13"/>
    <w:rsid w:val="52A23345"/>
    <w:rsid w:val="52A97587"/>
    <w:rsid w:val="52B65E54"/>
    <w:rsid w:val="52C9697E"/>
    <w:rsid w:val="52CD1957"/>
    <w:rsid w:val="52E3F935"/>
    <w:rsid w:val="52E8F1AE"/>
    <w:rsid w:val="52EAA205"/>
    <w:rsid w:val="52EBBE32"/>
    <w:rsid w:val="52ED5AF5"/>
    <w:rsid w:val="530CB77A"/>
    <w:rsid w:val="5322105B"/>
    <w:rsid w:val="5328A6F2"/>
    <w:rsid w:val="532C3A47"/>
    <w:rsid w:val="5332926A"/>
    <w:rsid w:val="533387BA"/>
    <w:rsid w:val="53370C98"/>
    <w:rsid w:val="533A73A6"/>
    <w:rsid w:val="533D97A5"/>
    <w:rsid w:val="5344E908"/>
    <w:rsid w:val="534538FF"/>
    <w:rsid w:val="53480983"/>
    <w:rsid w:val="535EF2F4"/>
    <w:rsid w:val="53648A26"/>
    <w:rsid w:val="536D23D0"/>
    <w:rsid w:val="537024CD"/>
    <w:rsid w:val="5375FC74"/>
    <w:rsid w:val="53814992"/>
    <w:rsid w:val="53839280"/>
    <w:rsid w:val="5385042C"/>
    <w:rsid w:val="538B026C"/>
    <w:rsid w:val="538BECC5"/>
    <w:rsid w:val="53B2D407"/>
    <w:rsid w:val="53B34EEB"/>
    <w:rsid w:val="53B87BD8"/>
    <w:rsid w:val="53C04C1B"/>
    <w:rsid w:val="53D0798E"/>
    <w:rsid w:val="53D12C4B"/>
    <w:rsid w:val="53DE707C"/>
    <w:rsid w:val="53E5747F"/>
    <w:rsid w:val="53E5A513"/>
    <w:rsid w:val="53E9434C"/>
    <w:rsid w:val="53EEBD64"/>
    <w:rsid w:val="5402D89C"/>
    <w:rsid w:val="540F7C81"/>
    <w:rsid w:val="541A9E1A"/>
    <w:rsid w:val="541CD325"/>
    <w:rsid w:val="54218434"/>
    <w:rsid w:val="542BCEF3"/>
    <w:rsid w:val="5433C033"/>
    <w:rsid w:val="544ACEB9"/>
    <w:rsid w:val="5450C9DB"/>
    <w:rsid w:val="546B2A4F"/>
    <w:rsid w:val="547FD120"/>
    <w:rsid w:val="5486BED7"/>
    <w:rsid w:val="5492F7AD"/>
    <w:rsid w:val="54992135"/>
    <w:rsid w:val="54BDE0F5"/>
    <w:rsid w:val="54CF61AB"/>
    <w:rsid w:val="54DA822A"/>
    <w:rsid w:val="54E24C19"/>
    <w:rsid w:val="54E9AB45"/>
    <w:rsid w:val="54EA08AB"/>
    <w:rsid w:val="550080A4"/>
    <w:rsid w:val="550249A7"/>
    <w:rsid w:val="550B4D01"/>
    <w:rsid w:val="550EB631"/>
    <w:rsid w:val="5519BF52"/>
    <w:rsid w:val="5519C912"/>
    <w:rsid w:val="552B6CA9"/>
    <w:rsid w:val="5530C4A0"/>
    <w:rsid w:val="5532E7AF"/>
    <w:rsid w:val="55338236"/>
    <w:rsid w:val="5534C020"/>
    <w:rsid w:val="5539CE79"/>
    <w:rsid w:val="553AE34E"/>
    <w:rsid w:val="55565079"/>
    <w:rsid w:val="5565B121"/>
    <w:rsid w:val="556C101B"/>
    <w:rsid w:val="556D2051"/>
    <w:rsid w:val="556DD90D"/>
    <w:rsid w:val="55711B29"/>
    <w:rsid w:val="557BFF5E"/>
    <w:rsid w:val="5589CE4B"/>
    <w:rsid w:val="5590DC73"/>
    <w:rsid w:val="55927C9E"/>
    <w:rsid w:val="559A90D8"/>
    <w:rsid w:val="55A0215B"/>
    <w:rsid w:val="55A5C405"/>
    <w:rsid w:val="55A81169"/>
    <w:rsid w:val="55A87CD7"/>
    <w:rsid w:val="55AD260D"/>
    <w:rsid w:val="55B8FD6A"/>
    <w:rsid w:val="55B918D3"/>
    <w:rsid w:val="55C0B18C"/>
    <w:rsid w:val="55C55431"/>
    <w:rsid w:val="55C5B5BE"/>
    <w:rsid w:val="56096764"/>
    <w:rsid w:val="560BD35A"/>
    <w:rsid w:val="560C8E92"/>
    <w:rsid w:val="5610D13A"/>
    <w:rsid w:val="56152053"/>
    <w:rsid w:val="561C290F"/>
    <w:rsid w:val="561EAD11"/>
    <w:rsid w:val="56202D2C"/>
    <w:rsid w:val="562181E8"/>
    <w:rsid w:val="563ABDB9"/>
    <w:rsid w:val="563ED77A"/>
    <w:rsid w:val="564AEAFE"/>
    <w:rsid w:val="5653E74B"/>
    <w:rsid w:val="56633F78"/>
    <w:rsid w:val="5664C8E4"/>
    <w:rsid w:val="56697035"/>
    <w:rsid w:val="566DC7D7"/>
    <w:rsid w:val="5679AF44"/>
    <w:rsid w:val="567AC06D"/>
    <w:rsid w:val="56857BA6"/>
    <w:rsid w:val="568B5FD9"/>
    <w:rsid w:val="568DE3C2"/>
    <w:rsid w:val="569665DA"/>
    <w:rsid w:val="56A11B8D"/>
    <w:rsid w:val="56AB52EC"/>
    <w:rsid w:val="56AE9538"/>
    <w:rsid w:val="56B6379C"/>
    <w:rsid w:val="56DC226C"/>
    <w:rsid w:val="56E034CC"/>
    <w:rsid w:val="56E3FC75"/>
    <w:rsid w:val="56F39972"/>
    <w:rsid w:val="56F8DED1"/>
    <w:rsid w:val="570A9F21"/>
    <w:rsid w:val="570AB8E2"/>
    <w:rsid w:val="57197210"/>
    <w:rsid w:val="5721E4FE"/>
    <w:rsid w:val="57285083"/>
    <w:rsid w:val="572A8E5E"/>
    <w:rsid w:val="572D52A0"/>
    <w:rsid w:val="5733119B"/>
    <w:rsid w:val="57333635"/>
    <w:rsid w:val="5737E130"/>
    <w:rsid w:val="573B8E0F"/>
    <w:rsid w:val="573CEE76"/>
    <w:rsid w:val="57454561"/>
    <w:rsid w:val="574D34CB"/>
    <w:rsid w:val="57504AEB"/>
    <w:rsid w:val="57569122"/>
    <w:rsid w:val="575D6BD4"/>
    <w:rsid w:val="575F0E99"/>
    <w:rsid w:val="57610DD4"/>
    <w:rsid w:val="576A79DA"/>
    <w:rsid w:val="577AE156"/>
    <w:rsid w:val="57845A03"/>
    <w:rsid w:val="578550EC"/>
    <w:rsid w:val="578721D2"/>
    <w:rsid w:val="57A3EB2A"/>
    <w:rsid w:val="57A5A815"/>
    <w:rsid w:val="57A78671"/>
    <w:rsid w:val="57AEF2C8"/>
    <w:rsid w:val="57B67A18"/>
    <w:rsid w:val="57B9CCE2"/>
    <w:rsid w:val="57BB52A6"/>
    <w:rsid w:val="57BDDE76"/>
    <w:rsid w:val="57C17F7E"/>
    <w:rsid w:val="57C348F7"/>
    <w:rsid w:val="57C3EADD"/>
    <w:rsid w:val="57C991BE"/>
    <w:rsid w:val="57CA619C"/>
    <w:rsid w:val="57CED37F"/>
    <w:rsid w:val="57E2DAD9"/>
    <w:rsid w:val="57E5C752"/>
    <w:rsid w:val="57E6FC79"/>
    <w:rsid w:val="57EA0423"/>
    <w:rsid w:val="57EBB250"/>
    <w:rsid w:val="57EC9032"/>
    <w:rsid w:val="5802443C"/>
    <w:rsid w:val="581108C8"/>
    <w:rsid w:val="582012BB"/>
    <w:rsid w:val="582A0C9C"/>
    <w:rsid w:val="582BE484"/>
    <w:rsid w:val="583418E6"/>
    <w:rsid w:val="58384FEA"/>
    <w:rsid w:val="5844A3BE"/>
    <w:rsid w:val="5855822B"/>
    <w:rsid w:val="5858F103"/>
    <w:rsid w:val="586D1766"/>
    <w:rsid w:val="58700C03"/>
    <w:rsid w:val="5873A826"/>
    <w:rsid w:val="5880F416"/>
    <w:rsid w:val="58A7DBAF"/>
    <w:rsid w:val="58B1E611"/>
    <w:rsid w:val="58B5D83F"/>
    <w:rsid w:val="58CB37E3"/>
    <w:rsid w:val="58CB4341"/>
    <w:rsid w:val="58D1CE23"/>
    <w:rsid w:val="58D9B469"/>
    <w:rsid w:val="58E3364C"/>
    <w:rsid w:val="58E6DFA4"/>
    <w:rsid w:val="58F126E8"/>
    <w:rsid w:val="59019DE0"/>
    <w:rsid w:val="5907A672"/>
    <w:rsid w:val="59089A55"/>
    <w:rsid w:val="5908A9E6"/>
    <w:rsid w:val="590D0ADF"/>
    <w:rsid w:val="592464F3"/>
    <w:rsid w:val="59341BCF"/>
    <w:rsid w:val="5957A78C"/>
    <w:rsid w:val="5964C1F4"/>
    <w:rsid w:val="597169FC"/>
    <w:rsid w:val="5989D219"/>
    <w:rsid w:val="5990D19F"/>
    <w:rsid w:val="5993BB6E"/>
    <w:rsid w:val="59942E69"/>
    <w:rsid w:val="5997A8C2"/>
    <w:rsid w:val="599EC09B"/>
    <w:rsid w:val="59A9498E"/>
    <w:rsid w:val="59AD749B"/>
    <w:rsid w:val="59AF2D20"/>
    <w:rsid w:val="59B25CB3"/>
    <w:rsid w:val="59BD663A"/>
    <w:rsid w:val="59C91E2D"/>
    <w:rsid w:val="59CFB651"/>
    <w:rsid w:val="59CFB91F"/>
    <w:rsid w:val="59D3CBAA"/>
    <w:rsid w:val="59D5B11C"/>
    <w:rsid w:val="59DB5FBB"/>
    <w:rsid w:val="59DDB5A4"/>
    <w:rsid w:val="59DDC1FC"/>
    <w:rsid w:val="59E7AD66"/>
    <w:rsid w:val="59F72266"/>
    <w:rsid w:val="59FF6091"/>
    <w:rsid w:val="5A0A05F3"/>
    <w:rsid w:val="5A14D823"/>
    <w:rsid w:val="5A1814F0"/>
    <w:rsid w:val="5A2018D1"/>
    <w:rsid w:val="5A24C12B"/>
    <w:rsid w:val="5A2F8D9F"/>
    <w:rsid w:val="5A33A449"/>
    <w:rsid w:val="5A36508B"/>
    <w:rsid w:val="5A486EEC"/>
    <w:rsid w:val="5A6495A4"/>
    <w:rsid w:val="5A666D9E"/>
    <w:rsid w:val="5A6F70C6"/>
    <w:rsid w:val="5A89BC80"/>
    <w:rsid w:val="5A8B2057"/>
    <w:rsid w:val="5A8D7A37"/>
    <w:rsid w:val="5A92724D"/>
    <w:rsid w:val="5A97F49A"/>
    <w:rsid w:val="5A9C76CF"/>
    <w:rsid w:val="5A9D2B69"/>
    <w:rsid w:val="5A9F3285"/>
    <w:rsid w:val="5AA291F1"/>
    <w:rsid w:val="5AA3E6AD"/>
    <w:rsid w:val="5AB4425B"/>
    <w:rsid w:val="5AB653C6"/>
    <w:rsid w:val="5AC98E91"/>
    <w:rsid w:val="5AD296DC"/>
    <w:rsid w:val="5ADA4AFD"/>
    <w:rsid w:val="5AE8C083"/>
    <w:rsid w:val="5AF42F85"/>
    <w:rsid w:val="5AFA9692"/>
    <w:rsid w:val="5B029C18"/>
    <w:rsid w:val="5B254795"/>
    <w:rsid w:val="5B3D50C8"/>
    <w:rsid w:val="5B4107CB"/>
    <w:rsid w:val="5B4AFDA3"/>
    <w:rsid w:val="5B516FB7"/>
    <w:rsid w:val="5B577367"/>
    <w:rsid w:val="5B5AB0AD"/>
    <w:rsid w:val="5B5C3A87"/>
    <w:rsid w:val="5B653925"/>
    <w:rsid w:val="5B75EAF8"/>
    <w:rsid w:val="5B7CC2A9"/>
    <w:rsid w:val="5B7E4BD2"/>
    <w:rsid w:val="5B8448F8"/>
    <w:rsid w:val="5B8DA41D"/>
    <w:rsid w:val="5B917CD7"/>
    <w:rsid w:val="5B930609"/>
    <w:rsid w:val="5B96F909"/>
    <w:rsid w:val="5B986719"/>
    <w:rsid w:val="5B9DF652"/>
    <w:rsid w:val="5BB8F856"/>
    <w:rsid w:val="5BBE89D5"/>
    <w:rsid w:val="5BC2F320"/>
    <w:rsid w:val="5BCE7889"/>
    <w:rsid w:val="5BEAB027"/>
    <w:rsid w:val="5BF1C592"/>
    <w:rsid w:val="5C011153"/>
    <w:rsid w:val="5C02E403"/>
    <w:rsid w:val="5C05BDAF"/>
    <w:rsid w:val="5C14433D"/>
    <w:rsid w:val="5C14F919"/>
    <w:rsid w:val="5C1C0C60"/>
    <w:rsid w:val="5C27DE8F"/>
    <w:rsid w:val="5C30E2F9"/>
    <w:rsid w:val="5C39804F"/>
    <w:rsid w:val="5C4E5E94"/>
    <w:rsid w:val="5C64873B"/>
    <w:rsid w:val="5C6878F8"/>
    <w:rsid w:val="5C6B04F5"/>
    <w:rsid w:val="5C735C2C"/>
    <w:rsid w:val="5C7A8480"/>
    <w:rsid w:val="5C7B14DE"/>
    <w:rsid w:val="5C7BB6B7"/>
    <w:rsid w:val="5C7ED6AB"/>
    <w:rsid w:val="5C80A897"/>
    <w:rsid w:val="5CA4DC1C"/>
    <w:rsid w:val="5CA6D91B"/>
    <w:rsid w:val="5CB04D10"/>
    <w:rsid w:val="5CB9E452"/>
    <w:rsid w:val="5CC02549"/>
    <w:rsid w:val="5CC21CC1"/>
    <w:rsid w:val="5CCB5F48"/>
    <w:rsid w:val="5CD35579"/>
    <w:rsid w:val="5CD485DD"/>
    <w:rsid w:val="5CDE3BE4"/>
    <w:rsid w:val="5CE2411A"/>
    <w:rsid w:val="5CE5F863"/>
    <w:rsid w:val="5CF1ED83"/>
    <w:rsid w:val="5CF2B433"/>
    <w:rsid w:val="5CFA0DD8"/>
    <w:rsid w:val="5CFABF42"/>
    <w:rsid w:val="5D00B96B"/>
    <w:rsid w:val="5D0231AB"/>
    <w:rsid w:val="5D0769E6"/>
    <w:rsid w:val="5D09EBD9"/>
    <w:rsid w:val="5D1A5B17"/>
    <w:rsid w:val="5D1B72D5"/>
    <w:rsid w:val="5D22D5CC"/>
    <w:rsid w:val="5D26B243"/>
    <w:rsid w:val="5D31249E"/>
    <w:rsid w:val="5D31334F"/>
    <w:rsid w:val="5D35E5B5"/>
    <w:rsid w:val="5D37C20C"/>
    <w:rsid w:val="5D479127"/>
    <w:rsid w:val="5D5DC5E3"/>
    <w:rsid w:val="5D609871"/>
    <w:rsid w:val="5D61FC03"/>
    <w:rsid w:val="5D6BCEDE"/>
    <w:rsid w:val="5D70230B"/>
    <w:rsid w:val="5D80977D"/>
    <w:rsid w:val="5D80CC77"/>
    <w:rsid w:val="5D83BAE1"/>
    <w:rsid w:val="5D8C2213"/>
    <w:rsid w:val="5D918C8E"/>
    <w:rsid w:val="5D980E2D"/>
    <w:rsid w:val="5D9B5498"/>
    <w:rsid w:val="5DB726FB"/>
    <w:rsid w:val="5DBE1F4A"/>
    <w:rsid w:val="5DBFA459"/>
    <w:rsid w:val="5DCB5D4C"/>
    <w:rsid w:val="5DD076D6"/>
    <w:rsid w:val="5DD4CC2B"/>
    <w:rsid w:val="5DDE0BCA"/>
    <w:rsid w:val="5DE4235F"/>
    <w:rsid w:val="5DEC8C5F"/>
    <w:rsid w:val="5DEFF16C"/>
    <w:rsid w:val="5DF94DA1"/>
    <w:rsid w:val="5DFE6740"/>
    <w:rsid w:val="5E01BF3F"/>
    <w:rsid w:val="5E03526C"/>
    <w:rsid w:val="5E03BF36"/>
    <w:rsid w:val="5E290622"/>
    <w:rsid w:val="5E3AD89A"/>
    <w:rsid w:val="5E51F709"/>
    <w:rsid w:val="5E52CFC3"/>
    <w:rsid w:val="5E58C7A7"/>
    <w:rsid w:val="5E5AD598"/>
    <w:rsid w:val="5E66092A"/>
    <w:rsid w:val="5E6E2ED2"/>
    <w:rsid w:val="5E7596AD"/>
    <w:rsid w:val="5E8A03C7"/>
    <w:rsid w:val="5E99D3A0"/>
    <w:rsid w:val="5E9B5690"/>
    <w:rsid w:val="5EAFAB81"/>
    <w:rsid w:val="5EB39022"/>
    <w:rsid w:val="5EB6F711"/>
    <w:rsid w:val="5EC15807"/>
    <w:rsid w:val="5EC90B1C"/>
    <w:rsid w:val="5ED27A7B"/>
    <w:rsid w:val="5EE91BA2"/>
    <w:rsid w:val="5EF2F7A5"/>
    <w:rsid w:val="5EF99644"/>
    <w:rsid w:val="5F030CDA"/>
    <w:rsid w:val="5F11C6B3"/>
    <w:rsid w:val="5F13491E"/>
    <w:rsid w:val="5F135478"/>
    <w:rsid w:val="5F20576D"/>
    <w:rsid w:val="5F20E0E9"/>
    <w:rsid w:val="5F2483F5"/>
    <w:rsid w:val="5F2CB5A5"/>
    <w:rsid w:val="5F435A1A"/>
    <w:rsid w:val="5F460A90"/>
    <w:rsid w:val="5F5CA3AA"/>
    <w:rsid w:val="5F674C6F"/>
    <w:rsid w:val="5F6C96DB"/>
    <w:rsid w:val="5F84C2B5"/>
    <w:rsid w:val="5F89A3D7"/>
    <w:rsid w:val="5F89AF71"/>
    <w:rsid w:val="5F89C4E9"/>
    <w:rsid w:val="5FA67FB2"/>
    <w:rsid w:val="5FAA6953"/>
    <w:rsid w:val="5FB3EC4E"/>
    <w:rsid w:val="5FB9898D"/>
    <w:rsid w:val="5FC89B6F"/>
    <w:rsid w:val="5FD397FA"/>
    <w:rsid w:val="5FD7F28E"/>
    <w:rsid w:val="5FDF6B56"/>
    <w:rsid w:val="5FF0802D"/>
    <w:rsid w:val="5FFA3D68"/>
    <w:rsid w:val="600EE28A"/>
    <w:rsid w:val="601150E6"/>
    <w:rsid w:val="602367AD"/>
    <w:rsid w:val="60275BB5"/>
    <w:rsid w:val="602AE691"/>
    <w:rsid w:val="602B4884"/>
    <w:rsid w:val="602EB869"/>
    <w:rsid w:val="60316610"/>
    <w:rsid w:val="6032098D"/>
    <w:rsid w:val="603A7222"/>
    <w:rsid w:val="6047B671"/>
    <w:rsid w:val="605DE6BE"/>
    <w:rsid w:val="606187DF"/>
    <w:rsid w:val="6061E5D6"/>
    <w:rsid w:val="60640CE1"/>
    <w:rsid w:val="60684EC5"/>
    <w:rsid w:val="60722622"/>
    <w:rsid w:val="60829B4F"/>
    <w:rsid w:val="60965CA0"/>
    <w:rsid w:val="609A0509"/>
    <w:rsid w:val="609C608B"/>
    <w:rsid w:val="609ECF23"/>
    <w:rsid w:val="609F95A6"/>
    <w:rsid w:val="60A10874"/>
    <w:rsid w:val="60A67893"/>
    <w:rsid w:val="60AF6827"/>
    <w:rsid w:val="60B83633"/>
    <w:rsid w:val="60C69B0F"/>
    <w:rsid w:val="60CA3654"/>
    <w:rsid w:val="60D90CD5"/>
    <w:rsid w:val="60DB6CDC"/>
    <w:rsid w:val="60DC58E0"/>
    <w:rsid w:val="60DC5B41"/>
    <w:rsid w:val="60E4D4AC"/>
    <w:rsid w:val="60E54FDB"/>
    <w:rsid w:val="60E7C15A"/>
    <w:rsid w:val="60F0C856"/>
    <w:rsid w:val="60F8A9D1"/>
    <w:rsid w:val="60FE97E8"/>
    <w:rsid w:val="6103FDF6"/>
    <w:rsid w:val="611081EA"/>
    <w:rsid w:val="611C1C3A"/>
    <w:rsid w:val="611CCA58"/>
    <w:rsid w:val="611F215D"/>
    <w:rsid w:val="6136B6F8"/>
    <w:rsid w:val="6142DE21"/>
    <w:rsid w:val="61468E15"/>
    <w:rsid w:val="61472D6C"/>
    <w:rsid w:val="616B0034"/>
    <w:rsid w:val="616D1AA0"/>
    <w:rsid w:val="616DE545"/>
    <w:rsid w:val="617AF1EF"/>
    <w:rsid w:val="617B7F72"/>
    <w:rsid w:val="617D3B60"/>
    <w:rsid w:val="6186D33D"/>
    <w:rsid w:val="6187F0DB"/>
    <w:rsid w:val="61912739"/>
    <w:rsid w:val="6193766A"/>
    <w:rsid w:val="619B3316"/>
    <w:rsid w:val="61A1137A"/>
    <w:rsid w:val="61A9D9EA"/>
    <w:rsid w:val="61AA6BC6"/>
    <w:rsid w:val="61AC19E5"/>
    <w:rsid w:val="61AD10B2"/>
    <w:rsid w:val="61AE2EC7"/>
    <w:rsid w:val="61AEEE7F"/>
    <w:rsid w:val="61B4A087"/>
    <w:rsid w:val="61B595EE"/>
    <w:rsid w:val="61B84CFB"/>
    <w:rsid w:val="61BA237C"/>
    <w:rsid w:val="61BF1334"/>
    <w:rsid w:val="61D5EA48"/>
    <w:rsid w:val="61D7E471"/>
    <w:rsid w:val="61E7222A"/>
    <w:rsid w:val="61F74A1C"/>
    <w:rsid w:val="61FA000C"/>
    <w:rsid w:val="6210F669"/>
    <w:rsid w:val="6213BDB7"/>
    <w:rsid w:val="6226F3D0"/>
    <w:rsid w:val="62282935"/>
    <w:rsid w:val="623642EB"/>
    <w:rsid w:val="6241C262"/>
    <w:rsid w:val="624A9A58"/>
    <w:rsid w:val="6250D4D9"/>
    <w:rsid w:val="626335F8"/>
    <w:rsid w:val="6273B1B3"/>
    <w:rsid w:val="627D8AA8"/>
    <w:rsid w:val="628251A6"/>
    <w:rsid w:val="6293380B"/>
    <w:rsid w:val="629D1597"/>
    <w:rsid w:val="62A2AD2B"/>
    <w:rsid w:val="62A35150"/>
    <w:rsid w:val="62A9F6DF"/>
    <w:rsid w:val="62BCCB66"/>
    <w:rsid w:val="62C1AF41"/>
    <w:rsid w:val="62C3F4FF"/>
    <w:rsid w:val="62CAD17E"/>
    <w:rsid w:val="62CBAA40"/>
    <w:rsid w:val="62D53062"/>
    <w:rsid w:val="62D566AF"/>
    <w:rsid w:val="62D89664"/>
    <w:rsid w:val="62DA2631"/>
    <w:rsid w:val="62E3148A"/>
    <w:rsid w:val="62E62CF3"/>
    <w:rsid w:val="62F10C8F"/>
    <w:rsid w:val="62FA0AB3"/>
    <w:rsid w:val="62FAB18F"/>
    <w:rsid w:val="62FAFAD0"/>
    <w:rsid w:val="6300A544"/>
    <w:rsid w:val="6300D640"/>
    <w:rsid w:val="6303EC37"/>
    <w:rsid w:val="630DA84E"/>
    <w:rsid w:val="630DFCC1"/>
    <w:rsid w:val="630EE4C3"/>
    <w:rsid w:val="63192650"/>
    <w:rsid w:val="6321C9F3"/>
    <w:rsid w:val="6328DD3B"/>
    <w:rsid w:val="6336BF4D"/>
    <w:rsid w:val="6337EDE6"/>
    <w:rsid w:val="6349B00A"/>
    <w:rsid w:val="6353BB6F"/>
    <w:rsid w:val="6356D816"/>
    <w:rsid w:val="6367D1F0"/>
    <w:rsid w:val="636D5603"/>
    <w:rsid w:val="637283FC"/>
    <w:rsid w:val="637C48FF"/>
    <w:rsid w:val="637FD224"/>
    <w:rsid w:val="638AF53C"/>
    <w:rsid w:val="638C966A"/>
    <w:rsid w:val="6397B6D6"/>
    <w:rsid w:val="63A6F42D"/>
    <w:rsid w:val="63A926DF"/>
    <w:rsid w:val="63D60596"/>
    <w:rsid w:val="63D73598"/>
    <w:rsid w:val="63DBF560"/>
    <w:rsid w:val="63DCC9E5"/>
    <w:rsid w:val="63E8BC7D"/>
    <w:rsid w:val="63ED3E7F"/>
    <w:rsid w:val="63F07002"/>
    <w:rsid w:val="63F116AF"/>
    <w:rsid w:val="63F69D3B"/>
    <w:rsid w:val="63F7F518"/>
    <w:rsid w:val="63F918FF"/>
    <w:rsid w:val="64003689"/>
    <w:rsid w:val="641D0BBD"/>
    <w:rsid w:val="64212E28"/>
    <w:rsid w:val="6426687F"/>
    <w:rsid w:val="642A15CF"/>
    <w:rsid w:val="642B26C4"/>
    <w:rsid w:val="642D2F42"/>
    <w:rsid w:val="642F963A"/>
    <w:rsid w:val="644D01EC"/>
    <w:rsid w:val="644D6090"/>
    <w:rsid w:val="6457AFC4"/>
    <w:rsid w:val="6475D036"/>
    <w:rsid w:val="64765292"/>
    <w:rsid w:val="64903AE1"/>
    <w:rsid w:val="64931229"/>
    <w:rsid w:val="649DF806"/>
    <w:rsid w:val="64A429B9"/>
    <w:rsid w:val="64A44D00"/>
    <w:rsid w:val="64A4CAD7"/>
    <w:rsid w:val="64A53EB1"/>
    <w:rsid w:val="64A5B6C0"/>
    <w:rsid w:val="64AE9715"/>
    <w:rsid w:val="64BBF07B"/>
    <w:rsid w:val="64BE36C9"/>
    <w:rsid w:val="64C083DA"/>
    <w:rsid w:val="64C253EE"/>
    <w:rsid w:val="64CC3153"/>
    <w:rsid w:val="64CCFE45"/>
    <w:rsid w:val="64D106A7"/>
    <w:rsid w:val="64E91CC2"/>
    <w:rsid w:val="64F05DD5"/>
    <w:rsid w:val="64F404D0"/>
    <w:rsid w:val="64F8AC31"/>
    <w:rsid w:val="64FA444F"/>
    <w:rsid w:val="650D153A"/>
    <w:rsid w:val="6513DF74"/>
    <w:rsid w:val="6527CF3D"/>
    <w:rsid w:val="652FE31C"/>
    <w:rsid w:val="65391E10"/>
    <w:rsid w:val="6539A18C"/>
    <w:rsid w:val="6546FFAF"/>
    <w:rsid w:val="6548DBE2"/>
    <w:rsid w:val="6557BF71"/>
    <w:rsid w:val="65617786"/>
    <w:rsid w:val="65767CB6"/>
    <w:rsid w:val="65958725"/>
    <w:rsid w:val="6597993E"/>
    <w:rsid w:val="659BE688"/>
    <w:rsid w:val="659EA011"/>
    <w:rsid w:val="65A008A2"/>
    <w:rsid w:val="65A12C7A"/>
    <w:rsid w:val="65A28A80"/>
    <w:rsid w:val="65A344CA"/>
    <w:rsid w:val="65A9C649"/>
    <w:rsid w:val="65AC60F3"/>
    <w:rsid w:val="65B58C3E"/>
    <w:rsid w:val="65B82E3C"/>
    <w:rsid w:val="65C4ACE4"/>
    <w:rsid w:val="65C9D8CD"/>
    <w:rsid w:val="65E40D8A"/>
    <w:rsid w:val="65F97635"/>
    <w:rsid w:val="65FAC963"/>
    <w:rsid w:val="65FF02A0"/>
    <w:rsid w:val="65FF61F9"/>
    <w:rsid w:val="6608967D"/>
    <w:rsid w:val="66197A3B"/>
    <w:rsid w:val="661B2288"/>
    <w:rsid w:val="662E8DA1"/>
    <w:rsid w:val="663C91F9"/>
    <w:rsid w:val="6642693B"/>
    <w:rsid w:val="664554F5"/>
    <w:rsid w:val="6648BE77"/>
    <w:rsid w:val="666AB022"/>
    <w:rsid w:val="666EA439"/>
    <w:rsid w:val="6673B24C"/>
    <w:rsid w:val="6693F95B"/>
    <w:rsid w:val="66953007"/>
    <w:rsid w:val="669D61CE"/>
    <w:rsid w:val="669FD055"/>
    <w:rsid w:val="66A55CDB"/>
    <w:rsid w:val="66A8E8B7"/>
    <w:rsid w:val="66BB57D7"/>
    <w:rsid w:val="66BC26E4"/>
    <w:rsid w:val="66C43E9D"/>
    <w:rsid w:val="66C76FA9"/>
    <w:rsid w:val="66C9E4AE"/>
    <w:rsid w:val="66CAE993"/>
    <w:rsid w:val="66CBB37D"/>
    <w:rsid w:val="66DAF3FB"/>
    <w:rsid w:val="66E820EA"/>
    <w:rsid w:val="66F15DEC"/>
    <w:rsid w:val="66F25133"/>
    <w:rsid w:val="66F8801F"/>
    <w:rsid w:val="6708122F"/>
    <w:rsid w:val="670C4E5C"/>
    <w:rsid w:val="6715BA17"/>
    <w:rsid w:val="6717AFC2"/>
    <w:rsid w:val="6719DE88"/>
    <w:rsid w:val="67262BA0"/>
    <w:rsid w:val="6729A787"/>
    <w:rsid w:val="67458257"/>
    <w:rsid w:val="6748D813"/>
    <w:rsid w:val="6759909E"/>
    <w:rsid w:val="6759C31E"/>
    <w:rsid w:val="67622302"/>
    <w:rsid w:val="676C707E"/>
    <w:rsid w:val="676D0BBC"/>
    <w:rsid w:val="6787E735"/>
    <w:rsid w:val="678B01C2"/>
    <w:rsid w:val="678CE948"/>
    <w:rsid w:val="6794FAB8"/>
    <w:rsid w:val="67A1480F"/>
    <w:rsid w:val="67A70A9D"/>
    <w:rsid w:val="67A7FC51"/>
    <w:rsid w:val="67AF31C6"/>
    <w:rsid w:val="67AFF879"/>
    <w:rsid w:val="67B475BB"/>
    <w:rsid w:val="67BBA6E6"/>
    <w:rsid w:val="67DBEDC2"/>
    <w:rsid w:val="67E48D16"/>
    <w:rsid w:val="67EB196A"/>
    <w:rsid w:val="67F03A77"/>
    <w:rsid w:val="67F9428C"/>
    <w:rsid w:val="6808C823"/>
    <w:rsid w:val="681AA243"/>
    <w:rsid w:val="681E03C8"/>
    <w:rsid w:val="68244D65"/>
    <w:rsid w:val="682641AB"/>
    <w:rsid w:val="682A45AA"/>
    <w:rsid w:val="682BBB83"/>
    <w:rsid w:val="682CB01C"/>
    <w:rsid w:val="6836F128"/>
    <w:rsid w:val="6838B12F"/>
    <w:rsid w:val="683FAB69"/>
    <w:rsid w:val="6840915D"/>
    <w:rsid w:val="6840DC04"/>
    <w:rsid w:val="6844151F"/>
    <w:rsid w:val="68498EBE"/>
    <w:rsid w:val="68517770"/>
    <w:rsid w:val="6854C913"/>
    <w:rsid w:val="68596DF1"/>
    <w:rsid w:val="6859F19D"/>
    <w:rsid w:val="686F14CD"/>
    <w:rsid w:val="6880FDEB"/>
    <w:rsid w:val="6893B255"/>
    <w:rsid w:val="689527EC"/>
    <w:rsid w:val="689B7349"/>
    <w:rsid w:val="68A0F86F"/>
    <w:rsid w:val="68A50E2C"/>
    <w:rsid w:val="68C5390E"/>
    <w:rsid w:val="68CB663B"/>
    <w:rsid w:val="68CF85C7"/>
    <w:rsid w:val="68D353C1"/>
    <w:rsid w:val="68E89ECB"/>
    <w:rsid w:val="68EB1981"/>
    <w:rsid w:val="68F26F70"/>
    <w:rsid w:val="68F997B1"/>
    <w:rsid w:val="68FA8F68"/>
    <w:rsid w:val="6903A4D0"/>
    <w:rsid w:val="69177ED2"/>
    <w:rsid w:val="69375391"/>
    <w:rsid w:val="694845DE"/>
    <w:rsid w:val="6949AF63"/>
    <w:rsid w:val="694B3D24"/>
    <w:rsid w:val="695888ED"/>
    <w:rsid w:val="695A43F8"/>
    <w:rsid w:val="695D8AE1"/>
    <w:rsid w:val="695E95C6"/>
    <w:rsid w:val="6962BBAA"/>
    <w:rsid w:val="6963B849"/>
    <w:rsid w:val="69641B41"/>
    <w:rsid w:val="69647026"/>
    <w:rsid w:val="6975735E"/>
    <w:rsid w:val="69802743"/>
    <w:rsid w:val="699161FF"/>
    <w:rsid w:val="69966B9C"/>
    <w:rsid w:val="6996F1E3"/>
    <w:rsid w:val="699765B9"/>
    <w:rsid w:val="699AF318"/>
    <w:rsid w:val="69A646A9"/>
    <w:rsid w:val="69A80E37"/>
    <w:rsid w:val="69AA01FF"/>
    <w:rsid w:val="69AABFA2"/>
    <w:rsid w:val="69B0F3E0"/>
    <w:rsid w:val="69B8FF82"/>
    <w:rsid w:val="69C2FCF3"/>
    <w:rsid w:val="69CD3C38"/>
    <w:rsid w:val="69D06405"/>
    <w:rsid w:val="69D9F973"/>
    <w:rsid w:val="69DD917E"/>
    <w:rsid w:val="69DF512E"/>
    <w:rsid w:val="69EBB2B5"/>
    <w:rsid w:val="69EF7511"/>
    <w:rsid w:val="69EFB691"/>
    <w:rsid w:val="69F04276"/>
    <w:rsid w:val="69FF4006"/>
    <w:rsid w:val="6A0D7FD8"/>
    <w:rsid w:val="6A0F6162"/>
    <w:rsid w:val="6A143602"/>
    <w:rsid w:val="6A146B50"/>
    <w:rsid w:val="6A182D92"/>
    <w:rsid w:val="6A21765F"/>
    <w:rsid w:val="6A35B540"/>
    <w:rsid w:val="6A4400A3"/>
    <w:rsid w:val="6A46ED51"/>
    <w:rsid w:val="6A4B2C4D"/>
    <w:rsid w:val="6A4EAF65"/>
    <w:rsid w:val="6A5830BC"/>
    <w:rsid w:val="6A5AC6C4"/>
    <w:rsid w:val="6A5C6190"/>
    <w:rsid w:val="6A61C138"/>
    <w:rsid w:val="6A61F1DE"/>
    <w:rsid w:val="6A67AD4E"/>
    <w:rsid w:val="6A6A5F01"/>
    <w:rsid w:val="6A6D0872"/>
    <w:rsid w:val="6A6E3D33"/>
    <w:rsid w:val="6A708902"/>
    <w:rsid w:val="6A77B5A4"/>
    <w:rsid w:val="6A799507"/>
    <w:rsid w:val="6A7E2532"/>
    <w:rsid w:val="6A81D88E"/>
    <w:rsid w:val="6A846F2C"/>
    <w:rsid w:val="6A9058AD"/>
    <w:rsid w:val="6AABD3F9"/>
    <w:rsid w:val="6AACA6E9"/>
    <w:rsid w:val="6AB01AD4"/>
    <w:rsid w:val="6AB18064"/>
    <w:rsid w:val="6ABA9B47"/>
    <w:rsid w:val="6AD2C217"/>
    <w:rsid w:val="6ADAD458"/>
    <w:rsid w:val="6ADD923E"/>
    <w:rsid w:val="6AE2A993"/>
    <w:rsid w:val="6AE2CFA7"/>
    <w:rsid w:val="6AEE4520"/>
    <w:rsid w:val="6AF0A8C4"/>
    <w:rsid w:val="6B0E9534"/>
    <w:rsid w:val="6B1FFC8B"/>
    <w:rsid w:val="6B2CF4CB"/>
    <w:rsid w:val="6B30969C"/>
    <w:rsid w:val="6B3E3AC5"/>
    <w:rsid w:val="6B411FA0"/>
    <w:rsid w:val="6B42155C"/>
    <w:rsid w:val="6B43174F"/>
    <w:rsid w:val="6B4F0B5F"/>
    <w:rsid w:val="6B60032C"/>
    <w:rsid w:val="6B74F522"/>
    <w:rsid w:val="6B788E8C"/>
    <w:rsid w:val="6B8117D1"/>
    <w:rsid w:val="6B88B09E"/>
    <w:rsid w:val="6B8FFCAB"/>
    <w:rsid w:val="6B970BEE"/>
    <w:rsid w:val="6BA5E639"/>
    <w:rsid w:val="6BAF198A"/>
    <w:rsid w:val="6BAFD0D1"/>
    <w:rsid w:val="6BB4328D"/>
    <w:rsid w:val="6BC01D51"/>
    <w:rsid w:val="6BCF3EA1"/>
    <w:rsid w:val="6BD13CD1"/>
    <w:rsid w:val="6BD20FB6"/>
    <w:rsid w:val="6BD85441"/>
    <w:rsid w:val="6BE181CA"/>
    <w:rsid w:val="6BE7EBDE"/>
    <w:rsid w:val="6BE884B1"/>
    <w:rsid w:val="6BF04E06"/>
    <w:rsid w:val="6BF1E82D"/>
    <w:rsid w:val="6BF20D35"/>
    <w:rsid w:val="6BF3671A"/>
    <w:rsid w:val="6BF76F45"/>
    <w:rsid w:val="6BFBF80E"/>
    <w:rsid w:val="6BFC515F"/>
    <w:rsid w:val="6BFD8015"/>
    <w:rsid w:val="6C0BFDA0"/>
    <w:rsid w:val="6C0E916D"/>
    <w:rsid w:val="6C139C30"/>
    <w:rsid w:val="6C149B24"/>
    <w:rsid w:val="6C181599"/>
    <w:rsid w:val="6C279DAB"/>
    <w:rsid w:val="6C2E2F92"/>
    <w:rsid w:val="6C31C360"/>
    <w:rsid w:val="6C4E7DCA"/>
    <w:rsid w:val="6C4F692A"/>
    <w:rsid w:val="6C5243D1"/>
    <w:rsid w:val="6C56C988"/>
    <w:rsid w:val="6C5B9C49"/>
    <w:rsid w:val="6C622CAE"/>
    <w:rsid w:val="6C64078C"/>
    <w:rsid w:val="6C6DDC54"/>
    <w:rsid w:val="6C740CCE"/>
    <w:rsid w:val="6C79CF45"/>
    <w:rsid w:val="6C7E8261"/>
    <w:rsid w:val="6C8589B0"/>
    <w:rsid w:val="6C8E650B"/>
    <w:rsid w:val="6CA11771"/>
    <w:rsid w:val="6CB3A8A1"/>
    <w:rsid w:val="6CC1A58B"/>
    <w:rsid w:val="6CC8E5D0"/>
    <w:rsid w:val="6CD0DC18"/>
    <w:rsid w:val="6CD8D2AB"/>
    <w:rsid w:val="6CE9110C"/>
    <w:rsid w:val="6CF1B3CE"/>
    <w:rsid w:val="6CF1F85F"/>
    <w:rsid w:val="6D053AB9"/>
    <w:rsid w:val="6D0E2C67"/>
    <w:rsid w:val="6D1AC456"/>
    <w:rsid w:val="6D454C85"/>
    <w:rsid w:val="6D4935F8"/>
    <w:rsid w:val="6D5D119B"/>
    <w:rsid w:val="6D6FD59B"/>
    <w:rsid w:val="6D6FD5DB"/>
    <w:rsid w:val="6D7732F0"/>
    <w:rsid w:val="6D779CF1"/>
    <w:rsid w:val="6D8C628F"/>
    <w:rsid w:val="6D8F9EC3"/>
    <w:rsid w:val="6D9DB4D9"/>
    <w:rsid w:val="6DA7D9A6"/>
    <w:rsid w:val="6DAF21A0"/>
    <w:rsid w:val="6DAF3D52"/>
    <w:rsid w:val="6DAF7673"/>
    <w:rsid w:val="6DB2F7DA"/>
    <w:rsid w:val="6DB3B0FA"/>
    <w:rsid w:val="6DB7FCA5"/>
    <w:rsid w:val="6DB8AF4A"/>
    <w:rsid w:val="6DBA33CD"/>
    <w:rsid w:val="6DBA7445"/>
    <w:rsid w:val="6DBFEC35"/>
    <w:rsid w:val="6DCD2CB7"/>
    <w:rsid w:val="6DCE1C92"/>
    <w:rsid w:val="6DD0BDD1"/>
    <w:rsid w:val="6DD75A45"/>
    <w:rsid w:val="6DDABBD5"/>
    <w:rsid w:val="6DE2A991"/>
    <w:rsid w:val="6DEDFCA0"/>
    <w:rsid w:val="6DEE51F0"/>
    <w:rsid w:val="6E085047"/>
    <w:rsid w:val="6E0E42F0"/>
    <w:rsid w:val="6E15AA3E"/>
    <w:rsid w:val="6E29F310"/>
    <w:rsid w:val="6E33937B"/>
    <w:rsid w:val="6E39F46F"/>
    <w:rsid w:val="6E5089B7"/>
    <w:rsid w:val="6E684BE3"/>
    <w:rsid w:val="6E6F1870"/>
    <w:rsid w:val="6E7FE27D"/>
    <w:rsid w:val="6E883EA4"/>
    <w:rsid w:val="6E900810"/>
    <w:rsid w:val="6EB8501D"/>
    <w:rsid w:val="6EC1D812"/>
    <w:rsid w:val="6EC8FB3E"/>
    <w:rsid w:val="6EDCE0FC"/>
    <w:rsid w:val="6EDE5651"/>
    <w:rsid w:val="6EDEDA56"/>
    <w:rsid w:val="6EE11F0E"/>
    <w:rsid w:val="6EF22B5A"/>
    <w:rsid w:val="6EF22CC8"/>
    <w:rsid w:val="6EFA008D"/>
    <w:rsid w:val="6F06B921"/>
    <w:rsid w:val="6F0BFCAD"/>
    <w:rsid w:val="6F119E4E"/>
    <w:rsid w:val="6F1EEDCC"/>
    <w:rsid w:val="6F268E82"/>
    <w:rsid w:val="6F327780"/>
    <w:rsid w:val="6F328757"/>
    <w:rsid w:val="6F368B49"/>
    <w:rsid w:val="6F36D492"/>
    <w:rsid w:val="6F3949AB"/>
    <w:rsid w:val="6F3BDA80"/>
    <w:rsid w:val="6F4D264E"/>
    <w:rsid w:val="6F54824C"/>
    <w:rsid w:val="6F5549B1"/>
    <w:rsid w:val="6F633D20"/>
    <w:rsid w:val="6F652526"/>
    <w:rsid w:val="6F661681"/>
    <w:rsid w:val="6F6BD3AA"/>
    <w:rsid w:val="6F738654"/>
    <w:rsid w:val="6F8A2090"/>
    <w:rsid w:val="6F9F1BA6"/>
    <w:rsid w:val="6FA1B512"/>
    <w:rsid w:val="6FB24F65"/>
    <w:rsid w:val="6FB36AE1"/>
    <w:rsid w:val="6FB59394"/>
    <w:rsid w:val="6FB8DC0E"/>
    <w:rsid w:val="6FBF1892"/>
    <w:rsid w:val="6FD419DA"/>
    <w:rsid w:val="6FD4C706"/>
    <w:rsid w:val="6FD66521"/>
    <w:rsid w:val="6FD9714A"/>
    <w:rsid w:val="6FE171F2"/>
    <w:rsid w:val="6FE76CF1"/>
    <w:rsid w:val="6FF1BEF8"/>
    <w:rsid w:val="70004BBF"/>
    <w:rsid w:val="7002CD0D"/>
    <w:rsid w:val="7003EA95"/>
    <w:rsid w:val="70075352"/>
    <w:rsid w:val="700B1DBD"/>
    <w:rsid w:val="700FA642"/>
    <w:rsid w:val="701008FD"/>
    <w:rsid w:val="701CB1B5"/>
    <w:rsid w:val="701DFF7E"/>
    <w:rsid w:val="703119C0"/>
    <w:rsid w:val="70355B1E"/>
    <w:rsid w:val="704DC0B4"/>
    <w:rsid w:val="704E868C"/>
    <w:rsid w:val="70579E97"/>
    <w:rsid w:val="705C1166"/>
    <w:rsid w:val="706BFD41"/>
    <w:rsid w:val="707AE32F"/>
    <w:rsid w:val="707B2A67"/>
    <w:rsid w:val="708333AB"/>
    <w:rsid w:val="708A2D2B"/>
    <w:rsid w:val="7093BEAD"/>
    <w:rsid w:val="709F7D39"/>
    <w:rsid w:val="70A91427"/>
    <w:rsid w:val="70C36129"/>
    <w:rsid w:val="70C6595A"/>
    <w:rsid w:val="70D949B7"/>
    <w:rsid w:val="70DB9D1C"/>
    <w:rsid w:val="70EC9F81"/>
    <w:rsid w:val="70EFA3DE"/>
    <w:rsid w:val="70F211E2"/>
    <w:rsid w:val="70F45AA3"/>
    <w:rsid w:val="70F57898"/>
    <w:rsid w:val="70FDAABD"/>
    <w:rsid w:val="7104744D"/>
    <w:rsid w:val="71125C97"/>
    <w:rsid w:val="71226A82"/>
    <w:rsid w:val="7125585E"/>
    <w:rsid w:val="71345964"/>
    <w:rsid w:val="713651A2"/>
    <w:rsid w:val="714A65C6"/>
    <w:rsid w:val="714EDE97"/>
    <w:rsid w:val="7153DE87"/>
    <w:rsid w:val="7160520D"/>
    <w:rsid w:val="71694721"/>
    <w:rsid w:val="717663B4"/>
    <w:rsid w:val="7189D367"/>
    <w:rsid w:val="718A220F"/>
    <w:rsid w:val="718F91A0"/>
    <w:rsid w:val="719828BD"/>
    <w:rsid w:val="719AA3F3"/>
    <w:rsid w:val="719AAD3C"/>
    <w:rsid w:val="719D6F67"/>
    <w:rsid w:val="71A1E287"/>
    <w:rsid w:val="71A6D450"/>
    <w:rsid w:val="71A770EF"/>
    <w:rsid w:val="71AE42CC"/>
    <w:rsid w:val="71B337D5"/>
    <w:rsid w:val="71B3FB1D"/>
    <w:rsid w:val="71BEE1C0"/>
    <w:rsid w:val="71C24E88"/>
    <w:rsid w:val="71C2EA1A"/>
    <w:rsid w:val="71C99798"/>
    <w:rsid w:val="71D0FBF0"/>
    <w:rsid w:val="71D6C32C"/>
    <w:rsid w:val="71DA74A2"/>
    <w:rsid w:val="71E2DF15"/>
    <w:rsid w:val="71EC472F"/>
    <w:rsid w:val="71EC6F81"/>
    <w:rsid w:val="71ED9B55"/>
    <w:rsid w:val="72061D55"/>
    <w:rsid w:val="720625EC"/>
    <w:rsid w:val="72070D10"/>
    <w:rsid w:val="7215C2A3"/>
    <w:rsid w:val="721C7245"/>
    <w:rsid w:val="721FAAF9"/>
    <w:rsid w:val="7231848C"/>
    <w:rsid w:val="7236CDF3"/>
    <w:rsid w:val="726DF9C0"/>
    <w:rsid w:val="7281FAA1"/>
    <w:rsid w:val="72831F19"/>
    <w:rsid w:val="728B40DB"/>
    <w:rsid w:val="729036D7"/>
    <w:rsid w:val="729DD8D7"/>
    <w:rsid w:val="72AA27E6"/>
    <w:rsid w:val="72AC5996"/>
    <w:rsid w:val="72B9E445"/>
    <w:rsid w:val="72C196E7"/>
    <w:rsid w:val="72CA7621"/>
    <w:rsid w:val="72CC67BF"/>
    <w:rsid w:val="72CD948A"/>
    <w:rsid w:val="72CF47C0"/>
    <w:rsid w:val="72D04208"/>
    <w:rsid w:val="72D9247D"/>
    <w:rsid w:val="72D9EE3D"/>
    <w:rsid w:val="72E0A9F5"/>
    <w:rsid w:val="72E11847"/>
    <w:rsid w:val="72E3BE03"/>
    <w:rsid w:val="72E8E6BF"/>
    <w:rsid w:val="72EC2D35"/>
    <w:rsid w:val="72EF9BBA"/>
    <w:rsid w:val="72F646DA"/>
    <w:rsid w:val="72F791C4"/>
    <w:rsid w:val="7302E6D5"/>
    <w:rsid w:val="730B1762"/>
    <w:rsid w:val="731BD9B1"/>
    <w:rsid w:val="7323AC34"/>
    <w:rsid w:val="73338D1C"/>
    <w:rsid w:val="733CFB0C"/>
    <w:rsid w:val="734FF476"/>
    <w:rsid w:val="735BB570"/>
    <w:rsid w:val="735DFFAA"/>
    <w:rsid w:val="7361F1B3"/>
    <w:rsid w:val="73663D39"/>
    <w:rsid w:val="736ACD9A"/>
    <w:rsid w:val="73751B98"/>
    <w:rsid w:val="737F018D"/>
    <w:rsid w:val="73837497"/>
    <w:rsid w:val="738BA49E"/>
    <w:rsid w:val="739CDF5A"/>
    <w:rsid w:val="73A41F76"/>
    <w:rsid w:val="73B32213"/>
    <w:rsid w:val="73BAD8AE"/>
    <w:rsid w:val="73BB39D0"/>
    <w:rsid w:val="73BDB835"/>
    <w:rsid w:val="73C4A485"/>
    <w:rsid w:val="73CF16DC"/>
    <w:rsid w:val="73D64F22"/>
    <w:rsid w:val="73DB14C2"/>
    <w:rsid w:val="73DED68F"/>
    <w:rsid w:val="73DFF955"/>
    <w:rsid w:val="73EAE2E9"/>
    <w:rsid w:val="73F32D8C"/>
    <w:rsid w:val="73FF19F1"/>
    <w:rsid w:val="74009CB1"/>
    <w:rsid w:val="7405CFCB"/>
    <w:rsid w:val="740E18E2"/>
    <w:rsid w:val="7411ED8F"/>
    <w:rsid w:val="7412CB14"/>
    <w:rsid w:val="74189258"/>
    <w:rsid w:val="74245879"/>
    <w:rsid w:val="742EA469"/>
    <w:rsid w:val="744B1F8E"/>
    <w:rsid w:val="744DCBC7"/>
    <w:rsid w:val="745AC81D"/>
    <w:rsid w:val="74666108"/>
    <w:rsid w:val="74672936"/>
    <w:rsid w:val="74829948"/>
    <w:rsid w:val="74847484"/>
    <w:rsid w:val="7490303D"/>
    <w:rsid w:val="7493D4E2"/>
    <w:rsid w:val="74A770B0"/>
    <w:rsid w:val="74AED55E"/>
    <w:rsid w:val="74B6BE64"/>
    <w:rsid w:val="74C68C0E"/>
    <w:rsid w:val="74CAFBD9"/>
    <w:rsid w:val="74D5F103"/>
    <w:rsid w:val="74D80970"/>
    <w:rsid w:val="74DF11B1"/>
    <w:rsid w:val="74F795F0"/>
    <w:rsid w:val="74FA8638"/>
    <w:rsid w:val="750E7F07"/>
    <w:rsid w:val="75195FDF"/>
    <w:rsid w:val="7521A19F"/>
    <w:rsid w:val="753954B6"/>
    <w:rsid w:val="753D22B8"/>
    <w:rsid w:val="754994EC"/>
    <w:rsid w:val="75595892"/>
    <w:rsid w:val="755E3764"/>
    <w:rsid w:val="7567DC75"/>
    <w:rsid w:val="757E05F7"/>
    <w:rsid w:val="757E4C17"/>
    <w:rsid w:val="757EC3FF"/>
    <w:rsid w:val="7583DDC2"/>
    <w:rsid w:val="75974F04"/>
    <w:rsid w:val="75A66E61"/>
    <w:rsid w:val="75B02136"/>
    <w:rsid w:val="75B18A59"/>
    <w:rsid w:val="75B1D6C9"/>
    <w:rsid w:val="75B51D62"/>
    <w:rsid w:val="75D3E157"/>
    <w:rsid w:val="75D844C0"/>
    <w:rsid w:val="75E1B557"/>
    <w:rsid w:val="75E5D626"/>
    <w:rsid w:val="75EB25B0"/>
    <w:rsid w:val="75EEA74C"/>
    <w:rsid w:val="75F1CA43"/>
    <w:rsid w:val="75F1D0CE"/>
    <w:rsid w:val="75F57549"/>
    <w:rsid w:val="761B6A05"/>
    <w:rsid w:val="765CFE5C"/>
    <w:rsid w:val="7665AD12"/>
    <w:rsid w:val="7666B83D"/>
    <w:rsid w:val="7672F97A"/>
    <w:rsid w:val="7673BC23"/>
    <w:rsid w:val="76781727"/>
    <w:rsid w:val="76880B06"/>
    <w:rsid w:val="7688A3A8"/>
    <w:rsid w:val="7696BA73"/>
    <w:rsid w:val="769F7BAD"/>
    <w:rsid w:val="76A482EF"/>
    <w:rsid w:val="76C18B40"/>
    <w:rsid w:val="76C62029"/>
    <w:rsid w:val="76CC2445"/>
    <w:rsid w:val="76CF8507"/>
    <w:rsid w:val="76CFCAA8"/>
    <w:rsid w:val="76D00F5F"/>
    <w:rsid w:val="76DB5525"/>
    <w:rsid w:val="76DE167A"/>
    <w:rsid w:val="76E099F1"/>
    <w:rsid w:val="76E1A5FA"/>
    <w:rsid w:val="76EC22D7"/>
    <w:rsid w:val="76FD620E"/>
    <w:rsid w:val="7704EF4C"/>
    <w:rsid w:val="77077879"/>
    <w:rsid w:val="771687BC"/>
    <w:rsid w:val="77188E66"/>
    <w:rsid w:val="771F5E28"/>
    <w:rsid w:val="77261C64"/>
    <w:rsid w:val="772C793C"/>
    <w:rsid w:val="772FF7DC"/>
    <w:rsid w:val="77415BFF"/>
    <w:rsid w:val="7754C487"/>
    <w:rsid w:val="775EEE87"/>
    <w:rsid w:val="7763D2E6"/>
    <w:rsid w:val="7767973C"/>
    <w:rsid w:val="77782A52"/>
    <w:rsid w:val="7782D187"/>
    <w:rsid w:val="779C1806"/>
    <w:rsid w:val="77A4A132"/>
    <w:rsid w:val="77A8BE2D"/>
    <w:rsid w:val="77B6FAF6"/>
    <w:rsid w:val="77B92697"/>
    <w:rsid w:val="77BCD8E4"/>
    <w:rsid w:val="77C2BCE5"/>
    <w:rsid w:val="77D3C1DC"/>
    <w:rsid w:val="77E185C1"/>
    <w:rsid w:val="77E39827"/>
    <w:rsid w:val="77E67FB0"/>
    <w:rsid w:val="77E736B2"/>
    <w:rsid w:val="77EDD00F"/>
    <w:rsid w:val="77EE67AA"/>
    <w:rsid w:val="77F0A658"/>
    <w:rsid w:val="77F70DD7"/>
    <w:rsid w:val="77FF1C8A"/>
    <w:rsid w:val="780ADA8C"/>
    <w:rsid w:val="780EBF8D"/>
    <w:rsid w:val="7832D1EC"/>
    <w:rsid w:val="78351EF2"/>
    <w:rsid w:val="7836EFC8"/>
    <w:rsid w:val="7841F119"/>
    <w:rsid w:val="7847CED0"/>
    <w:rsid w:val="787BD314"/>
    <w:rsid w:val="78800766"/>
    <w:rsid w:val="7889511F"/>
    <w:rsid w:val="78B6C4C5"/>
    <w:rsid w:val="78CC0DEF"/>
    <w:rsid w:val="78D4FA16"/>
    <w:rsid w:val="78E89773"/>
    <w:rsid w:val="78EF2319"/>
    <w:rsid w:val="78EF7FE4"/>
    <w:rsid w:val="7901AF92"/>
    <w:rsid w:val="7906B01B"/>
    <w:rsid w:val="79139D71"/>
    <w:rsid w:val="79246295"/>
    <w:rsid w:val="792A9911"/>
    <w:rsid w:val="793982E3"/>
    <w:rsid w:val="79428A94"/>
    <w:rsid w:val="7946CAF9"/>
    <w:rsid w:val="794C4626"/>
    <w:rsid w:val="794D1566"/>
    <w:rsid w:val="7955D26F"/>
    <w:rsid w:val="7957F557"/>
    <w:rsid w:val="79587E27"/>
    <w:rsid w:val="795BB799"/>
    <w:rsid w:val="797CA716"/>
    <w:rsid w:val="797F3603"/>
    <w:rsid w:val="798E17C8"/>
    <w:rsid w:val="79968C2D"/>
    <w:rsid w:val="79A0965F"/>
    <w:rsid w:val="79AE96DF"/>
    <w:rsid w:val="79B52E99"/>
    <w:rsid w:val="79C648EE"/>
    <w:rsid w:val="79CCE2C0"/>
    <w:rsid w:val="79D121CA"/>
    <w:rsid w:val="79D4E23E"/>
    <w:rsid w:val="79DA09E7"/>
    <w:rsid w:val="79EC109F"/>
    <w:rsid w:val="79F58267"/>
    <w:rsid w:val="79FBEDC0"/>
    <w:rsid w:val="79FC0A36"/>
    <w:rsid w:val="79FCF76C"/>
    <w:rsid w:val="7A04980D"/>
    <w:rsid w:val="7A0C18E0"/>
    <w:rsid w:val="7A0C6729"/>
    <w:rsid w:val="7A0EA375"/>
    <w:rsid w:val="7A1D5FDE"/>
    <w:rsid w:val="7A38613D"/>
    <w:rsid w:val="7A42D92C"/>
    <w:rsid w:val="7A449B88"/>
    <w:rsid w:val="7A5C1309"/>
    <w:rsid w:val="7A5F9BC0"/>
    <w:rsid w:val="7A6ABB2A"/>
    <w:rsid w:val="7A711F8A"/>
    <w:rsid w:val="7A84A471"/>
    <w:rsid w:val="7A850D94"/>
    <w:rsid w:val="7A8AC628"/>
    <w:rsid w:val="7A94B70B"/>
    <w:rsid w:val="7AAA1F21"/>
    <w:rsid w:val="7AAD800C"/>
    <w:rsid w:val="7AB455C3"/>
    <w:rsid w:val="7AB61679"/>
    <w:rsid w:val="7AC0ED4D"/>
    <w:rsid w:val="7AC559B1"/>
    <w:rsid w:val="7AC68543"/>
    <w:rsid w:val="7AC9D32B"/>
    <w:rsid w:val="7AD00057"/>
    <w:rsid w:val="7AD9A176"/>
    <w:rsid w:val="7ADC8FED"/>
    <w:rsid w:val="7AE5AC91"/>
    <w:rsid w:val="7AF2AE44"/>
    <w:rsid w:val="7B02A4B1"/>
    <w:rsid w:val="7B0F3D7E"/>
    <w:rsid w:val="7B156732"/>
    <w:rsid w:val="7B1C82C6"/>
    <w:rsid w:val="7B1D476C"/>
    <w:rsid w:val="7B21A955"/>
    <w:rsid w:val="7B2BE95D"/>
    <w:rsid w:val="7B2E19D8"/>
    <w:rsid w:val="7B2F92CE"/>
    <w:rsid w:val="7B35BB2C"/>
    <w:rsid w:val="7B36559C"/>
    <w:rsid w:val="7B3917B0"/>
    <w:rsid w:val="7B3E0385"/>
    <w:rsid w:val="7B490EBE"/>
    <w:rsid w:val="7B4DC303"/>
    <w:rsid w:val="7B5876A5"/>
    <w:rsid w:val="7B5EDFA4"/>
    <w:rsid w:val="7B6D0398"/>
    <w:rsid w:val="7B6DB95E"/>
    <w:rsid w:val="7B6EF45C"/>
    <w:rsid w:val="7B7450A5"/>
    <w:rsid w:val="7B7975FE"/>
    <w:rsid w:val="7B7DD49E"/>
    <w:rsid w:val="7B827807"/>
    <w:rsid w:val="7B8BBF84"/>
    <w:rsid w:val="7B920281"/>
    <w:rsid w:val="7B94C6F9"/>
    <w:rsid w:val="7B9CB47F"/>
    <w:rsid w:val="7BA12225"/>
    <w:rsid w:val="7BC29809"/>
    <w:rsid w:val="7BC5E9FF"/>
    <w:rsid w:val="7BC9556E"/>
    <w:rsid w:val="7BCBED4F"/>
    <w:rsid w:val="7BD156DC"/>
    <w:rsid w:val="7BD6D1EB"/>
    <w:rsid w:val="7BE3A163"/>
    <w:rsid w:val="7BF4F10B"/>
    <w:rsid w:val="7BFBA1A6"/>
    <w:rsid w:val="7BFE99AA"/>
    <w:rsid w:val="7C03F627"/>
    <w:rsid w:val="7C0BD3B1"/>
    <w:rsid w:val="7C1B7F45"/>
    <w:rsid w:val="7C1E719E"/>
    <w:rsid w:val="7C271F98"/>
    <w:rsid w:val="7C2CEC6B"/>
    <w:rsid w:val="7C31482D"/>
    <w:rsid w:val="7C32C157"/>
    <w:rsid w:val="7C445EBC"/>
    <w:rsid w:val="7C482182"/>
    <w:rsid w:val="7C510A2C"/>
    <w:rsid w:val="7C550F3E"/>
    <w:rsid w:val="7C5AD43D"/>
    <w:rsid w:val="7C68F07F"/>
    <w:rsid w:val="7C73DF58"/>
    <w:rsid w:val="7C7A933E"/>
    <w:rsid w:val="7C891BC3"/>
    <w:rsid w:val="7C8F4691"/>
    <w:rsid w:val="7C9D8F4D"/>
    <w:rsid w:val="7CAC6433"/>
    <w:rsid w:val="7CAD15B2"/>
    <w:rsid w:val="7CB917CD"/>
    <w:rsid w:val="7CC8BF18"/>
    <w:rsid w:val="7CCE59AF"/>
    <w:rsid w:val="7CE85E29"/>
    <w:rsid w:val="7CEC7AD3"/>
    <w:rsid w:val="7CF6FCE0"/>
    <w:rsid w:val="7D002848"/>
    <w:rsid w:val="7D0A74AB"/>
    <w:rsid w:val="7D0DC853"/>
    <w:rsid w:val="7D1077FA"/>
    <w:rsid w:val="7D10A129"/>
    <w:rsid w:val="7D126791"/>
    <w:rsid w:val="7D1376CC"/>
    <w:rsid w:val="7D15AF63"/>
    <w:rsid w:val="7D2A8F39"/>
    <w:rsid w:val="7D2E2157"/>
    <w:rsid w:val="7D3D0A44"/>
    <w:rsid w:val="7D3E997C"/>
    <w:rsid w:val="7D7CB1A2"/>
    <w:rsid w:val="7D82E607"/>
    <w:rsid w:val="7D84AB2C"/>
    <w:rsid w:val="7D8C952D"/>
    <w:rsid w:val="7D8D44AC"/>
    <w:rsid w:val="7D9C1367"/>
    <w:rsid w:val="7DA1C128"/>
    <w:rsid w:val="7DA254A8"/>
    <w:rsid w:val="7DB701A4"/>
    <w:rsid w:val="7DC419FB"/>
    <w:rsid w:val="7DC50C49"/>
    <w:rsid w:val="7DD64400"/>
    <w:rsid w:val="7DE4257C"/>
    <w:rsid w:val="7DEEB39D"/>
    <w:rsid w:val="7DF0F357"/>
    <w:rsid w:val="7DFA40EF"/>
    <w:rsid w:val="7E09710D"/>
    <w:rsid w:val="7E109B32"/>
    <w:rsid w:val="7E195206"/>
    <w:rsid w:val="7E26F7DE"/>
    <w:rsid w:val="7E2C373E"/>
    <w:rsid w:val="7E33A0E7"/>
    <w:rsid w:val="7E56D5F8"/>
    <w:rsid w:val="7E5BEF1E"/>
    <w:rsid w:val="7E5D993D"/>
    <w:rsid w:val="7E619CE3"/>
    <w:rsid w:val="7E71AE43"/>
    <w:rsid w:val="7E7ACB61"/>
    <w:rsid w:val="7E856855"/>
    <w:rsid w:val="7E85A184"/>
    <w:rsid w:val="7E88A400"/>
    <w:rsid w:val="7E8964AE"/>
    <w:rsid w:val="7E8ACFF1"/>
    <w:rsid w:val="7E8FBD58"/>
    <w:rsid w:val="7E97C76E"/>
    <w:rsid w:val="7E97E3AB"/>
    <w:rsid w:val="7E9945CE"/>
    <w:rsid w:val="7E9E9DD5"/>
    <w:rsid w:val="7EA4A45A"/>
    <w:rsid w:val="7EA91AA1"/>
    <w:rsid w:val="7EA99151"/>
    <w:rsid w:val="7EA9DCA0"/>
    <w:rsid w:val="7EB82740"/>
    <w:rsid w:val="7EC76D4F"/>
    <w:rsid w:val="7ECCC06E"/>
    <w:rsid w:val="7ECF5D13"/>
    <w:rsid w:val="7EE8B1A5"/>
    <w:rsid w:val="7EEA4BB7"/>
    <w:rsid w:val="7EF040E9"/>
    <w:rsid w:val="7EF5A05F"/>
    <w:rsid w:val="7EF93E05"/>
    <w:rsid w:val="7EFEE4AA"/>
    <w:rsid w:val="7EFFF052"/>
    <w:rsid w:val="7F0BEFA1"/>
    <w:rsid w:val="7F11DF6B"/>
    <w:rsid w:val="7F224682"/>
    <w:rsid w:val="7F26A1FD"/>
    <w:rsid w:val="7F322200"/>
    <w:rsid w:val="7F394198"/>
    <w:rsid w:val="7F4006C8"/>
    <w:rsid w:val="7F5098A7"/>
    <w:rsid w:val="7F5AFC35"/>
    <w:rsid w:val="7F6B703A"/>
    <w:rsid w:val="7F750918"/>
    <w:rsid w:val="7F7C842E"/>
    <w:rsid w:val="7F7E2836"/>
    <w:rsid w:val="7F7EA37A"/>
    <w:rsid w:val="7F85BA6F"/>
    <w:rsid w:val="7F89EE15"/>
    <w:rsid w:val="7F8CB000"/>
    <w:rsid w:val="7F8D17FF"/>
    <w:rsid w:val="7F8FFDDC"/>
    <w:rsid w:val="7F986BF5"/>
    <w:rsid w:val="7FA10F94"/>
    <w:rsid w:val="7FAB801A"/>
    <w:rsid w:val="7FAD0993"/>
    <w:rsid w:val="7FAE6F17"/>
    <w:rsid w:val="7FAE92B2"/>
    <w:rsid w:val="7FBD16AB"/>
    <w:rsid w:val="7FC054FD"/>
    <w:rsid w:val="7FC139AD"/>
    <w:rsid w:val="7FD3C4A3"/>
    <w:rsid w:val="7FE22F9C"/>
    <w:rsid w:val="7FEBE89A"/>
    <w:rsid w:val="7FED4E2B"/>
    <w:rsid w:val="7FEDECD8"/>
    <w:rsid w:val="7FFF549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54F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b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F2B"/>
    <w:pPr>
      <w:spacing w:after="200" w:line="276" w:lineRule="auto"/>
    </w:pPr>
  </w:style>
  <w:style w:type="paragraph" w:styleId="Heading1">
    <w:name w:val="heading 1"/>
    <w:basedOn w:val="Normal"/>
    <w:next w:val="Normal"/>
    <w:link w:val="Heading1Char"/>
    <w:uiPriority w:val="9"/>
    <w:qFormat/>
    <w:rsid w:val="00F80042"/>
    <w:pPr>
      <w:keepNext/>
      <w:keepLines/>
      <w:spacing w:before="240" w:after="0" w:line="240" w:lineRule="auto"/>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D637EC"/>
    <w:pPr>
      <w:keepNext/>
      <w:spacing w:before="40" w:after="0" w:line="259" w:lineRule="auto"/>
      <w:ind w:left="130" w:firstLine="720"/>
      <w:jc w:val="both"/>
      <w:outlineLvl w:val="1"/>
    </w:pPr>
    <w:rPr>
      <w:rFonts w:ascii="Times New Roman" w:eastAsiaTheme="minorEastAsia" w:hAnsi="Times New Roman" w:cs="Times New Roman"/>
      <w:b/>
      <w:sz w:val="24"/>
      <w:u w:val="single"/>
    </w:rPr>
  </w:style>
  <w:style w:type="paragraph" w:styleId="Heading3">
    <w:name w:val="heading 3"/>
    <w:basedOn w:val="Normal"/>
    <w:next w:val="Normal"/>
    <w:link w:val="Heading3Char"/>
    <w:uiPriority w:val="9"/>
    <w:unhideWhenUsed/>
    <w:qFormat/>
    <w:rsid w:val="00D637EC"/>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2B3CF8"/>
    <w:pPr>
      <w:keepNext/>
      <w:keepLines/>
      <w:spacing w:before="40" w:after="0"/>
      <w:outlineLvl w:val="3"/>
    </w:pPr>
    <w:rPr>
      <w:rFonts w:ascii="Times New Roman" w:eastAsia="MS Gothic" w:hAnsi="Times New Roman" w:cs="Times New Roman"/>
      <w:sz w:val="24"/>
    </w:rPr>
  </w:style>
  <w:style w:type="paragraph" w:styleId="Heading5">
    <w:name w:val="heading 5"/>
    <w:basedOn w:val="Normal"/>
    <w:next w:val="Normal"/>
    <w:link w:val="Heading5Char"/>
    <w:uiPriority w:val="9"/>
    <w:semiHidden/>
    <w:unhideWhenUsed/>
    <w:qFormat/>
    <w:rsid w:val="002B3CF8"/>
    <w:pPr>
      <w:keepNext/>
      <w:keepLines/>
      <w:spacing w:before="40" w:after="0"/>
      <w:outlineLvl w:val="4"/>
    </w:pPr>
    <w:rPr>
      <w:rFonts w:ascii="Times New Roman" w:eastAsia="MS Gothic" w:hAnsi="Times New Roman" w:cs="Times New Roman"/>
      <w:sz w:val="24"/>
    </w:rPr>
  </w:style>
  <w:style w:type="paragraph" w:styleId="Heading6">
    <w:name w:val="heading 6"/>
    <w:basedOn w:val="Normal"/>
    <w:next w:val="Normal"/>
    <w:link w:val="Heading6Char"/>
    <w:uiPriority w:val="9"/>
    <w:semiHidden/>
    <w:unhideWhenUsed/>
    <w:qFormat/>
    <w:rsid w:val="002B3CF8"/>
    <w:pPr>
      <w:keepNext/>
      <w:keepLines/>
      <w:spacing w:before="40" w:after="0"/>
      <w:outlineLvl w:val="5"/>
    </w:pPr>
    <w:rPr>
      <w:rFonts w:ascii="Times New Roman" w:eastAsia="MS Gothic" w:hAnsi="Times New Roman" w:cs="Times New Roman"/>
      <w:sz w:val="24"/>
    </w:rPr>
  </w:style>
  <w:style w:type="paragraph" w:styleId="Heading7">
    <w:name w:val="heading 7"/>
    <w:basedOn w:val="Normal"/>
    <w:next w:val="Normal"/>
    <w:link w:val="Heading7Char"/>
    <w:uiPriority w:val="9"/>
    <w:semiHidden/>
    <w:unhideWhenUsed/>
    <w:qFormat/>
    <w:rsid w:val="002B3CF8"/>
    <w:pPr>
      <w:keepNext/>
      <w:keepLines/>
      <w:spacing w:before="40" w:after="0"/>
      <w:outlineLvl w:val="6"/>
    </w:pPr>
    <w:rPr>
      <w:rFonts w:ascii="Times New Roman" w:eastAsia="MS Gothic"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37EC"/>
    <w:rPr>
      <w:rFonts w:ascii="Times New Roman" w:eastAsiaTheme="minorEastAsia" w:hAnsi="Times New Roman" w:cs="Times New Roman"/>
      <w:b/>
      <w:sz w:val="24"/>
      <w:u w:val="single"/>
    </w:rPr>
  </w:style>
  <w:style w:type="character" w:styleId="CommentReference">
    <w:name w:val="annotation reference"/>
    <w:basedOn w:val="DefaultParagraphFont"/>
    <w:uiPriority w:val="99"/>
    <w:unhideWhenUsed/>
    <w:rsid w:val="00D637EC"/>
    <w:rPr>
      <w:sz w:val="16"/>
    </w:rPr>
  </w:style>
  <w:style w:type="paragraph" w:styleId="CommentText">
    <w:name w:val="annotation text"/>
    <w:basedOn w:val="Normal"/>
    <w:link w:val="CommentTextChar"/>
    <w:uiPriority w:val="99"/>
    <w:unhideWhenUsed/>
    <w:qFormat/>
    <w:rsid w:val="00D637EC"/>
    <w:pPr>
      <w:spacing w:before="120" w:after="120" w:line="240" w:lineRule="auto"/>
      <w:jc w:val="both"/>
    </w:pPr>
    <w:rPr>
      <w:rFonts w:ascii="Times New Roman" w:hAnsi="Times New Roman" w:cs="Times New Roman"/>
      <w:sz w:val="20"/>
    </w:rPr>
  </w:style>
  <w:style w:type="character" w:customStyle="1" w:styleId="CommentTextChar">
    <w:name w:val="Comment Text Char"/>
    <w:basedOn w:val="DefaultParagraphFont"/>
    <w:link w:val="CommentText"/>
    <w:uiPriority w:val="99"/>
    <w:rsid w:val="00D637EC"/>
    <w:rPr>
      <w:rFonts w:ascii="Times New Roman" w:hAnsi="Times New Roman" w:cs="Times New Roman"/>
      <w:sz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Welt L,b1,L,EC"/>
    <w:basedOn w:val="Normal"/>
    <w:link w:val="ListParagraphChar"/>
    <w:uiPriority w:val="34"/>
    <w:qFormat/>
    <w:rsid w:val="00D637EC"/>
    <w:pPr>
      <w:ind w:left="720"/>
      <w:contextualSpacing/>
    </w:pPr>
    <w:rPr>
      <w:rFonts w:ascii="Times New Roman" w:eastAsiaTheme="minorEastAsia" w:hAnsi="Times New Roman"/>
      <w:sz w:val="24"/>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b1 Char"/>
    <w:basedOn w:val="DefaultParagraphFont"/>
    <w:link w:val="ListParagraph"/>
    <w:uiPriority w:val="34"/>
    <w:qFormat/>
    <w:locked/>
    <w:rsid w:val="00D637EC"/>
    <w:rPr>
      <w:rFonts w:ascii="Times New Roman" w:eastAsiaTheme="minorEastAsia" w:hAnsi="Times New Roman"/>
      <w:sz w:val="24"/>
    </w:rPr>
  </w:style>
  <w:style w:type="paragraph" w:styleId="Header">
    <w:name w:val="header"/>
    <w:basedOn w:val="Normal"/>
    <w:link w:val="HeaderChar"/>
    <w:uiPriority w:val="99"/>
    <w:unhideWhenUsed/>
    <w:rsid w:val="00D63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7EC"/>
  </w:style>
  <w:style w:type="paragraph" w:styleId="Footer">
    <w:name w:val="footer"/>
    <w:basedOn w:val="Normal"/>
    <w:link w:val="FooterChar"/>
    <w:uiPriority w:val="99"/>
    <w:unhideWhenUsed/>
    <w:rsid w:val="00D63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7EC"/>
  </w:style>
  <w:style w:type="paragraph" w:styleId="BalloonText">
    <w:name w:val="Balloon Text"/>
    <w:basedOn w:val="Normal"/>
    <w:link w:val="BalloonTextChar"/>
    <w:uiPriority w:val="99"/>
    <w:semiHidden/>
    <w:unhideWhenUsed/>
    <w:rsid w:val="00D637EC"/>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D637EC"/>
    <w:rPr>
      <w:rFonts w:ascii="Segoe UI" w:hAnsi="Segoe UI" w:cs="Segoe UI"/>
      <w:sz w:val="18"/>
    </w:rPr>
  </w:style>
  <w:style w:type="paragraph" w:styleId="CommentSubject">
    <w:name w:val="annotation subject"/>
    <w:basedOn w:val="CommentText"/>
    <w:next w:val="CommentText"/>
    <w:link w:val="CommentSubjectChar"/>
    <w:uiPriority w:val="99"/>
    <w:semiHidden/>
    <w:unhideWhenUsed/>
    <w:rsid w:val="00D637EC"/>
    <w:pPr>
      <w:spacing w:before="0" w:after="200"/>
      <w:jc w:val="left"/>
    </w:pPr>
    <w:rPr>
      <w:rFonts w:asciiTheme="minorHAnsi" w:hAnsiTheme="minorHAnsi" w:cstheme="minorBidi"/>
      <w:b/>
    </w:rPr>
  </w:style>
  <w:style w:type="character" w:customStyle="1" w:styleId="CommentSubjectChar">
    <w:name w:val="Comment Subject Char"/>
    <w:basedOn w:val="CommentTextChar"/>
    <w:link w:val="CommentSubject"/>
    <w:uiPriority w:val="99"/>
    <w:semiHidden/>
    <w:rsid w:val="00D637EC"/>
    <w:rPr>
      <w:rFonts w:ascii="Times New Roman" w:hAnsi="Times New Roman" w:cs="Times New Roman"/>
      <w:b/>
      <w:sz w:val="20"/>
    </w:rPr>
  </w:style>
  <w:style w:type="paragraph" w:styleId="Revision">
    <w:name w:val="Revision"/>
    <w:hidden/>
    <w:uiPriority w:val="99"/>
    <w:semiHidden/>
    <w:rsid w:val="00D637EC"/>
    <w:pPr>
      <w:spacing w:after="0" w:line="240" w:lineRule="auto"/>
    </w:pPr>
  </w:style>
  <w:style w:type="character" w:styleId="Emphasis">
    <w:name w:val="Emphasis"/>
    <w:basedOn w:val="DefaultParagraphFont"/>
    <w:uiPriority w:val="20"/>
    <w:qFormat/>
    <w:rsid w:val="00D637EC"/>
    <w:rPr>
      <w:i/>
    </w:rPr>
  </w:style>
  <w:style w:type="character" w:customStyle="1" w:styleId="normaltextrun">
    <w:name w:val="normaltextrun"/>
    <w:basedOn w:val="DefaultParagraphFont"/>
    <w:rsid w:val="00D637EC"/>
  </w:style>
  <w:style w:type="character" w:customStyle="1" w:styleId="findhit">
    <w:name w:val="findhit"/>
    <w:basedOn w:val="DefaultParagraphFont"/>
    <w:rsid w:val="00D637EC"/>
  </w:style>
  <w:style w:type="character" w:customStyle="1" w:styleId="eop">
    <w:name w:val="eop"/>
    <w:basedOn w:val="DefaultParagraphFont"/>
    <w:rsid w:val="00D637EC"/>
  </w:style>
  <w:style w:type="table" w:styleId="GridTable1Light-Accent1">
    <w:name w:val="Grid Table 1 Light Accent 1"/>
    <w:basedOn w:val="TableNormal"/>
    <w:uiPriority w:val="46"/>
    <w:rsid w:val="00D637EC"/>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D637EC"/>
    <w:rPr>
      <w:rFonts w:asciiTheme="majorHAnsi" w:eastAsiaTheme="majorEastAsia" w:hAnsiTheme="majorHAnsi" w:cstheme="majorBidi"/>
      <w:color w:val="1F3763" w:themeColor="accent1" w:themeShade="7F"/>
      <w:sz w:val="24"/>
    </w:rPr>
  </w:style>
  <w:style w:type="paragraph" w:customStyle="1" w:styleId="Text1">
    <w:name w:val="Text 1"/>
    <w:basedOn w:val="Normal"/>
    <w:rsid w:val="00D637EC"/>
    <w:pPr>
      <w:keepNext/>
      <w:spacing w:before="40" w:after="0" w:line="259" w:lineRule="auto"/>
      <w:jc w:val="both"/>
    </w:pPr>
    <w:rPr>
      <w:rFonts w:ascii="Times New Roman" w:eastAsiaTheme="minorEastAsia" w:hAnsi="Times New Roman" w:cs="Times New Roman"/>
      <w:sz w:val="24"/>
    </w:rPr>
  </w:style>
  <w:style w:type="character" w:styleId="IntenseEmphasis">
    <w:name w:val="Intense Emphasis"/>
    <w:basedOn w:val="DefaultParagraphFont"/>
    <w:uiPriority w:val="21"/>
    <w:qFormat/>
    <w:rsid w:val="00D637EC"/>
    <w:rPr>
      <w:i/>
      <w:color w:val="4472C4" w:themeColor="accent1"/>
    </w:rPr>
  </w:style>
  <w:style w:type="paragraph" w:customStyle="1" w:styleId="ManualHeading1">
    <w:name w:val="Manual Heading 1"/>
    <w:basedOn w:val="Normal"/>
    <w:next w:val="Text1"/>
    <w:rsid w:val="00D637EC"/>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table" w:styleId="TableGrid">
    <w:name w:val="Table Grid"/>
    <w:basedOn w:val="TableNormal"/>
    <w:uiPriority w:val="39"/>
    <w:rsid w:val="00D63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D637EC"/>
    <w:pPr>
      <w:numPr>
        <w:numId w:val="8"/>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rsid w:val="00D637EC"/>
    <w:pPr>
      <w:numPr>
        <w:ilvl w:val="1"/>
        <w:numId w:val="8"/>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rsid w:val="00D637EC"/>
    <w:pPr>
      <w:numPr>
        <w:ilvl w:val="2"/>
        <w:numId w:val="8"/>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rsid w:val="00D637EC"/>
    <w:pPr>
      <w:numPr>
        <w:ilvl w:val="3"/>
        <w:numId w:val="8"/>
      </w:numPr>
      <w:spacing w:before="120" w:after="120" w:line="240" w:lineRule="auto"/>
      <w:jc w:val="both"/>
    </w:pPr>
    <w:rPr>
      <w:rFonts w:ascii="Times New Roman" w:hAnsi="Times New Roman" w:cs="Times New Roman"/>
      <w:sz w:val="24"/>
    </w:rPr>
  </w:style>
  <w:style w:type="paragraph" w:customStyle="1" w:styleId="paragraph">
    <w:name w:val="paragraph"/>
    <w:basedOn w:val="Normal"/>
    <w:rsid w:val="00D637EC"/>
    <w:pPr>
      <w:spacing w:before="100" w:beforeAutospacing="1" w:after="100" w:afterAutospacing="1" w:line="240" w:lineRule="auto"/>
    </w:pPr>
    <w:rPr>
      <w:rFonts w:ascii="Times New Roman" w:eastAsia="Times New Roman" w:hAnsi="Times New Roman" w:cs="Times New Roman"/>
      <w:sz w:val="24"/>
    </w:rPr>
  </w:style>
  <w:style w:type="character" w:customStyle="1" w:styleId="Marker">
    <w:name w:val="Marker"/>
    <w:basedOn w:val="DefaultParagraphFont"/>
    <w:rsid w:val="00D637EC"/>
    <w:rPr>
      <w:color w:val="0000FF"/>
      <w:shd w:val="clear" w:color="auto" w:fill="auto"/>
    </w:rPr>
  </w:style>
  <w:style w:type="paragraph" w:customStyle="1" w:styleId="Pagedecouverture">
    <w:name w:val="Page de couverture"/>
    <w:basedOn w:val="Normal"/>
    <w:next w:val="Normal"/>
    <w:rsid w:val="00D637E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D637EC"/>
    <w:pPr>
      <w:keepNext/>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637EC"/>
    <w:rPr>
      <w:rFonts w:ascii="Times New Roman" w:hAnsi="Times New Roman" w:cs="Times New Roman"/>
      <w:sz w:val="24"/>
    </w:rPr>
  </w:style>
  <w:style w:type="paragraph" w:customStyle="1" w:styleId="FooterSensitivity">
    <w:name w:val="Footer Sensitivity"/>
    <w:basedOn w:val="Normal"/>
    <w:link w:val="FooterSensitivityChar"/>
    <w:rsid w:val="00D637EC"/>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637EC"/>
    <w:rPr>
      <w:rFonts w:ascii="Times New Roman" w:hAnsi="Times New Roman" w:cs="Times New Roman"/>
      <w:b/>
      <w:sz w:val="32"/>
    </w:rPr>
  </w:style>
  <w:style w:type="paragraph" w:customStyle="1" w:styleId="HeaderCoverPage">
    <w:name w:val="Header Cover Page"/>
    <w:basedOn w:val="Normal"/>
    <w:link w:val="HeaderCoverPageChar"/>
    <w:rsid w:val="00D637EC"/>
    <w:pPr>
      <w:keepNext/>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637EC"/>
    <w:rPr>
      <w:rFonts w:ascii="Times New Roman" w:hAnsi="Times New Roman" w:cs="Times New Roman"/>
      <w:sz w:val="24"/>
    </w:rPr>
  </w:style>
  <w:style w:type="paragraph" w:customStyle="1" w:styleId="HeaderSensitivity">
    <w:name w:val="Header Sensitivity"/>
    <w:basedOn w:val="Normal"/>
    <w:link w:val="HeaderSensitivityChar"/>
    <w:rsid w:val="00D637EC"/>
    <w:pPr>
      <w:keepNext/>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637EC"/>
    <w:rPr>
      <w:rFonts w:ascii="Times New Roman" w:hAnsi="Times New Roman" w:cs="Times New Roman"/>
      <w:b/>
      <w:sz w:val="32"/>
    </w:rPr>
  </w:style>
  <w:style w:type="paragraph" w:customStyle="1" w:styleId="HeaderSensitivityRight">
    <w:name w:val="Header Sensitivity Right"/>
    <w:basedOn w:val="Normal"/>
    <w:link w:val="HeaderSensitivityRightChar"/>
    <w:rsid w:val="007E5D6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637EC"/>
    <w:rPr>
      <w:rFonts w:ascii="Times New Roman" w:hAnsi="Times New Roman" w:cs="Times New Roman"/>
      <w:sz w:val="28"/>
    </w:rPr>
  </w:style>
  <w:style w:type="paragraph" w:styleId="FootnoteText">
    <w:name w:val="footnote text"/>
    <w:basedOn w:val="Normal"/>
    <w:link w:val="FootnoteTextChar"/>
    <w:uiPriority w:val="99"/>
    <w:unhideWhenUsed/>
    <w:rsid w:val="00D637EC"/>
    <w:pPr>
      <w:spacing w:after="0" w:line="240" w:lineRule="auto"/>
    </w:pPr>
    <w:rPr>
      <w:sz w:val="20"/>
    </w:rPr>
  </w:style>
  <w:style w:type="character" w:customStyle="1" w:styleId="FootnoteTextChar">
    <w:name w:val="Footnote Text Char"/>
    <w:basedOn w:val="DefaultParagraphFont"/>
    <w:link w:val="FootnoteText"/>
    <w:uiPriority w:val="99"/>
    <w:rsid w:val="00D637EC"/>
    <w:rPr>
      <w:sz w:val="20"/>
    </w:rPr>
  </w:style>
  <w:style w:type="character" w:styleId="FootnoteReference">
    <w:name w:val="footnote reference"/>
    <w:basedOn w:val="DefaultParagraphFont"/>
    <w:uiPriority w:val="99"/>
    <w:unhideWhenUsed/>
    <w:rsid w:val="00D637EC"/>
    <w:rPr>
      <w:vertAlign w:val="superscript"/>
    </w:rPr>
  </w:style>
  <w:style w:type="table" w:customStyle="1" w:styleId="GridTable1Light-Accent11">
    <w:name w:val="Grid Table 1 Light - Accent 11"/>
    <w:basedOn w:val="TableNormal"/>
    <w:uiPriority w:val="46"/>
    <w:rsid w:val="00AD58A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68B1DB1-Norml5">
    <w:name w:val="P68B1DB1-Norml5"/>
    <w:basedOn w:val="Normal"/>
    <w:rsid w:val="00AD58A5"/>
    <w:rPr>
      <w:rFonts w:ascii="Times New Roman" w:eastAsia="Calibri" w:hAnsi="Times New Roman" w:cs="Times New Roman"/>
      <w:sz w:val="24"/>
    </w:rPr>
  </w:style>
  <w:style w:type="paragraph" w:customStyle="1" w:styleId="P1szvegSTPF">
    <w:name w:val="P1_szöveg_STPF"/>
    <w:basedOn w:val="Normal"/>
    <w:link w:val="P1szvegSTPFChar"/>
    <w:autoRedefine/>
    <w:qFormat/>
    <w:rsid w:val="00AD58A5"/>
    <w:pPr>
      <w:spacing w:after="120" w:line="240" w:lineRule="auto"/>
      <w:jc w:val="both"/>
    </w:pPr>
    <w:rPr>
      <w:rFonts w:ascii="Times New Roman" w:hAnsi="Times New Roman" w:cstheme="minorHAnsi"/>
      <w:smallCaps/>
    </w:rPr>
  </w:style>
  <w:style w:type="character" w:customStyle="1" w:styleId="P1szvegSTPFChar">
    <w:name w:val="P1_szöveg_STPF Char"/>
    <w:basedOn w:val="DefaultParagraphFont"/>
    <w:link w:val="P1szvegSTPF"/>
    <w:rsid w:val="00AD58A5"/>
    <w:rPr>
      <w:rFonts w:ascii="Times New Roman" w:hAnsi="Times New Roman" w:cstheme="minorHAnsi"/>
      <w:smallCaps/>
    </w:rPr>
  </w:style>
  <w:style w:type="character" w:styleId="Hyperlink">
    <w:name w:val="Hyperlink"/>
    <w:basedOn w:val="DefaultParagraphFont"/>
    <w:uiPriority w:val="99"/>
    <w:unhideWhenUsed/>
    <w:rsid w:val="00AD58A5"/>
    <w:rPr>
      <w:color w:val="0563C1" w:themeColor="hyperlink"/>
      <w:u w:val="single"/>
    </w:rPr>
  </w:style>
  <w:style w:type="character" w:customStyle="1" w:styleId="Heading1Char">
    <w:name w:val="Heading 1 Char"/>
    <w:basedOn w:val="DefaultParagraphFont"/>
    <w:link w:val="Heading1"/>
    <w:uiPriority w:val="9"/>
    <w:rsid w:val="00F80042"/>
    <w:rPr>
      <w:rFonts w:asciiTheme="majorHAnsi" w:eastAsiaTheme="majorEastAsia" w:hAnsiTheme="majorHAnsi" w:cstheme="majorBidi"/>
      <w:color w:val="2F5496" w:themeColor="accent1" w:themeShade="BF"/>
      <w:sz w:val="32"/>
    </w:rPr>
  </w:style>
  <w:style w:type="character" w:customStyle="1" w:styleId="Bodytext1">
    <w:name w:val="Body text|1_"/>
    <w:basedOn w:val="DefaultParagraphFont"/>
    <w:link w:val="Bodytext10"/>
    <w:rsid w:val="00F80042"/>
  </w:style>
  <w:style w:type="paragraph" w:customStyle="1" w:styleId="Bodytext10">
    <w:name w:val="Body text|1"/>
    <w:basedOn w:val="Normal"/>
    <w:link w:val="Bodytext1"/>
    <w:rsid w:val="00F80042"/>
    <w:pPr>
      <w:widowControl w:val="0"/>
      <w:spacing w:after="300"/>
    </w:pPr>
  </w:style>
  <w:style w:type="paragraph" w:customStyle="1" w:styleId="p3">
    <w:name w:val="p3"/>
    <w:basedOn w:val="Normal"/>
    <w:rsid w:val="00F80042"/>
    <w:pPr>
      <w:spacing w:before="100" w:beforeAutospacing="1" w:after="100" w:afterAutospacing="1" w:line="240" w:lineRule="auto"/>
    </w:pPr>
    <w:rPr>
      <w:rFonts w:ascii="Times New Roman" w:hAnsi="Times New Roman" w:cs="Times New Roman"/>
      <w:sz w:val="24"/>
    </w:rPr>
  </w:style>
  <w:style w:type="character" w:customStyle="1" w:styleId="s2">
    <w:name w:val="s2"/>
    <w:basedOn w:val="DefaultParagraphFont"/>
    <w:rsid w:val="00F80042"/>
  </w:style>
  <w:style w:type="paragraph" w:styleId="NormalWeb">
    <w:name w:val="Normal (Web)"/>
    <w:basedOn w:val="Normal"/>
    <w:uiPriority w:val="99"/>
    <w:unhideWhenUsed/>
    <w:qFormat/>
    <w:rsid w:val="00F80042"/>
    <w:pPr>
      <w:spacing w:after="0" w:line="240" w:lineRule="auto"/>
    </w:pPr>
    <w:rPr>
      <w:rFonts w:ascii="Times New Roman" w:hAnsi="Times New Roman" w:cs="Times New Roman"/>
      <w:sz w:val="24"/>
    </w:rPr>
  </w:style>
  <w:style w:type="paragraph" w:styleId="TOCHeading">
    <w:name w:val="TOC Heading"/>
    <w:basedOn w:val="Heading1"/>
    <w:next w:val="Normal"/>
    <w:uiPriority w:val="39"/>
    <w:unhideWhenUsed/>
    <w:qFormat/>
    <w:rsid w:val="00F80042"/>
    <w:pPr>
      <w:spacing w:line="259" w:lineRule="auto"/>
      <w:outlineLvl w:val="9"/>
    </w:pPr>
  </w:style>
  <w:style w:type="paragraph" w:styleId="TOC1">
    <w:name w:val="toc 1"/>
    <w:basedOn w:val="Normal"/>
    <w:next w:val="Normal"/>
    <w:autoRedefine/>
    <w:uiPriority w:val="39"/>
    <w:unhideWhenUsed/>
    <w:rsid w:val="00F80042"/>
    <w:pPr>
      <w:spacing w:after="100" w:line="240" w:lineRule="auto"/>
    </w:pPr>
    <w:rPr>
      <w:rFonts w:ascii="Times New Roman" w:hAnsi="Times New Roman"/>
      <w:sz w:val="24"/>
    </w:rPr>
  </w:style>
  <w:style w:type="paragraph" w:customStyle="1" w:styleId="msonormal0">
    <w:name w:val="msonormal"/>
    <w:basedOn w:val="Normal"/>
    <w:rsid w:val="00F80042"/>
    <w:pPr>
      <w:spacing w:before="100" w:beforeAutospacing="1" w:after="100" w:afterAutospacing="1" w:line="240" w:lineRule="auto"/>
    </w:pPr>
    <w:rPr>
      <w:rFonts w:ascii="Times New Roman" w:eastAsia="Times New Roman" w:hAnsi="Times New Roman" w:cs="Times New Roman"/>
      <w:sz w:val="24"/>
    </w:rPr>
  </w:style>
  <w:style w:type="character" w:customStyle="1" w:styleId="textrun">
    <w:name w:val="textrun"/>
    <w:basedOn w:val="DefaultParagraphFont"/>
    <w:rsid w:val="00F80042"/>
  </w:style>
  <w:style w:type="character" w:customStyle="1" w:styleId="trackchangetextinsertion">
    <w:name w:val="trackchangetextinsertion"/>
    <w:basedOn w:val="DefaultParagraphFont"/>
    <w:rsid w:val="00F80042"/>
  </w:style>
  <w:style w:type="character" w:customStyle="1" w:styleId="trackchangetextdeletionmarker">
    <w:name w:val="trackchangetextdeletionmarker"/>
    <w:basedOn w:val="DefaultParagraphFont"/>
    <w:rsid w:val="00F80042"/>
  </w:style>
  <w:style w:type="character" w:customStyle="1" w:styleId="trackedchange">
    <w:name w:val="trackedchange"/>
    <w:basedOn w:val="DefaultParagraphFont"/>
    <w:rsid w:val="00F80042"/>
  </w:style>
  <w:style w:type="character" w:customStyle="1" w:styleId="tabrun">
    <w:name w:val="tabrun"/>
    <w:basedOn w:val="DefaultParagraphFont"/>
    <w:rsid w:val="00F80042"/>
  </w:style>
  <w:style w:type="character" w:customStyle="1" w:styleId="tabchar">
    <w:name w:val="tabchar"/>
    <w:basedOn w:val="DefaultParagraphFont"/>
    <w:rsid w:val="00F80042"/>
  </w:style>
  <w:style w:type="paragraph" w:customStyle="1" w:styleId="outlineelement">
    <w:name w:val="outlineelement"/>
    <w:basedOn w:val="Normal"/>
    <w:rsid w:val="00F80042"/>
    <w:pPr>
      <w:spacing w:before="100" w:beforeAutospacing="1" w:after="100" w:afterAutospacing="1" w:line="240" w:lineRule="auto"/>
    </w:pPr>
    <w:rPr>
      <w:rFonts w:ascii="Times New Roman" w:eastAsia="Times New Roman" w:hAnsi="Times New Roman" w:cs="Times New Roman"/>
      <w:sz w:val="24"/>
    </w:rPr>
  </w:style>
  <w:style w:type="numbering" w:customStyle="1" w:styleId="NoList1">
    <w:name w:val="No List1"/>
    <w:next w:val="NoList"/>
    <w:uiPriority w:val="99"/>
    <w:semiHidden/>
    <w:unhideWhenUsed/>
    <w:rsid w:val="00F80042"/>
  </w:style>
  <w:style w:type="paragraph" w:customStyle="1" w:styleId="LegalNumPar">
    <w:name w:val="LegalNumPar"/>
    <w:basedOn w:val="Normal"/>
    <w:rsid w:val="00F80042"/>
    <w:pPr>
      <w:numPr>
        <w:numId w:val="11"/>
      </w:numPr>
      <w:spacing w:after="160" w:line="360" w:lineRule="auto"/>
      <w:ind w:left="720"/>
    </w:pPr>
    <w:rPr>
      <w:rFonts w:ascii="Calibri" w:hAnsi="Calibri"/>
      <w:sz w:val="24"/>
    </w:rPr>
  </w:style>
  <w:style w:type="paragraph" w:customStyle="1" w:styleId="LegalNumPar2">
    <w:name w:val="LegalNumPar2"/>
    <w:basedOn w:val="Normal"/>
    <w:rsid w:val="00F80042"/>
    <w:pPr>
      <w:numPr>
        <w:ilvl w:val="1"/>
        <w:numId w:val="11"/>
      </w:numPr>
      <w:spacing w:after="160" w:line="360" w:lineRule="auto"/>
      <w:ind w:left="1440" w:hanging="360"/>
    </w:pPr>
    <w:rPr>
      <w:rFonts w:ascii="Calibri" w:hAnsi="Calibri"/>
      <w:sz w:val="24"/>
    </w:rPr>
  </w:style>
  <w:style w:type="paragraph" w:customStyle="1" w:styleId="LegalNumPar3">
    <w:name w:val="LegalNumPar3"/>
    <w:basedOn w:val="Normal"/>
    <w:rsid w:val="00F80042"/>
    <w:pPr>
      <w:numPr>
        <w:ilvl w:val="2"/>
        <w:numId w:val="11"/>
      </w:numPr>
      <w:spacing w:after="160" w:line="360" w:lineRule="auto"/>
      <w:ind w:left="2160" w:hanging="360"/>
    </w:pPr>
    <w:rPr>
      <w:rFonts w:ascii="Calibri" w:hAnsi="Calibri"/>
      <w:sz w:val="24"/>
    </w:rPr>
  </w:style>
  <w:style w:type="character" w:customStyle="1" w:styleId="Mention1">
    <w:name w:val="Mention1"/>
    <w:basedOn w:val="DefaultParagraphFont"/>
    <w:uiPriority w:val="99"/>
    <w:unhideWhenUsed/>
    <w:rsid w:val="00740AD1"/>
    <w:rPr>
      <w:color w:val="2B579A"/>
      <w:shd w:val="clear" w:color="auto" w:fill="E6E6E6"/>
    </w:rPr>
  </w:style>
  <w:style w:type="character" w:customStyle="1" w:styleId="Mention2">
    <w:name w:val="Mention2"/>
    <w:basedOn w:val="DefaultParagraphFont"/>
    <w:uiPriority w:val="99"/>
    <w:unhideWhenUsed/>
    <w:rsid w:val="008626E2"/>
    <w:rPr>
      <w:color w:val="2B579A"/>
      <w:shd w:val="clear" w:color="auto" w:fill="E6E6E6"/>
    </w:rPr>
  </w:style>
  <w:style w:type="character" w:customStyle="1" w:styleId="superscript">
    <w:name w:val="superscript"/>
    <w:basedOn w:val="DefaultParagraphFont"/>
    <w:rsid w:val="0097770E"/>
  </w:style>
  <w:style w:type="paragraph" w:customStyle="1" w:styleId="font5">
    <w:name w:val="font5"/>
    <w:basedOn w:val="Normal"/>
    <w:rsid w:val="00002540"/>
    <w:pPr>
      <w:spacing w:before="100" w:beforeAutospacing="1" w:after="100" w:afterAutospacing="1" w:line="240" w:lineRule="auto"/>
    </w:pPr>
    <w:rPr>
      <w:rFonts w:ascii="Times New Roman" w:eastAsia="Times New Roman" w:hAnsi="Times New Roman" w:cs="Times New Roman"/>
      <w:color w:val="000000"/>
      <w:sz w:val="24"/>
    </w:rPr>
  </w:style>
  <w:style w:type="paragraph" w:customStyle="1" w:styleId="font6">
    <w:name w:val="font6"/>
    <w:basedOn w:val="Normal"/>
    <w:rsid w:val="00002540"/>
    <w:pPr>
      <w:spacing w:before="100" w:beforeAutospacing="1" w:after="100" w:afterAutospacing="1" w:line="240" w:lineRule="auto"/>
    </w:pPr>
    <w:rPr>
      <w:rFonts w:ascii="Times New Roman" w:eastAsia="Times New Roman" w:hAnsi="Times New Roman" w:cs="Times New Roman"/>
      <w:color w:val="000000"/>
      <w:sz w:val="24"/>
    </w:rPr>
  </w:style>
  <w:style w:type="paragraph" w:customStyle="1" w:styleId="font7">
    <w:name w:val="font7"/>
    <w:basedOn w:val="Normal"/>
    <w:rsid w:val="00002540"/>
    <w:pPr>
      <w:spacing w:before="100" w:beforeAutospacing="1" w:after="100" w:afterAutospacing="1" w:line="240" w:lineRule="auto"/>
    </w:pPr>
    <w:rPr>
      <w:rFonts w:ascii="Times New Roman" w:eastAsia="Times New Roman" w:hAnsi="Times New Roman" w:cs="Times New Roman"/>
      <w:color w:val="006100"/>
      <w:sz w:val="24"/>
    </w:rPr>
  </w:style>
  <w:style w:type="paragraph" w:customStyle="1" w:styleId="font8">
    <w:name w:val="font8"/>
    <w:basedOn w:val="Normal"/>
    <w:rsid w:val="00002540"/>
    <w:pPr>
      <w:spacing w:before="100" w:beforeAutospacing="1" w:after="100" w:afterAutospacing="1" w:line="240" w:lineRule="auto"/>
    </w:pPr>
    <w:rPr>
      <w:rFonts w:ascii="Times New Roman" w:eastAsia="Times New Roman" w:hAnsi="Times New Roman" w:cs="Times New Roman"/>
      <w:color w:val="006100"/>
      <w:sz w:val="24"/>
    </w:rPr>
  </w:style>
  <w:style w:type="paragraph" w:customStyle="1" w:styleId="xl17">
    <w:name w:val="xl17"/>
    <w:basedOn w:val="Normal"/>
    <w:rsid w:val="0000254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Times New Roman" w:eastAsia="Times New Roman" w:hAnsi="Times New Roman" w:cs="Times New Roman"/>
      <w:b/>
      <w:sz w:val="24"/>
    </w:rPr>
  </w:style>
  <w:style w:type="paragraph" w:customStyle="1" w:styleId="xl18">
    <w:name w:val="xl18"/>
    <w:basedOn w:val="Normal"/>
    <w:rsid w:val="0000254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color w:val="000000"/>
      <w:sz w:val="24"/>
    </w:rPr>
  </w:style>
  <w:style w:type="paragraph" w:customStyle="1" w:styleId="xl19">
    <w:name w:val="xl19"/>
    <w:basedOn w:val="Normal"/>
    <w:rsid w:val="00002540"/>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center"/>
    </w:pPr>
    <w:rPr>
      <w:rFonts w:ascii="Times New Roman" w:eastAsia="Times New Roman" w:hAnsi="Times New Roman" w:cs="Times New Roman"/>
      <w:color w:val="000000"/>
      <w:sz w:val="24"/>
    </w:rPr>
  </w:style>
  <w:style w:type="paragraph" w:customStyle="1" w:styleId="xl21">
    <w:name w:val="xl21"/>
    <w:basedOn w:val="Normal"/>
    <w:rsid w:val="000025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rPr>
  </w:style>
  <w:style w:type="paragraph" w:customStyle="1" w:styleId="xl22">
    <w:name w:val="xl22"/>
    <w:basedOn w:val="Normal"/>
    <w:rsid w:val="000025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rPr>
  </w:style>
  <w:style w:type="paragraph" w:customStyle="1" w:styleId="xl23">
    <w:name w:val="xl23"/>
    <w:basedOn w:val="Normal"/>
    <w:rsid w:val="00002540"/>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color w:val="000000"/>
      <w:sz w:val="24"/>
    </w:rPr>
  </w:style>
  <w:style w:type="paragraph" w:customStyle="1" w:styleId="xl24">
    <w:name w:val="xl24"/>
    <w:basedOn w:val="Normal"/>
    <w:rsid w:val="00002540"/>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color w:val="000000"/>
      <w:sz w:val="24"/>
    </w:rPr>
  </w:style>
  <w:style w:type="paragraph" w:customStyle="1" w:styleId="xl71">
    <w:name w:val="xl71"/>
    <w:basedOn w:val="Normal"/>
    <w:rsid w:val="00002540"/>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sz w:val="24"/>
    </w:rPr>
  </w:style>
  <w:style w:type="paragraph" w:customStyle="1" w:styleId="xl72">
    <w:name w:val="xl72"/>
    <w:basedOn w:val="Normal"/>
    <w:rsid w:val="00002540"/>
    <w:pPr>
      <w:pBdr>
        <w:top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sz w:val="24"/>
    </w:rPr>
  </w:style>
  <w:style w:type="paragraph" w:customStyle="1" w:styleId="xl73">
    <w:name w:val="xl73"/>
    <w:basedOn w:val="Normal"/>
    <w:rsid w:val="00002540"/>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sz w:val="24"/>
    </w:rPr>
  </w:style>
  <w:style w:type="character" w:styleId="FollowedHyperlink">
    <w:name w:val="FollowedHyperlink"/>
    <w:basedOn w:val="DefaultParagraphFont"/>
    <w:uiPriority w:val="99"/>
    <w:semiHidden/>
    <w:unhideWhenUsed/>
    <w:rsid w:val="00002540"/>
    <w:rPr>
      <w:color w:val="954F72"/>
      <w:u w:val="single"/>
    </w:rPr>
  </w:style>
  <w:style w:type="character" w:customStyle="1" w:styleId="font71">
    <w:name w:val="font71"/>
    <w:basedOn w:val="DefaultParagraphFont"/>
    <w:rsid w:val="00002540"/>
    <w:rPr>
      <w:rFonts w:ascii="Times New Roman" w:hAnsi="Times New Roman" w:cs="Times New Roman" w:hint="default"/>
      <w:b w:val="0"/>
      <w:i w:val="0"/>
      <w:strike w:val="0"/>
      <w:dstrike w:val="0"/>
      <w:color w:val="006100"/>
      <w:sz w:val="24"/>
      <w:u w:val="none"/>
      <w:effect w:val="none"/>
    </w:rPr>
  </w:style>
  <w:style w:type="character" w:customStyle="1" w:styleId="font61">
    <w:name w:val="font61"/>
    <w:basedOn w:val="DefaultParagraphFont"/>
    <w:rsid w:val="00002540"/>
    <w:rPr>
      <w:rFonts w:ascii="Times New Roman" w:hAnsi="Times New Roman" w:cs="Times New Roman" w:hint="default"/>
      <w:b w:val="0"/>
      <w:i w:val="0"/>
      <w:strike w:val="0"/>
      <w:dstrike w:val="0"/>
      <w:color w:val="000000"/>
      <w:sz w:val="24"/>
      <w:u w:val="none"/>
      <w:effect w:val="none"/>
    </w:rPr>
  </w:style>
  <w:style w:type="character" w:customStyle="1" w:styleId="font81">
    <w:name w:val="font81"/>
    <w:basedOn w:val="DefaultParagraphFont"/>
    <w:rsid w:val="00002540"/>
    <w:rPr>
      <w:rFonts w:ascii="Times New Roman" w:hAnsi="Times New Roman" w:cs="Times New Roman" w:hint="default"/>
      <w:b w:val="0"/>
      <w:i w:val="0"/>
      <w:strike w:val="0"/>
      <w:dstrike w:val="0"/>
      <w:color w:val="006100"/>
      <w:sz w:val="24"/>
      <w:u w:val="none"/>
      <w:effect w:val="none"/>
    </w:rPr>
  </w:style>
  <w:style w:type="character" w:customStyle="1" w:styleId="font51">
    <w:name w:val="font51"/>
    <w:basedOn w:val="DefaultParagraphFont"/>
    <w:rsid w:val="00002540"/>
    <w:rPr>
      <w:rFonts w:ascii="Times New Roman" w:hAnsi="Times New Roman" w:cs="Times New Roman" w:hint="default"/>
      <w:b w:val="0"/>
      <w:i w:val="0"/>
      <w:strike w:val="0"/>
      <w:dstrike w:val="0"/>
      <w:color w:val="000000"/>
      <w:sz w:val="24"/>
      <w:u w:val="none"/>
      <w:effect w:val="none"/>
    </w:rPr>
  </w:style>
  <w:style w:type="character" w:customStyle="1" w:styleId="scxw131614104">
    <w:name w:val="scxw131614104"/>
    <w:basedOn w:val="DefaultParagraphFont"/>
    <w:rsid w:val="001F71F2"/>
  </w:style>
  <w:style w:type="character" w:customStyle="1" w:styleId="Mention3">
    <w:name w:val="Mention3"/>
    <w:basedOn w:val="DefaultParagraphFont"/>
    <w:uiPriority w:val="99"/>
    <w:unhideWhenUsed/>
    <w:rsid w:val="00DD08CF"/>
    <w:rPr>
      <w:color w:val="2B579A"/>
      <w:shd w:val="clear" w:color="auto" w:fill="E6E6E6"/>
    </w:rPr>
  </w:style>
  <w:style w:type="character" w:customStyle="1" w:styleId="Mention">
    <w:name w:val="Mention"/>
    <w:basedOn w:val="DefaultParagraphFont"/>
    <w:uiPriority w:val="99"/>
    <w:unhideWhenUsed/>
    <w:rsid w:val="008D7EF4"/>
    <w:rPr>
      <w:color w:val="2B579A"/>
      <w:shd w:val="clear" w:color="auto" w:fill="E1DFDD"/>
    </w:rPr>
  </w:style>
  <w:style w:type="paragraph" w:customStyle="1" w:styleId="Heading41">
    <w:name w:val="Heading 41"/>
    <w:basedOn w:val="Normal"/>
    <w:next w:val="Text1"/>
    <w:uiPriority w:val="9"/>
    <w:semiHidden/>
    <w:unhideWhenUsed/>
    <w:qFormat/>
    <w:rsid w:val="002B3CF8"/>
    <w:pPr>
      <w:keepNext/>
      <w:spacing w:before="120" w:after="120" w:line="240" w:lineRule="auto"/>
      <w:ind w:left="2520" w:hanging="360"/>
      <w:jc w:val="both"/>
      <w:outlineLvl w:val="3"/>
    </w:pPr>
    <w:rPr>
      <w:rFonts w:ascii="Times New Roman" w:eastAsia="MS Gothic" w:hAnsi="Times New Roman" w:cs="Times New Roman"/>
      <w:sz w:val="24"/>
    </w:rPr>
  </w:style>
  <w:style w:type="paragraph" w:customStyle="1" w:styleId="Heading51">
    <w:name w:val="Heading 51"/>
    <w:basedOn w:val="Normal"/>
    <w:next w:val="Text2"/>
    <w:uiPriority w:val="9"/>
    <w:semiHidden/>
    <w:unhideWhenUsed/>
    <w:qFormat/>
    <w:rsid w:val="002B3CF8"/>
    <w:pPr>
      <w:keepNext/>
      <w:spacing w:before="120" w:after="120" w:line="240" w:lineRule="auto"/>
      <w:ind w:left="3240" w:hanging="360"/>
      <w:jc w:val="both"/>
      <w:outlineLvl w:val="4"/>
    </w:pPr>
    <w:rPr>
      <w:rFonts w:ascii="Times New Roman" w:eastAsia="MS Gothic" w:hAnsi="Times New Roman" w:cs="Times New Roman"/>
      <w:sz w:val="24"/>
    </w:rPr>
  </w:style>
  <w:style w:type="paragraph" w:customStyle="1" w:styleId="Heading61">
    <w:name w:val="Heading 61"/>
    <w:basedOn w:val="Normal"/>
    <w:next w:val="Text2"/>
    <w:uiPriority w:val="9"/>
    <w:semiHidden/>
    <w:unhideWhenUsed/>
    <w:qFormat/>
    <w:rsid w:val="002B3CF8"/>
    <w:pPr>
      <w:keepNext/>
      <w:spacing w:before="120" w:after="120" w:line="240" w:lineRule="auto"/>
      <w:ind w:left="3960" w:hanging="360"/>
      <w:jc w:val="both"/>
      <w:outlineLvl w:val="5"/>
    </w:pPr>
    <w:rPr>
      <w:rFonts w:ascii="Times New Roman" w:eastAsia="MS Gothic" w:hAnsi="Times New Roman" w:cs="Times New Roman"/>
      <w:sz w:val="24"/>
    </w:rPr>
  </w:style>
  <w:style w:type="paragraph" w:customStyle="1" w:styleId="Heading71">
    <w:name w:val="Heading 71"/>
    <w:basedOn w:val="Normal"/>
    <w:next w:val="Text2"/>
    <w:uiPriority w:val="9"/>
    <w:semiHidden/>
    <w:unhideWhenUsed/>
    <w:qFormat/>
    <w:rsid w:val="002B3CF8"/>
    <w:pPr>
      <w:keepNext/>
      <w:spacing w:before="120" w:after="120" w:line="240" w:lineRule="auto"/>
      <w:ind w:left="4680" w:hanging="360"/>
      <w:jc w:val="both"/>
      <w:outlineLvl w:val="6"/>
    </w:pPr>
    <w:rPr>
      <w:rFonts w:ascii="Times New Roman" w:eastAsia="MS Gothic" w:hAnsi="Times New Roman" w:cs="Times New Roman"/>
      <w:sz w:val="24"/>
    </w:rPr>
  </w:style>
  <w:style w:type="numbering" w:customStyle="1" w:styleId="NoList2">
    <w:name w:val="No List2"/>
    <w:next w:val="NoList"/>
    <w:uiPriority w:val="99"/>
    <w:semiHidden/>
    <w:unhideWhenUsed/>
    <w:rsid w:val="002B3CF8"/>
  </w:style>
  <w:style w:type="character" w:customStyle="1" w:styleId="Heading4Char">
    <w:name w:val="Heading 4 Char"/>
    <w:basedOn w:val="DefaultParagraphFont"/>
    <w:link w:val="Heading4"/>
    <w:uiPriority w:val="9"/>
    <w:semiHidden/>
    <w:rsid w:val="002B3CF8"/>
    <w:rPr>
      <w:rFonts w:ascii="Times New Roman" w:eastAsia="MS Gothic" w:hAnsi="Times New Roman" w:cs="Times New Roman"/>
      <w:sz w:val="24"/>
    </w:rPr>
  </w:style>
  <w:style w:type="character" w:customStyle="1" w:styleId="Heading5Char">
    <w:name w:val="Heading 5 Char"/>
    <w:basedOn w:val="DefaultParagraphFont"/>
    <w:link w:val="Heading5"/>
    <w:uiPriority w:val="9"/>
    <w:semiHidden/>
    <w:rsid w:val="002B3CF8"/>
    <w:rPr>
      <w:rFonts w:ascii="Times New Roman" w:eastAsia="MS Gothic" w:hAnsi="Times New Roman" w:cs="Times New Roman"/>
      <w:sz w:val="24"/>
    </w:rPr>
  </w:style>
  <w:style w:type="character" w:customStyle="1" w:styleId="Heading6Char">
    <w:name w:val="Heading 6 Char"/>
    <w:basedOn w:val="DefaultParagraphFont"/>
    <w:link w:val="Heading6"/>
    <w:uiPriority w:val="9"/>
    <w:semiHidden/>
    <w:rsid w:val="002B3CF8"/>
    <w:rPr>
      <w:rFonts w:ascii="Times New Roman" w:eastAsia="MS Gothic" w:hAnsi="Times New Roman" w:cs="Times New Roman"/>
      <w:sz w:val="24"/>
    </w:rPr>
  </w:style>
  <w:style w:type="character" w:customStyle="1" w:styleId="Heading7Char">
    <w:name w:val="Heading 7 Char"/>
    <w:basedOn w:val="DefaultParagraphFont"/>
    <w:link w:val="Heading7"/>
    <w:uiPriority w:val="9"/>
    <w:semiHidden/>
    <w:rsid w:val="002B3CF8"/>
    <w:rPr>
      <w:rFonts w:ascii="Times New Roman" w:eastAsia="MS Gothic" w:hAnsi="Times New Roman" w:cs="Times New Roman"/>
      <w:sz w:val="24"/>
    </w:rPr>
  </w:style>
  <w:style w:type="paragraph" w:styleId="TOC2">
    <w:name w:val="toc 2"/>
    <w:basedOn w:val="Normal"/>
    <w:next w:val="Normal"/>
    <w:uiPriority w:val="39"/>
    <w:semiHidden/>
    <w:unhideWhenUsed/>
    <w:rsid w:val="002B3CF8"/>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rsid w:val="002B3CF8"/>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rsid w:val="002B3CF8"/>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rsid w:val="002B3CF8"/>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rsid w:val="002B3CF8"/>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rsid w:val="002B3CF8"/>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rsid w:val="002B3CF8"/>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rsid w:val="002B3CF8"/>
    <w:pPr>
      <w:tabs>
        <w:tab w:val="right" w:leader="dot" w:pos="9071"/>
      </w:tabs>
      <w:spacing w:before="120" w:after="120" w:line="240" w:lineRule="auto"/>
      <w:ind w:left="1417" w:hanging="1417"/>
    </w:pPr>
    <w:rPr>
      <w:rFonts w:ascii="Times New Roman" w:hAnsi="Times New Roman" w:cs="Times New Roman"/>
      <w:sz w:val="24"/>
    </w:rPr>
  </w:style>
  <w:style w:type="paragraph" w:customStyle="1" w:styleId="HeaderLandscape">
    <w:name w:val="HeaderLandscape"/>
    <w:basedOn w:val="Normal"/>
    <w:rsid w:val="002B3CF8"/>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rsid w:val="002B3CF8"/>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rsid w:val="002B3CF8"/>
    <w:pPr>
      <w:spacing w:before="120" w:after="120" w:line="240" w:lineRule="auto"/>
      <w:ind w:left="1417"/>
      <w:jc w:val="both"/>
    </w:pPr>
    <w:rPr>
      <w:rFonts w:ascii="Times New Roman" w:hAnsi="Times New Roman" w:cs="Times New Roman"/>
      <w:sz w:val="24"/>
    </w:rPr>
  </w:style>
  <w:style w:type="paragraph" w:customStyle="1" w:styleId="Text3">
    <w:name w:val="Text 3"/>
    <w:basedOn w:val="Normal"/>
    <w:rsid w:val="002B3CF8"/>
    <w:pPr>
      <w:spacing w:before="120" w:after="120" w:line="240" w:lineRule="auto"/>
      <w:ind w:left="1984"/>
      <w:jc w:val="both"/>
    </w:pPr>
    <w:rPr>
      <w:rFonts w:ascii="Times New Roman" w:hAnsi="Times New Roman" w:cs="Times New Roman"/>
      <w:sz w:val="24"/>
    </w:rPr>
  </w:style>
  <w:style w:type="paragraph" w:customStyle="1" w:styleId="Text4">
    <w:name w:val="Text 4"/>
    <w:basedOn w:val="Normal"/>
    <w:rsid w:val="002B3CF8"/>
    <w:pPr>
      <w:spacing w:before="120" w:after="120" w:line="240" w:lineRule="auto"/>
      <w:ind w:left="2551"/>
      <w:jc w:val="both"/>
    </w:pPr>
    <w:rPr>
      <w:rFonts w:ascii="Times New Roman" w:hAnsi="Times New Roman" w:cs="Times New Roman"/>
      <w:sz w:val="24"/>
    </w:rPr>
  </w:style>
  <w:style w:type="paragraph" w:customStyle="1" w:styleId="Text5">
    <w:name w:val="Text 5"/>
    <w:basedOn w:val="Normal"/>
    <w:rsid w:val="002B3CF8"/>
    <w:pPr>
      <w:spacing w:before="120" w:after="120" w:line="240" w:lineRule="auto"/>
      <w:ind w:left="3118"/>
      <w:jc w:val="both"/>
    </w:pPr>
    <w:rPr>
      <w:rFonts w:ascii="Times New Roman" w:hAnsi="Times New Roman" w:cs="Times New Roman"/>
      <w:sz w:val="24"/>
    </w:rPr>
  </w:style>
  <w:style w:type="paragraph" w:customStyle="1" w:styleId="Text6">
    <w:name w:val="Text 6"/>
    <w:basedOn w:val="Normal"/>
    <w:rsid w:val="002B3CF8"/>
    <w:pPr>
      <w:spacing w:before="120" w:after="120" w:line="240" w:lineRule="auto"/>
      <w:ind w:left="3685"/>
      <w:jc w:val="both"/>
    </w:pPr>
    <w:rPr>
      <w:rFonts w:ascii="Times New Roman" w:hAnsi="Times New Roman" w:cs="Times New Roman"/>
      <w:sz w:val="24"/>
    </w:rPr>
  </w:style>
  <w:style w:type="paragraph" w:customStyle="1" w:styleId="NormalCentered">
    <w:name w:val="Normal Centered"/>
    <w:basedOn w:val="Normal"/>
    <w:rsid w:val="002B3CF8"/>
    <w:pPr>
      <w:spacing w:before="120" w:after="120" w:line="240" w:lineRule="auto"/>
      <w:jc w:val="center"/>
    </w:pPr>
    <w:rPr>
      <w:rFonts w:ascii="Times New Roman" w:hAnsi="Times New Roman" w:cs="Times New Roman"/>
      <w:sz w:val="24"/>
    </w:rPr>
  </w:style>
  <w:style w:type="paragraph" w:customStyle="1" w:styleId="NormalLeft">
    <w:name w:val="Normal Left"/>
    <w:basedOn w:val="Normal"/>
    <w:rsid w:val="002B3CF8"/>
    <w:pPr>
      <w:spacing w:before="120" w:after="120" w:line="240" w:lineRule="auto"/>
    </w:pPr>
    <w:rPr>
      <w:rFonts w:ascii="Times New Roman" w:hAnsi="Times New Roman" w:cs="Times New Roman"/>
      <w:sz w:val="24"/>
    </w:rPr>
  </w:style>
  <w:style w:type="paragraph" w:customStyle="1" w:styleId="NormalRight">
    <w:name w:val="Normal Right"/>
    <w:basedOn w:val="Normal"/>
    <w:rsid w:val="002B3CF8"/>
    <w:pPr>
      <w:spacing w:before="120" w:after="120" w:line="240" w:lineRule="auto"/>
      <w:jc w:val="right"/>
    </w:pPr>
    <w:rPr>
      <w:rFonts w:ascii="Times New Roman" w:hAnsi="Times New Roman" w:cs="Times New Roman"/>
      <w:sz w:val="24"/>
    </w:rPr>
  </w:style>
  <w:style w:type="paragraph" w:customStyle="1" w:styleId="QuotedText">
    <w:name w:val="Quoted Text"/>
    <w:basedOn w:val="Normal"/>
    <w:rsid w:val="002B3CF8"/>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rsid w:val="002B3CF8"/>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rsid w:val="002B3CF8"/>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rsid w:val="002B3CF8"/>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rsid w:val="002B3CF8"/>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rsid w:val="002B3CF8"/>
    <w:pPr>
      <w:spacing w:before="120" w:after="120" w:line="240" w:lineRule="auto"/>
      <w:ind w:left="3118" w:hanging="567"/>
      <w:jc w:val="both"/>
    </w:pPr>
    <w:rPr>
      <w:rFonts w:ascii="Times New Roman" w:hAnsi="Times New Roman" w:cs="Times New Roman"/>
      <w:sz w:val="24"/>
    </w:rPr>
  </w:style>
  <w:style w:type="paragraph" w:customStyle="1" w:styleId="Point5">
    <w:name w:val="Point 5"/>
    <w:basedOn w:val="Normal"/>
    <w:rsid w:val="002B3CF8"/>
    <w:pPr>
      <w:spacing w:before="120" w:after="120" w:line="240" w:lineRule="auto"/>
      <w:ind w:left="3685" w:hanging="567"/>
      <w:jc w:val="both"/>
    </w:pPr>
    <w:rPr>
      <w:rFonts w:ascii="Times New Roman" w:hAnsi="Times New Roman" w:cs="Times New Roman"/>
      <w:sz w:val="24"/>
    </w:rPr>
  </w:style>
  <w:style w:type="paragraph" w:customStyle="1" w:styleId="Tiret0">
    <w:name w:val="Tiret 0"/>
    <w:basedOn w:val="Point0"/>
    <w:rsid w:val="002B3CF8"/>
    <w:pPr>
      <w:numPr>
        <w:numId w:val="29"/>
      </w:numPr>
      <w:tabs>
        <w:tab w:val="clear" w:pos="850"/>
      </w:tabs>
    </w:pPr>
  </w:style>
  <w:style w:type="paragraph" w:customStyle="1" w:styleId="Tiret1">
    <w:name w:val="Tiret 1"/>
    <w:basedOn w:val="Point1"/>
    <w:rsid w:val="002B3CF8"/>
    <w:pPr>
      <w:numPr>
        <w:numId w:val="30"/>
      </w:numPr>
      <w:tabs>
        <w:tab w:val="clear" w:pos="1417"/>
      </w:tabs>
      <w:ind w:left="1440" w:hanging="360"/>
    </w:pPr>
  </w:style>
  <w:style w:type="paragraph" w:customStyle="1" w:styleId="Tiret2">
    <w:name w:val="Tiret 2"/>
    <w:basedOn w:val="Point2"/>
    <w:rsid w:val="002B3CF8"/>
    <w:pPr>
      <w:numPr>
        <w:numId w:val="31"/>
      </w:numPr>
      <w:tabs>
        <w:tab w:val="clear" w:pos="1984"/>
      </w:tabs>
    </w:pPr>
  </w:style>
  <w:style w:type="paragraph" w:customStyle="1" w:styleId="Tiret3">
    <w:name w:val="Tiret 3"/>
    <w:basedOn w:val="Point3"/>
    <w:rsid w:val="002B3CF8"/>
    <w:pPr>
      <w:numPr>
        <w:numId w:val="32"/>
      </w:numPr>
      <w:tabs>
        <w:tab w:val="clear" w:pos="2551"/>
      </w:tabs>
      <w:ind w:left="1440" w:hanging="360"/>
    </w:pPr>
  </w:style>
  <w:style w:type="paragraph" w:customStyle="1" w:styleId="Tiret4">
    <w:name w:val="Tiret 4"/>
    <w:basedOn w:val="Point4"/>
    <w:rsid w:val="002B3CF8"/>
    <w:pPr>
      <w:numPr>
        <w:numId w:val="33"/>
      </w:numPr>
      <w:tabs>
        <w:tab w:val="clear" w:pos="3118"/>
      </w:tabs>
      <w:ind w:left="1440" w:hanging="360"/>
    </w:pPr>
  </w:style>
  <w:style w:type="paragraph" w:customStyle="1" w:styleId="Tiret5">
    <w:name w:val="Tiret 5"/>
    <w:basedOn w:val="Point5"/>
    <w:rsid w:val="002B3CF8"/>
    <w:pPr>
      <w:numPr>
        <w:numId w:val="46"/>
      </w:numPr>
      <w:ind w:left="785"/>
    </w:pPr>
  </w:style>
  <w:style w:type="paragraph" w:customStyle="1" w:styleId="PointDouble0">
    <w:name w:val="PointDouble 0"/>
    <w:basedOn w:val="Normal"/>
    <w:rsid w:val="002B3CF8"/>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rsid w:val="002B3CF8"/>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rsid w:val="002B3CF8"/>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rsid w:val="002B3CF8"/>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rsid w:val="002B3CF8"/>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rsid w:val="002B3CF8"/>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rsid w:val="002B3CF8"/>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rsid w:val="002B3CF8"/>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rsid w:val="002B3CF8"/>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rsid w:val="002B3CF8"/>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5">
    <w:name w:val="NumPar 5"/>
    <w:basedOn w:val="Normal"/>
    <w:next w:val="Text2"/>
    <w:rsid w:val="002B3CF8"/>
    <w:pPr>
      <w:spacing w:before="120" w:after="120" w:line="240" w:lineRule="auto"/>
      <w:ind w:left="3600" w:hanging="360"/>
      <w:jc w:val="both"/>
    </w:pPr>
    <w:rPr>
      <w:rFonts w:ascii="Times New Roman" w:hAnsi="Times New Roman" w:cs="Times New Roman"/>
      <w:sz w:val="24"/>
    </w:rPr>
  </w:style>
  <w:style w:type="paragraph" w:customStyle="1" w:styleId="NumPar6">
    <w:name w:val="NumPar 6"/>
    <w:basedOn w:val="Normal"/>
    <w:next w:val="Text2"/>
    <w:rsid w:val="002B3CF8"/>
    <w:pPr>
      <w:spacing w:before="120" w:after="120" w:line="240" w:lineRule="auto"/>
      <w:ind w:left="4320" w:hanging="360"/>
      <w:jc w:val="both"/>
    </w:pPr>
    <w:rPr>
      <w:rFonts w:ascii="Times New Roman" w:hAnsi="Times New Roman" w:cs="Times New Roman"/>
      <w:sz w:val="24"/>
    </w:rPr>
  </w:style>
  <w:style w:type="paragraph" w:customStyle="1" w:styleId="NumPar7">
    <w:name w:val="NumPar 7"/>
    <w:basedOn w:val="Normal"/>
    <w:next w:val="Text2"/>
    <w:rsid w:val="002B3CF8"/>
    <w:pPr>
      <w:spacing w:before="120" w:after="120" w:line="240" w:lineRule="auto"/>
      <w:ind w:left="5040" w:hanging="360"/>
      <w:jc w:val="both"/>
    </w:pPr>
    <w:rPr>
      <w:rFonts w:ascii="Times New Roman" w:hAnsi="Times New Roman" w:cs="Times New Roman"/>
      <w:sz w:val="24"/>
    </w:rPr>
  </w:style>
  <w:style w:type="paragraph" w:customStyle="1" w:styleId="ManualNumPar1">
    <w:name w:val="Manual NumPar 1"/>
    <w:basedOn w:val="Normal"/>
    <w:next w:val="Text1"/>
    <w:rsid w:val="002B3CF8"/>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rsid w:val="002B3CF8"/>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rsid w:val="002B3CF8"/>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rsid w:val="002B3CF8"/>
    <w:pPr>
      <w:spacing w:before="120" w:after="120" w:line="240" w:lineRule="auto"/>
      <w:ind w:left="850" w:hanging="850"/>
      <w:jc w:val="both"/>
    </w:pPr>
    <w:rPr>
      <w:rFonts w:ascii="Times New Roman" w:hAnsi="Times New Roman" w:cs="Times New Roman"/>
      <w:sz w:val="24"/>
    </w:rPr>
  </w:style>
  <w:style w:type="paragraph" w:customStyle="1" w:styleId="ManualNumPar5">
    <w:name w:val="Manual NumPar 5"/>
    <w:basedOn w:val="Normal"/>
    <w:next w:val="Text2"/>
    <w:rsid w:val="002B3CF8"/>
    <w:pPr>
      <w:spacing w:before="120" w:after="120" w:line="240" w:lineRule="auto"/>
      <w:ind w:left="1417" w:hanging="1417"/>
      <w:jc w:val="both"/>
    </w:pPr>
    <w:rPr>
      <w:rFonts w:ascii="Times New Roman" w:hAnsi="Times New Roman" w:cs="Times New Roman"/>
      <w:sz w:val="24"/>
    </w:rPr>
  </w:style>
  <w:style w:type="paragraph" w:customStyle="1" w:styleId="ManualNumPar6">
    <w:name w:val="Manual NumPar 6"/>
    <w:basedOn w:val="Normal"/>
    <w:next w:val="Text2"/>
    <w:rsid w:val="002B3CF8"/>
    <w:pPr>
      <w:spacing w:before="120" w:after="120" w:line="240" w:lineRule="auto"/>
      <w:ind w:left="1417" w:hanging="1417"/>
      <w:jc w:val="both"/>
    </w:pPr>
    <w:rPr>
      <w:rFonts w:ascii="Times New Roman" w:hAnsi="Times New Roman" w:cs="Times New Roman"/>
      <w:sz w:val="24"/>
    </w:rPr>
  </w:style>
  <w:style w:type="paragraph" w:customStyle="1" w:styleId="ManualNumPar7">
    <w:name w:val="Manual NumPar 7"/>
    <w:basedOn w:val="Normal"/>
    <w:next w:val="Text2"/>
    <w:rsid w:val="002B3CF8"/>
    <w:pPr>
      <w:spacing w:before="120" w:after="120" w:line="240" w:lineRule="auto"/>
      <w:ind w:left="1417" w:hanging="1417"/>
      <w:jc w:val="both"/>
    </w:pPr>
    <w:rPr>
      <w:rFonts w:ascii="Times New Roman" w:hAnsi="Times New Roman" w:cs="Times New Roman"/>
      <w:sz w:val="24"/>
    </w:rPr>
  </w:style>
  <w:style w:type="paragraph" w:customStyle="1" w:styleId="QuotedNumPar">
    <w:name w:val="Quoted NumPar"/>
    <w:basedOn w:val="Normal"/>
    <w:rsid w:val="002B3CF8"/>
    <w:pPr>
      <w:spacing w:before="120" w:after="120" w:line="240" w:lineRule="auto"/>
      <w:ind w:left="1417" w:hanging="567"/>
      <w:jc w:val="both"/>
    </w:pPr>
    <w:rPr>
      <w:rFonts w:ascii="Times New Roman" w:hAnsi="Times New Roman" w:cs="Times New Roman"/>
      <w:sz w:val="24"/>
    </w:rPr>
  </w:style>
  <w:style w:type="paragraph" w:customStyle="1" w:styleId="ManualHeading2">
    <w:name w:val="Manual Heading 2"/>
    <w:basedOn w:val="Normal"/>
    <w:next w:val="Text1"/>
    <w:rsid w:val="002B3CF8"/>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rsid w:val="002B3CF8"/>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rsid w:val="002B3CF8"/>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ManualHeading5">
    <w:name w:val="Manual Heading 5"/>
    <w:basedOn w:val="Normal"/>
    <w:next w:val="Text2"/>
    <w:rsid w:val="002B3CF8"/>
    <w:pPr>
      <w:keepNext/>
      <w:tabs>
        <w:tab w:val="left" w:pos="1417"/>
      </w:tabs>
      <w:spacing w:before="120" w:after="120" w:line="240" w:lineRule="auto"/>
      <w:ind w:left="1417" w:hanging="1417"/>
      <w:jc w:val="both"/>
      <w:outlineLvl w:val="4"/>
    </w:pPr>
    <w:rPr>
      <w:rFonts w:ascii="Times New Roman" w:hAnsi="Times New Roman" w:cs="Times New Roman"/>
      <w:sz w:val="24"/>
    </w:rPr>
  </w:style>
  <w:style w:type="paragraph" w:customStyle="1" w:styleId="ManualHeading6">
    <w:name w:val="Manual Heading 6"/>
    <w:basedOn w:val="Normal"/>
    <w:next w:val="Text2"/>
    <w:rsid w:val="002B3CF8"/>
    <w:pPr>
      <w:keepNext/>
      <w:tabs>
        <w:tab w:val="left" w:pos="1417"/>
      </w:tabs>
      <w:spacing w:before="120" w:after="120" w:line="240" w:lineRule="auto"/>
      <w:ind w:left="1417" w:hanging="1417"/>
      <w:jc w:val="both"/>
      <w:outlineLvl w:val="5"/>
    </w:pPr>
    <w:rPr>
      <w:rFonts w:ascii="Times New Roman" w:hAnsi="Times New Roman" w:cs="Times New Roman"/>
      <w:sz w:val="24"/>
    </w:rPr>
  </w:style>
  <w:style w:type="paragraph" w:customStyle="1" w:styleId="ManualHeading7">
    <w:name w:val="Manual Heading 7"/>
    <w:basedOn w:val="Normal"/>
    <w:next w:val="Text2"/>
    <w:rsid w:val="002B3CF8"/>
    <w:pPr>
      <w:keepNext/>
      <w:tabs>
        <w:tab w:val="left" w:pos="1417"/>
      </w:tabs>
      <w:spacing w:before="120" w:after="120" w:line="240" w:lineRule="auto"/>
      <w:ind w:left="1417" w:hanging="1417"/>
      <w:jc w:val="both"/>
      <w:outlineLvl w:val="6"/>
    </w:pPr>
    <w:rPr>
      <w:rFonts w:ascii="Times New Roman" w:hAnsi="Times New Roman" w:cs="Times New Roman"/>
      <w:sz w:val="24"/>
    </w:rPr>
  </w:style>
  <w:style w:type="paragraph" w:customStyle="1" w:styleId="ChapterTitle">
    <w:name w:val="ChapterTitle"/>
    <w:basedOn w:val="Normal"/>
    <w:next w:val="Normal"/>
    <w:rsid w:val="002B3CF8"/>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rsid w:val="002B3CF8"/>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rsid w:val="002B3CF8"/>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rsid w:val="002B3CF8"/>
    <w:pPr>
      <w:spacing w:before="120" w:after="120" w:line="240" w:lineRule="auto"/>
      <w:jc w:val="center"/>
    </w:pPr>
    <w:rPr>
      <w:rFonts w:ascii="Times New Roman" w:hAnsi="Times New Roman" w:cs="Times New Roman"/>
      <w:b/>
      <w:sz w:val="24"/>
    </w:rPr>
  </w:style>
  <w:style w:type="character" w:customStyle="1" w:styleId="Marker1">
    <w:name w:val="Marker1"/>
    <w:basedOn w:val="DefaultParagraphFont"/>
    <w:rsid w:val="002B3CF8"/>
    <w:rPr>
      <w:color w:val="008000"/>
      <w:shd w:val="clear" w:color="auto" w:fill="auto"/>
    </w:rPr>
  </w:style>
  <w:style w:type="character" w:customStyle="1" w:styleId="Marker2">
    <w:name w:val="Marker2"/>
    <w:basedOn w:val="DefaultParagraphFont"/>
    <w:rsid w:val="002B3CF8"/>
    <w:rPr>
      <w:color w:val="FF0000"/>
      <w:shd w:val="clear" w:color="auto" w:fill="auto"/>
    </w:rPr>
  </w:style>
  <w:style w:type="paragraph" w:customStyle="1" w:styleId="Point0number">
    <w:name w:val="Point 0 (number)"/>
    <w:basedOn w:val="Normal"/>
    <w:rsid w:val="002B3CF8"/>
    <w:pPr>
      <w:numPr>
        <w:numId w:val="35"/>
      </w:numPr>
      <w:tabs>
        <w:tab w:val="clear" w:pos="850"/>
      </w:tabs>
      <w:spacing w:before="120" w:after="120" w:line="240" w:lineRule="auto"/>
      <w:ind w:left="720" w:hanging="360"/>
      <w:jc w:val="both"/>
    </w:pPr>
    <w:rPr>
      <w:rFonts w:ascii="Times New Roman" w:hAnsi="Times New Roman" w:cs="Times New Roman"/>
      <w:sz w:val="24"/>
    </w:rPr>
  </w:style>
  <w:style w:type="paragraph" w:customStyle="1" w:styleId="Point1number">
    <w:name w:val="Point 1 (number)"/>
    <w:basedOn w:val="Normal"/>
    <w:rsid w:val="002B3CF8"/>
    <w:pPr>
      <w:numPr>
        <w:ilvl w:val="2"/>
        <w:numId w:val="35"/>
      </w:numPr>
      <w:tabs>
        <w:tab w:val="clear" w:pos="1417"/>
      </w:tabs>
      <w:spacing w:before="120" w:after="120" w:line="240" w:lineRule="auto"/>
      <w:ind w:left="2160" w:hanging="360"/>
      <w:jc w:val="both"/>
    </w:pPr>
    <w:rPr>
      <w:rFonts w:ascii="Times New Roman" w:hAnsi="Times New Roman" w:cs="Times New Roman"/>
      <w:sz w:val="24"/>
    </w:rPr>
  </w:style>
  <w:style w:type="paragraph" w:customStyle="1" w:styleId="Point2number">
    <w:name w:val="Point 2 (number)"/>
    <w:basedOn w:val="Normal"/>
    <w:rsid w:val="002B3CF8"/>
    <w:pPr>
      <w:numPr>
        <w:ilvl w:val="4"/>
        <w:numId w:val="35"/>
      </w:numPr>
      <w:tabs>
        <w:tab w:val="clear" w:pos="1984"/>
      </w:tabs>
      <w:spacing w:before="120" w:after="120" w:line="240" w:lineRule="auto"/>
      <w:ind w:left="3600" w:hanging="360"/>
      <w:jc w:val="both"/>
    </w:pPr>
    <w:rPr>
      <w:rFonts w:ascii="Times New Roman" w:hAnsi="Times New Roman" w:cs="Times New Roman"/>
      <w:sz w:val="24"/>
    </w:rPr>
  </w:style>
  <w:style w:type="paragraph" w:customStyle="1" w:styleId="Point3number">
    <w:name w:val="Point 3 (number)"/>
    <w:basedOn w:val="Normal"/>
    <w:rsid w:val="002B3CF8"/>
    <w:pPr>
      <w:numPr>
        <w:ilvl w:val="6"/>
        <w:numId w:val="35"/>
      </w:numPr>
      <w:tabs>
        <w:tab w:val="clear" w:pos="2551"/>
      </w:tabs>
      <w:spacing w:before="120" w:after="120" w:line="240" w:lineRule="auto"/>
      <w:ind w:left="5040" w:hanging="360"/>
      <w:jc w:val="both"/>
    </w:pPr>
    <w:rPr>
      <w:rFonts w:ascii="Times New Roman" w:hAnsi="Times New Roman" w:cs="Times New Roman"/>
      <w:sz w:val="24"/>
    </w:rPr>
  </w:style>
  <w:style w:type="paragraph" w:customStyle="1" w:styleId="Point0letter">
    <w:name w:val="Point 0 (letter)"/>
    <w:basedOn w:val="Normal"/>
    <w:rsid w:val="002B3CF8"/>
    <w:pPr>
      <w:numPr>
        <w:ilvl w:val="1"/>
        <w:numId w:val="35"/>
      </w:numPr>
      <w:tabs>
        <w:tab w:val="clear" w:pos="850"/>
      </w:tabs>
      <w:spacing w:before="120" w:after="120" w:line="240" w:lineRule="auto"/>
      <w:ind w:left="1440" w:hanging="360"/>
      <w:jc w:val="both"/>
    </w:pPr>
    <w:rPr>
      <w:rFonts w:ascii="Times New Roman" w:hAnsi="Times New Roman" w:cs="Times New Roman"/>
      <w:sz w:val="24"/>
    </w:rPr>
  </w:style>
  <w:style w:type="paragraph" w:customStyle="1" w:styleId="Point1letter">
    <w:name w:val="Point 1 (letter)"/>
    <w:basedOn w:val="Normal"/>
    <w:rsid w:val="002B3CF8"/>
    <w:pPr>
      <w:numPr>
        <w:ilvl w:val="3"/>
        <w:numId w:val="35"/>
      </w:numPr>
      <w:tabs>
        <w:tab w:val="clear" w:pos="1417"/>
      </w:tabs>
      <w:spacing w:before="120" w:after="120" w:line="240" w:lineRule="auto"/>
      <w:ind w:left="2880" w:hanging="360"/>
      <w:jc w:val="both"/>
    </w:pPr>
    <w:rPr>
      <w:rFonts w:ascii="Times New Roman" w:hAnsi="Times New Roman" w:cs="Times New Roman"/>
      <w:sz w:val="24"/>
    </w:rPr>
  </w:style>
  <w:style w:type="paragraph" w:customStyle="1" w:styleId="Point2letter">
    <w:name w:val="Point 2 (letter)"/>
    <w:basedOn w:val="Normal"/>
    <w:rsid w:val="002B3CF8"/>
    <w:pPr>
      <w:numPr>
        <w:ilvl w:val="5"/>
        <w:numId w:val="35"/>
      </w:numPr>
      <w:tabs>
        <w:tab w:val="clear" w:pos="1984"/>
      </w:tabs>
      <w:spacing w:before="120" w:after="120" w:line="240" w:lineRule="auto"/>
      <w:ind w:left="4320" w:hanging="360"/>
      <w:jc w:val="both"/>
    </w:pPr>
    <w:rPr>
      <w:rFonts w:ascii="Times New Roman" w:hAnsi="Times New Roman" w:cs="Times New Roman"/>
      <w:sz w:val="24"/>
    </w:rPr>
  </w:style>
  <w:style w:type="paragraph" w:customStyle="1" w:styleId="Point3letter">
    <w:name w:val="Point 3 (letter)"/>
    <w:basedOn w:val="Normal"/>
    <w:rsid w:val="002B3CF8"/>
    <w:pPr>
      <w:numPr>
        <w:ilvl w:val="7"/>
        <w:numId w:val="35"/>
      </w:numPr>
      <w:tabs>
        <w:tab w:val="clear" w:pos="2551"/>
      </w:tabs>
      <w:spacing w:before="120" w:after="120" w:line="240" w:lineRule="auto"/>
      <w:ind w:left="5760" w:hanging="360"/>
      <w:jc w:val="both"/>
    </w:pPr>
    <w:rPr>
      <w:rFonts w:ascii="Times New Roman" w:hAnsi="Times New Roman" w:cs="Times New Roman"/>
      <w:sz w:val="24"/>
    </w:rPr>
  </w:style>
  <w:style w:type="paragraph" w:customStyle="1" w:styleId="Point4letter">
    <w:name w:val="Point 4 (letter)"/>
    <w:basedOn w:val="Normal"/>
    <w:rsid w:val="002B3CF8"/>
    <w:pPr>
      <w:numPr>
        <w:ilvl w:val="8"/>
        <w:numId w:val="35"/>
      </w:numPr>
      <w:tabs>
        <w:tab w:val="clear" w:pos="3118"/>
      </w:tabs>
      <w:spacing w:before="120" w:after="120" w:line="240" w:lineRule="auto"/>
      <w:ind w:left="6480" w:hanging="360"/>
      <w:jc w:val="both"/>
    </w:pPr>
    <w:rPr>
      <w:rFonts w:ascii="Times New Roman" w:hAnsi="Times New Roman" w:cs="Times New Roman"/>
      <w:sz w:val="24"/>
    </w:rPr>
  </w:style>
  <w:style w:type="paragraph" w:customStyle="1" w:styleId="Bullet0">
    <w:name w:val="Bullet 0"/>
    <w:basedOn w:val="Normal"/>
    <w:rsid w:val="002B3CF8"/>
    <w:pPr>
      <w:numPr>
        <w:numId w:val="36"/>
      </w:numPr>
      <w:spacing w:before="120" w:after="120" w:line="240" w:lineRule="auto"/>
      <w:ind w:left="720" w:hanging="360"/>
      <w:jc w:val="both"/>
    </w:pPr>
    <w:rPr>
      <w:rFonts w:ascii="Times New Roman" w:hAnsi="Times New Roman" w:cs="Times New Roman"/>
      <w:sz w:val="24"/>
    </w:rPr>
  </w:style>
  <w:style w:type="paragraph" w:customStyle="1" w:styleId="Bullet1">
    <w:name w:val="Bullet 1"/>
    <w:basedOn w:val="Normal"/>
    <w:rsid w:val="002B3CF8"/>
    <w:pPr>
      <w:numPr>
        <w:numId w:val="37"/>
      </w:numPr>
      <w:spacing w:before="120" w:after="120" w:line="240" w:lineRule="auto"/>
      <w:ind w:left="720" w:hanging="360"/>
      <w:jc w:val="both"/>
    </w:pPr>
    <w:rPr>
      <w:rFonts w:ascii="Times New Roman" w:hAnsi="Times New Roman" w:cs="Times New Roman"/>
      <w:sz w:val="24"/>
    </w:rPr>
  </w:style>
  <w:style w:type="paragraph" w:customStyle="1" w:styleId="Bullet2">
    <w:name w:val="Bullet 2"/>
    <w:basedOn w:val="Normal"/>
    <w:rsid w:val="002B3CF8"/>
    <w:pPr>
      <w:numPr>
        <w:numId w:val="38"/>
      </w:numPr>
      <w:spacing w:before="120" w:after="120" w:line="240" w:lineRule="auto"/>
      <w:ind w:left="720" w:hanging="360"/>
      <w:jc w:val="both"/>
    </w:pPr>
    <w:rPr>
      <w:rFonts w:ascii="Times New Roman" w:hAnsi="Times New Roman" w:cs="Times New Roman"/>
      <w:sz w:val="24"/>
    </w:rPr>
  </w:style>
  <w:style w:type="paragraph" w:customStyle="1" w:styleId="Bullet3">
    <w:name w:val="Bullet 3"/>
    <w:basedOn w:val="Normal"/>
    <w:rsid w:val="002B3CF8"/>
    <w:pPr>
      <w:numPr>
        <w:numId w:val="39"/>
      </w:numPr>
      <w:spacing w:before="120" w:after="120" w:line="240" w:lineRule="auto"/>
      <w:ind w:left="720" w:hanging="360"/>
      <w:jc w:val="both"/>
    </w:pPr>
    <w:rPr>
      <w:rFonts w:ascii="Times New Roman" w:hAnsi="Times New Roman" w:cs="Times New Roman"/>
      <w:sz w:val="24"/>
    </w:rPr>
  </w:style>
  <w:style w:type="paragraph" w:customStyle="1" w:styleId="Bullet4">
    <w:name w:val="Bullet 4"/>
    <w:basedOn w:val="Normal"/>
    <w:rsid w:val="002B3CF8"/>
    <w:pPr>
      <w:numPr>
        <w:numId w:val="40"/>
      </w:numPr>
      <w:spacing w:before="120" w:after="120" w:line="240" w:lineRule="auto"/>
      <w:ind w:left="1080" w:hanging="720"/>
      <w:jc w:val="both"/>
    </w:pPr>
    <w:rPr>
      <w:rFonts w:ascii="Times New Roman" w:hAnsi="Times New Roman" w:cs="Times New Roman"/>
      <w:sz w:val="24"/>
    </w:rPr>
  </w:style>
  <w:style w:type="paragraph" w:customStyle="1" w:styleId="Langue">
    <w:name w:val="Langue"/>
    <w:basedOn w:val="Normal"/>
    <w:next w:val="Rfrenceinterne"/>
    <w:rsid w:val="002B3CF8"/>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rsid w:val="002B3CF8"/>
    <w:pPr>
      <w:spacing w:after="0" w:line="240" w:lineRule="auto"/>
    </w:pPr>
    <w:rPr>
      <w:rFonts w:ascii="Arial" w:hAnsi="Arial" w:cs="Arial"/>
      <w:sz w:val="24"/>
    </w:rPr>
  </w:style>
  <w:style w:type="paragraph" w:customStyle="1" w:styleId="Emission">
    <w:name w:val="Emission"/>
    <w:basedOn w:val="Normal"/>
    <w:next w:val="Rfrenceinstitutionnelle"/>
    <w:rsid w:val="002B3CF8"/>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rsid w:val="002B3CF8"/>
    <w:pPr>
      <w:spacing w:after="240" w:line="240" w:lineRule="auto"/>
      <w:ind w:left="5103"/>
    </w:pPr>
    <w:rPr>
      <w:rFonts w:ascii="Times New Roman" w:hAnsi="Times New Roman" w:cs="Times New Roman"/>
      <w:sz w:val="24"/>
    </w:rPr>
  </w:style>
  <w:style w:type="paragraph" w:customStyle="1" w:styleId="Declassification">
    <w:name w:val="Declassification"/>
    <w:basedOn w:val="Normal"/>
    <w:next w:val="Normal"/>
    <w:rsid w:val="002B3CF8"/>
    <w:pPr>
      <w:spacing w:after="0" w:line="240" w:lineRule="auto"/>
      <w:jc w:val="both"/>
    </w:pPr>
    <w:rPr>
      <w:rFonts w:ascii="Times New Roman" w:hAnsi="Times New Roman" w:cs="Times New Roman"/>
      <w:sz w:val="24"/>
    </w:rPr>
  </w:style>
  <w:style w:type="paragraph" w:customStyle="1" w:styleId="Disclaimer">
    <w:name w:val="Disclaimer"/>
    <w:basedOn w:val="Normal"/>
    <w:rsid w:val="002B3CF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7E5D60"/>
    <w:pPr>
      <w:spacing w:after="0"/>
      <w:ind w:left="5103"/>
    </w:pPr>
    <w:rPr>
      <w:rFonts w:ascii="Times New Roman" w:hAnsi="Times New Roman" w:cs="Times New Roman"/>
      <w:sz w:val="28"/>
    </w:rPr>
  </w:style>
  <w:style w:type="paragraph" w:customStyle="1" w:styleId="DateMarking">
    <w:name w:val="DateMarking"/>
    <w:basedOn w:val="Normal"/>
    <w:rsid w:val="007E5D60"/>
    <w:pPr>
      <w:spacing w:after="0"/>
      <w:ind w:left="5103"/>
    </w:pPr>
    <w:rPr>
      <w:rFonts w:ascii="Times New Roman" w:hAnsi="Times New Roman" w:cs="Times New Roman"/>
      <w:i/>
      <w:sz w:val="28"/>
    </w:rPr>
  </w:style>
  <w:style w:type="paragraph" w:customStyle="1" w:styleId="ReleasableTo">
    <w:name w:val="ReleasableTo"/>
    <w:basedOn w:val="Normal"/>
    <w:rsid w:val="007E5D60"/>
    <w:pPr>
      <w:spacing w:after="0"/>
      <w:ind w:left="5103"/>
    </w:pPr>
    <w:rPr>
      <w:rFonts w:ascii="Times New Roman" w:hAnsi="Times New Roman" w:cs="Times New Roman"/>
      <w:i/>
      <w:sz w:val="28"/>
    </w:rPr>
  </w:style>
  <w:style w:type="paragraph" w:customStyle="1" w:styleId="Annexetitreexpos">
    <w:name w:val="Annexe titre (exposé)"/>
    <w:basedOn w:val="Normal"/>
    <w:next w:val="Normal"/>
    <w:rsid w:val="002B3CF8"/>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rsid w:val="002B3CF8"/>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rsid w:val="002B3CF8"/>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rsid w:val="002B3CF8"/>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rsid w:val="002B3CF8"/>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rsid w:val="002B3CF8"/>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rsid w:val="002B3CF8"/>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rsid w:val="002B3CF8"/>
    <w:pPr>
      <w:numPr>
        <w:numId w:val="41"/>
      </w:numPr>
      <w:spacing w:before="120" w:after="120" w:line="240" w:lineRule="auto"/>
      <w:ind w:left="720"/>
      <w:jc w:val="both"/>
    </w:pPr>
    <w:rPr>
      <w:rFonts w:ascii="Times New Roman" w:hAnsi="Times New Roman" w:cs="Times New Roman"/>
      <w:sz w:val="24"/>
    </w:rPr>
  </w:style>
  <w:style w:type="paragraph" w:customStyle="1" w:styleId="Corrigendum">
    <w:name w:val="Corrigendum"/>
    <w:basedOn w:val="Normal"/>
    <w:next w:val="Normal"/>
    <w:rsid w:val="002B3CF8"/>
    <w:pPr>
      <w:spacing w:after="240" w:line="240" w:lineRule="auto"/>
    </w:pPr>
    <w:rPr>
      <w:rFonts w:ascii="Times New Roman" w:hAnsi="Times New Roman" w:cs="Times New Roman"/>
      <w:sz w:val="24"/>
    </w:rPr>
  </w:style>
  <w:style w:type="paragraph" w:customStyle="1" w:styleId="Datedadoption">
    <w:name w:val="Date d'adoption"/>
    <w:basedOn w:val="Normal"/>
    <w:next w:val="Titreobjet"/>
    <w:rsid w:val="002B3CF8"/>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rsid w:val="002B3CF8"/>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rsid w:val="002B3CF8"/>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2B3CF8"/>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rsid w:val="002B3CF8"/>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2B3CF8"/>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rsid w:val="002B3CF8"/>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rsid w:val="002B3CF8"/>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rsid w:val="002B3CF8"/>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rsid w:val="002B3CF8"/>
    <w:pPr>
      <w:spacing w:after="0" w:line="240" w:lineRule="auto"/>
      <w:ind w:left="5103"/>
    </w:pPr>
    <w:rPr>
      <w:rFonts w:ascii="Times New Roman" w:hAnsi="Times New Roman" w:cs="Times New Roman"/>
      <w:sz w:val="24"/>
    </w:rPr>
  </w:style>
  <w:style w:type="paragraph" w:customStyle="1" w:styleId="Statut">
    <w:name w:val="Statut"/>
    <w:basedOn w:val="Normal"/>
    <w:next w:val="Typedudocument"/>
    <w:rsid w:val="002B3CF8"/>
    <w:pPr>
      <w:spacing w:before="360" w:after="0" w:line="240" w:lineRule="auto"/>
      <w:jc w:val="center"/>
    </w:pPr>
    <w:rPr>
      <w:rFonts w:ascii="Times New Roman" w:hAnsi="Times New Roman" w:cs="Times New Roman"/>
      <w:sz w:val="24"/>
    </w:rPr>
  </w:style>
  <w:style w:type="paragraph" w:customStyle="1" w:styleId="Titrearticle">
    <w:name w:val="Titre article"/>
    <w:basedOn w:val="Normal"/>
    <w:next w:val="Normal"/>
    <w:rsid w:val="002B3CF8"/>
    <w:pPr>
      <w:keepNext/>
      <w:spacing w:before="360" w:after="120" w:line="240" w:lineRule="auto"/>
      <w:jc w:val="center"/>
    </w:pPr>
    <w:rPr>
      <w:rFonts w:ascii="Times New Roman" w:hAnsi="Times New Roman" w:cs="Times New Roman"/>
      <w:i/>
      <w:sz w:val="24"/>
    </w:rPr>
  </w:style>
  <w:style w:type="paragraph" w:customStyle="1" w:styleId="Titreobjet">
    <w:name w:val="Titre objet"/>
    <w:basedOn w:val="Normal"/>
    <w:next w:val="IntrtEEE"/>
    <w:rsid w:val="002B3CF8"/>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rsid w:val="002B3CF8"/>
    <w:pPr>
      <w:spacing w:before="360" w:after="0" w:line="240" w:lineRule="auto"/>
      <w:jc w:val="center"/>
    </w:pPr>
    <w:rPr>
      <w:rFonts w:ascii="Times New Roman" w:hAnsi="Times New Roman" w:cs="Times New Roman"/>
      <w:b/>
      <w:sz w:val="24"/>
    </w:rPr>
  </w:style>
  <w:style w:type="character" w:customStyle="1" w:styleId="Added">
    <w:name w:val="Added"/>
    <w:basedOn w:val="DefaultParagraphFont"/>
    <w:rsid w:val="002B3CF8"/>
    <w:rPr>
      <w:b/>
      <w:u w:val="single"/>
      <w:shd w:val="clear" w:color="auto" w:fill="auto"/>
    </w:rPr>
  </w:style>
  <w:style w:type="character" w:customStyle="1" w:styleId="Deleted">
    <w:name w:val="Deleted"/>
    <w:basedOn w:val="DefaultParagraphFont"/>
    <w:rsid w:val="002B3CF8"/>
    <w:rPr>
      <w:strike/>
      <w:dstrike w:val="0"/>
      <w:shd w:val="clear" w:color="auto" w:fill="auto"/>
    </w:rPr>
  </w:style>
  <w:style w:type="paragraph" w:customStyle="1" w:styleId="Address">
    <w:name w:val="Address"/>
    <w:basedOn w:val="Normal"/>
    <w:next w:val="Normal"/>
    <w:rsid w:val="002B3CF8"/>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rsid w:val="002B3CF8"/>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rsid w:val="002B3CF8"/>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rsid w:val="002B3CF8"/>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rsid w:val="002B3CF8"/>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rsid w:val="002B3CF8"/>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rsid w:val="002B3CF8"/>
  </w:style>
  <w:style w:type="paragraph" w:customStyle="1" w:styleId="RfrenceinterinstitutionnellePagedecouverture">
    <w:name w:val="Référence interinstitutionnelle (Page de couverture)"/>
    <w:basedOn w:val="Rfrenceinterinstitutionnelle"/>
    <w:next w:val="Confidentialit"/>
    <w:rsid w:val="002B3CF8"/>
  </w:style>
  <w:style w:type="paragraph" w:customStyle="1" w:styleId="StatutPagedecouverture">
    <w:name w:val="Statut (Page de couverture)"/>
    <w:basedOn w:val="Statut"/>
    <w:next w:val="TypedudocumentPagedecouverture"/>
    <w:rsid w:val="002B3CF8"/>
  </w:style>
  <w:style w:type="paragraph" w:customStyle="1" w:styleId="TitreobjetPagedecouverture">
    <w:name w:val="Titre objet (Page de couverture)"/>
    <w:basedOn w:val="Titreobjet"/>
    <w:next w:val="IntrtEEEPagedecouverture"/>
    <w:rsid w:val="002B3CF8"/>
  </w:style>
  <w:style w:type="paragraph" w:customStyle="1" w:styleId="TypedudocumentPagedecouverture">
    <w:name w:val="Type du document (Page de couverture)"/>
    <w:basedOn w:val="Typedudocument"/>
    <w:next w:val="TitreobjetPagedecouverture"/>
    <w:rsid w:val="002B3CF8"/>
  </w:style>
  <w:style w:type="paragraph" w:customStyle="1" w:styleId="Volume">
    <w:name w:val="Volume"/>
    <w:basedOn w:val="Normal"/>
    <w:next w:val="Confidentialit"/>
    <w:rsid w:val="002B3CF8"/>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rsid w:val="002B3CF8"/>
    <w:pPr>
      <w:spacing w:after="240"/>
    </w:pPr>
  </w:style>
  <w:style w:type="paragraph" w:customStyle="1" w:styleId="Accompagnant">
    <w:name w:val="Accompagnant"/>
    <w:basedOn w:val="Normal"/>
    <w:next w:val="Typeacteprincipal"/>
    <w:rsid w:val="002B3CF8"/>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Objetacteprincipal"/>
    <w:rsid w:val="002B3CF8"/>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rsid w:val="002B3CF8"/>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rsid w:val="002B3CF8"/>
  </w:style>
  <w:style w:type="paragraph" w:customStyle="1" w:styleId="AccompagnantPagedecouverture">
    <w:name w:val="Accompagnant (Page de couverture)"/>
    <w:basedOn w:val="Accompagnant"/>
    <w:next w:val="TypeacteprincipalPagedecouverture"/>
    <w:rsid w:val="002B3CF8"/>
  </w:style>
  <w:style w:type="paragraph" w:customStyle="1" w:styleId="TypeacteprincipalPagedecouverture">
    <w:name w:val="Type acte principal (Page de couverture)"/>
    <w:basedOn w:val="Typeacteprincipal"/>
    <w:next w:val="ObjetacteprincipalPagedecouverture"/>
    <w:rsid w:val="002B3CF8"/>
  </w:style>
  <w:style w:type="paragraph" w:customStyle="1" w:styleId="ObjetacteprincipalPagedecouverture">
    <w:name w:val="Objet acte principal (Page de couverture)"/>
    <w:basedOn w:val="Objetacteprincipal"/>
    <w:next w:val="Rfrencecroise"/>
    <w:rsid w:val="002B3CF8"/>
  </w:style>
  <w:style w:type="paragraph" w:customStyle="1" w:styleId="LanguesfaisantfoiPagedecouverture">
    <w:name w:val="Langues faisant foi (Page de couverture)"/>
    <w:basedOn w:val="Normal"/>
    <w:next w:val="Normal"/>
    <w:rsid w:val="002B3CF8"/>
    <w:pPr>
      <w:spacing w:before="360" w:after="0" w:line="240" w:lineRule="auto"/>
      <w:jc w:val="center"/>
    </w:pPr>
    <w:rPr>
      <w:rFonts w:ascii="Times New Roman" w:hAnsi="Times New Roman" w:cs="Times New Roman"/>
      <w:sz w:val="24"/>
    </w:rPr>
  </w:style>
  <w:style w:type="paragraph" w:styleId="ListBullet">
    <w:name w:val="List Bullet"/>
    <w:basedOn w:val="Normal"/>
    <w:rsid w:val="002B3CF8"/>
    <w:pPr>
      <w:numPr>
        <w:numId w:val="42"/>
      </w:numPr>
      <w:spacing w:before="120" w:after="120" w:line="240" w:lineRule="auto"/>
      <w:jc w:val="both"/>
    </w:pPr>
    <w:rPr>
      <w:rFonts w:ascii="Times New Roman" w:eastAsia="Times New Roman" w:hAnsi="Times New Roman" w:cs="Times New Roman"/>
      <w:sz w:val="24"/>
    </w:rPr>
  </w:style>
  <w:style w:type="paragraph" w:customStyle="1" w:styleId="Default">
    <w:name w:val="Default"/>
    <w:rsid w:val="002B3CF8"/>
    <w:pPr>
      <w:autoSpaceDE w:val="0"/>
      <w:autoSpaceDN w:val="0"/>
      <w:adjustRightInd w:val="0"/>
      <w:spacing w:after="0" w:line="240" w:lineRule="auto"/>
    </w:pPr>
    <w:rPr>
      <w:rFonts w:ascii="Times New Roman" w:hAnsi="Times New Roman" w:cs="Times New Roman"/>
      <w:color w:val="000000"/>
      <w:sz w:val="24"/>
    </w:rPr>
  </w:style>
  <w:style w:type="paragraph" w:styleId="ListBullet2">
    <w:name w:val="List Bullet 2"/>
    <w:basedOn w:val="Normal"/>
    <w:uiPriority w:val="99"/>
    <w:semiHidden/>
    <w:unhideWhenUsed/>
    <w:rsid w:val="002B3CF8"/>
    <w:pPr>
      <w:numPr>
        <w:numId w:val="43"/>
      </w:numPr>
      <w:spacing w:before="120" w:after="120" w:line="240" w:lineRule="auto"/>
      <w:ind w:left="720"/>
      <w:contextualSpacing/>
      <w:jc w:val="both"/>
    </w:pPr>
    <w:rPr>
      <w:rFonts w:ascii="Times New Roman" w:hAnsi="Times New Roman" w:cs="Times New Roman"/>
      <w:sz w:val="24"/>
    </w:rPr>
  </w:style>
  <w:style w:type="paragraph" w:styleId="ListBullet3">
    <w:name w:val="List Bullet 3"/>
    <w:basedOn w:val="Normal"/>
    <w:uiPriority w:val="99"/>
    <w:semiHidden/>
    <w:unhideWhenUsed/>
    <w:rsid w:val="002B3CF8"/>
    <w:pPr>
      <w:numPr>
        <w:numId w:val="44"/>
      </w:numPr>
      <w:tabs>
        <w:tab w:val="num" w:pos="850"/>
      </w:tabs>
      <w:spacing w:before="120" w:after="120" w:line="240" w:lineRule="auto"/>
      <w:ind w:left="850" w:hanging="850"/>
      <w:contextualSpacing/>
      <w:jc w:val="both"/>
    </w:pPr>
    <w:rPr>
      <w:rFonts w:ascii="Times New Roman" w:hAnsi="Times New Roman" w:cs="Times New Roman"/>
      <w:sz w:val="24"/>
    </w:rPr>
  </w:style>
  <w:style w:type="paragraph" w:styleId="ListBullet4">
    <w:name w:val="List Bullet 4"/>
    <w:basedOn w:val="Normal"/>
    <w:uiPriority w:val="99"/>
    <w:semiHidden/>
    <w:unhideWhenUsed/>
    <w:rsid w:val="002B3CF8"/>
    <w:pPr>
      <w:numPr>
        <w:numId w:val="45"/>
      </w:numPr>
      <w:spacing w:before="120" w:after="120" w:line="240" w:lineRule="auto"/>
      <w:ind w:left="1440" w:hanging="720"/>
      <w:contextualSpacing/>
      <w:jc w:val="both"/>
    </w:pPr>
    <w:rPr>
      <w:rFonts w:ascii="Times New Roman" w:hAnsi="Times New Roman" w:cs="Times New Roman"/>
      <w:sz w:val="24"/>
    </w:rPr>
  </w:style>
  <w:style w:type="table" w:customStyle="1" w:styleId="TableGrid1">
    <w:name w:val="Table Grid1"/>
    <w:basedOn w:val="TableNormal"/>
    <w:next w:val="TableGrid"/>
    <w:uiPriority w:val="59"/>
    <w:rsid w:val="002B3C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efaultParagraphFont"/>
    <w:rsid w:val="002B3CF8"/>
  </w:style>
  <w:style w:type="character" w:customStyle="1" w:styleId="UnresolvedMention1">
    <w:name w:val="Unresolved Mention1"/>
    <w:basedOn w:val="DefaultParagraphFont"/>
    <w:uiPriority w:val="99"/>
    <w:semiHidden/>
    <w:unhideWhenUsed/>
    <w:rsid w:val="002B3CF8"/>
    <w:rPr>
      <w:color w:val="605E5C"/>
      <w:shd w:val="clear" w:color="auto" w:fill="E1DFDD"/>
    </w:rPr>
  </w:style>
  <w:style w:type="character" w:customStyle="1" w:styleId="scxw232726115">
    <w:name w:val="scxw232726115"/>
    <w:basedOn w:val="DefaultParagraphFont"/>
    <w:rsid w:val="002B3CF8"/>
  </w:style>
  <w:style w:type="character" w:customStyle="1" w:styleId="Heading4Char1">
    <w:name w:val="Heading 4 Char1"/>
    <w:basedOn w:val="DefaultParagraphFont"/>
    <w:uiPriority w:val="9"/>
    <w:semiHidden/>
    <w:rsid w:val="002B3CF8"/>
    <w:rPr>
      <w:rFonts w:asciiTheme="majorHAnsi" w:eastAsiaTheme="majorEastAsia" w:hAnsiTheme="majorHAnsi" w:cstheme="majorBidi"/>
      <w:i/>
      <w:color w:val="2F5496" w:themeColor="accent1" w:themeShade="BF"/>
    </w:rPr>
  </w:style>
  <w:style w:type="character" w:customStyle="1" w:styleId="Heading5Char1">
    <w:name w:val="Heading 5 Char1"/>
    <w:basedOn w:val="DefaultParagraphFont"/>
    <w:uiPriority w:val="9"/>
    <w:semiHidden/>
    <w:rsid w:val="002B3CF8"/>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2B3CF8"/>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2B3CF8"/>
    <w:rPr>
      <w:rFonts w:asciiTheme="majorHAnsi" w:eastAsiaTheme="majorEastAsia" w:hAnsiTheme="majorHAnsi" w:cstheme="majorBidi"/>
      <w:i/>
      <w:color w:val="1F3763" w:themeColor="accent1" w:themeShade="7F"/>
    </w:rPr>
  </w:style>
  <w:style w:type="paragraph" w:customStyle="1" w:styleId="P68B1DB1-Normal1">
    <w:name w:val="P68B1DB1-Normal1"/>
    <w:basedOn w:val="Normal"/>
    <w:rPr>
      <w:rFonts w:ascii="Times New Roman" w:hAnsi="Times New Roman"/>
      <w:b/>
      <w:sz w:val="24"/>
      <w:u w:val="single"/>
    </w:rPr>
  </w:style>
  <w:style w:type="paragraph" w:customStyle="1" w:styleId="P68B1DB1-Normal2">
    <w:name w:val="P68B1DB1-Normal2"/>
    <w:basedOn w:val="Normal"/>
    <w:rPr>
      <w:rFonts w:ascii="Times New Roman" w:hAnsi="Times New Roman"/>
      <w:b/>
      <w:sz w:val="24"/>
    </w:rPr>
  </w:style>
  <w:style w:type="paragraph" w:customStyle="1" w:styleId="P68B1DB1-ListParagraph3">
    <w:name w:val="P68B1DB1-ListParagraph3"/>
    <w:basedOn w:val="ListParagraph"/>
    <w:rPr>
      <w:b/>
    </w:rPr>
  </w:style>
  <w:style w:type="paragraph" w:customStyle="1" w:styleId="P68B1DB1-Normal4">
    <w:name w:val="P68B1DB1-Normal4"/>
    <w:basedOn w:val="Normal"/>
    <w:rPr>
      <w:rFonts w:ascii="Times New Roman" w:hAnsi="Times New Roman"/>
      <w:sz w:val="24"/>
    </w:rPr>
  </w:style>
  <w:style w:type="paragraph" w:customStyle="1" w:styleId="P68B1DB1-Normal5">
    <w:name w:val="P68B1DB1-Normal5"/>
    <w:basedOn w:val="Normal"/>
    <w:rPr>
      <w:rFonts w:ascii="Times New Roman" w:hAnsi="Times New Roman"/>
      <w:color w:val="000000"/>
      <w:sz w:val="24"/>
      <w:shd w:val="clear" w:color="auto" w:fill="FFFFFF"/>
    </w:rPr>
  </w:style>
  <w:style w:type="paragraph" w:customStyle="1" w:styleId="P68B1DB1-Normal6">
    <w:name w:val="P68B1DB1-Normal6"/>
    <w:basedOn w:val="Normal"/>
    <w:rPr>
      <w:rFonts w:ascii="Times New Roman" w:hAnsi="Times New Roman"/>
      <w:b/>
      <w:color w:val="000000" w:themeColor="text1"/>
      <w:sz w:val="24"/>
    </w:rPr>
  </w:style>
  <w:style w:type="paragraph" w:customStyle="1" w:styleId="P68B1DB1-Normal7">
    <w:name w:val="P68B1DB1-Normal7"/>
    <w:basedOn w:val="Normal"/>
    <w:rPr>
      <w:rFonts w:ascii="Times New Roman" w:hAnsi="Times New Roman"/>
      <w:color w:val="000000"/>
      <w:sz w:val="24"/>
    </w:rPr>
  </w:style>
  <w:style w:type="paragraph" w:customStyle="1" w:styleId="P68B1DB1-ListParagraph8">
    <w:name w:val="P68B1DB1-ListParagraph8"/>
    <w:basedOn w:val="ListParagraph"/>
    <w:rPr>
      <w:color w:val="000000" w:themeColor="text1"/>
    </w:rPr>
  </w:style>
  <w:style w:type="paragraph" w:customStyle="1" w:styleId="P68B1DB1-Normal9">
    <w:name w:val="P68B1DB1-Normal9"/>
    <w:basedOn w:val="Normal"/>
    <w:rPr>
      <w:b/>
      <w:sz w:val="18"/>
    </w:rPr>
  </w:style>
  <w:style w:type="paragraph" w:customStyle="1" w:styleId="P68B1DB1-Normal10">
    <w:name w:val="P68B1DB1-Normal10"/>
    <w:basedOn w:val="Normal"/>
    <w:rPr>
      <w:sz w:val="18"/>
    </w:rPr>
  </w:style>
  <w:style w:type="paragraph" w:customStyle="1" w:styleId="P68B1DB1-ListParagraph11">
    <w:name w:val="P68B1DB1-ListParagraph11"/>
    <w:basedOn w:val="ListParagraph"/>
    <w:rPr>
      <w:rFonts w:asciiTheme="minorHAnsi" w:hAnsiTheme="minorHAnsi"/>
      <w:sz w:val="18"/>
    </w:rPr>
  </w:style>
  <w:style w:type="paragraph" w:customStyle="1" w:styleId="P68B1DB1-Normal12">
    <w:name w:val="P68B1DB1-Normal12"/>
    <w:basedOn w:val="Normal"/>
    <w:rPr>
      <w:rFonts w:ascii="Calibri" w:hAnsi="Calibri"/>
      <w:sz w:val="18"/>
    </w:rPr>
  </w:style>
  <w:style w:type="paragraph" w:customStyle="1" w:styleId="P68B1DB1-CommentText13">
    <w:name w:val="P68B1DB1-CommentText13"/>
    <w:basedOn w:val="CommentText"/>
    <w:rPr>
      <w:rFonts w:asciiTheme="minorHAnsi" w:hAnsiTheme="minorHAnsi"/>
      <w:sz w:val="18"/>
    </w:rPr>
  </w:style>
  <w:style w:type="paragraph" w:customStyle="1" w:styleId="P68B1DB1-CommentText14">
    <w:name w:val="P68B1DB1-CommentText14"/>
    <w:basedOn w:val="CommentText"/>
    <w:rPr>
      <w:sz w:val="18"/>
    </w:rPr>
  </w:style>
  <w:style w:type="paragraph" w:customStyle="1" w:styleId="P68B1DB1-Normal15">
    <w:name w:val="P68B1DB1-Normal15"/>
    <w:basedOn w:val="Normal"/>
    <w:rPr>
      <w:rFonts w:ascii="Times New Roman" w:hAnsi="Times New Roman"/>
      <w:b/>
      <w:color w:val="000000"/>
      <w:sz w:val="24"/>
      <w:shd w:val="clear" w:color="auto" w:fill="FFFFFF"/>
    </w:rPr>
  </w:style>
  <w:style w:type="paragraph" w:customStyle="1" w:styleId="P68B1DB1-Normal16">
    <w:name w:val="P68B1DB1-Normal16"/>
    <w:basedOn w:val="Normal"/>
    <w:rPr>
      <w:sz w:val="18"/>
      <w:shd w:val="clear" w:color="auto" w:fill="E6E6E6"/>
    </w:rPr>
  </w:style>
  <w:style w:type="paragraph" w:customStyle="1" w:styleId="P68B1DB1-Heading217">
    <w:name w:val="P68B1DB1-Heading217"/>
    <w:basedOn w:val="Heading2"/>
    <w:rPr>
      <w:caps/>
    </w:rPr>
  </w:style>
  <w:style w:type="paragraph" w:customStyle="1" w:styleId="P68B1DB1-Normal18">
    <w:name w:val="P68B1DB1-Normal18"/>
    <w:basedOn w:val="Normal"/>
    <w:rPr>
      <w:rFonts w:ascii="Times New Roman" w:hAnsi="Times New Roman"/>
    </w:rPr>
  </w:style>
  <w:style w:type="paragraph" w:customStyle="1" w:styleId="P68B1DB1-Text119">
    <w:name w:val="P68B1DB1-Text119"/>
    <w:basedOn w:val="Text1"/>
    <w:rPr>
      <w:b/>
    </w:rPr>
  </w:style>
  <w:style w:type="paragraph" w:customStyle="1" w:styleId="P68B1DB1-paragraph20">
    <w:name w:val="P68B1DB1-paragraph20"/>
    <w:basedOn w:val="paragraph"/>
    <w:rPr>
      <w:rFonts w:asciiTheme="minorHAnsi" w:hAnsiTheme="minorHAnsi"/>
      <w:sz w:val="18"/>
    </w:rPr>
  </w:style>
  <w:style w:type="paragraph" w:customStyle="1" w:styleId="P68B1DB1-ListParagraph21">
    <w:name w:val="P68B1DB1-ListParagraph21"/>
    <w:basedOn w:val="ListParagraph"/>
    <w:rPr>
      <w:sz w:val="18"/>
    </w:rPr>
  </w:style>
  <w:style w:type="paragraph" w:customStyle="1" w:styleId="P68B1DB1-Normal22">
    <w:name w:val="P68B1DB1-Normal22"/>
    <w:basedOn w:val="Normal"/>
    <w:rPr>
      <w:rFonts w:ascii="Times New Roman" w:hAnsi="Times New Roman"/>
      <w:b/>
      <w:smallCaps/>
      <w:sz w:val="24"/>
    </w:rPr>
  </w:style>
  <w:style w:type="paragraph" w:customStyle="1" w:styleId="P68B1DB1-Normal23">
    <w:name w:val="P68B1DB1-Normal23"/>
    <w:basedOn w:val="Normal"/>
    <w:rPr>
      <w:rFonts w:cstheme="minorHAnsi"/>
      <w:b/>
      <w:sz w:val="18"/>
    </w:rPr>
  </w:style>
  <w:style w:type="paragraph" w:customStyle="1" w:styleId="P68B1DB1-Normal24">
    <w:name w:val="P68B1DB1-Normal24"/>
    <w:basedOn w:val="Normal"/>
    <w:rPr>
      <w:rFonts w:cstheme="minorHAnsi"/>
      <w:sz w:val="18"/>
    </w:rPr>
  </w:style>
  <w:style w:type="paragraph" w:customStyle="1" w:styleId="P68B1DB1-Normal25">
    <w:name w:val="P68B1DB1-Normal25"/>
    <w:basedOn w:val="Normal"/>
    <w:rPr>
      <w:rFonts w:eastAsia="Calibri" w:cstheme="minorHAnsi"/>
      <w:sz w:val="18"/>
    </w:rPr>
  </w:style>
  <w:style w:type="paragraph" w:customStyle="1" w:styleId="P68B1DB1-ListParagraph26">
    <w:name w:val="P68B1DB1-ListParagraph26"/>
    <w:basedOn w:val="ListParagraph"/>
  </w:style>
  <w:style w:type="paragraph" w:customStyle="1" w:styleId="P68B1DB1-ListParagraph27">
    <w:name w:val="P68B1DB1-ListParagraph27"/>
    <w:basedOn w:val="ListParagraph"/>
    <w:rPr>
      <w:rFonts w:eastAsia="Calibri" w:cs="Times New Roman"/>
    </w:rPr>
  </w:style>
  <w:style w:type="paragraph" w:customStyle="1" w:styleId="P68B1DB1-Normal28">
    <w:name w:val="P68B1DB1-Normal28"/>
    <w:basedOn w:val="Normal"/>
    <w:rPr>
      <w:rFonts w:ascii="Times New Roman" w:eastAsia="Times New Roman" w:hAnsi="Times New Roman" w:cs="Times New Roman"/>
      <w:b/>
    </w:rPr>
  </w:style>
  <w:style w:type="paragraph" w:customStyle="1" w:styleId="P68B1DB1-Normal29">
    <w:name w:val="P68B1DB1-Normal29"/>
    <w:basedOn w:val="Normal"/>
    <w:rPr>
      <w:rFonts w:ascii="Times New Roman" w:eastAsia="Times New Roman" w:hAnsi="Times New Roman" w:cs="Times New Roman"/>
    </w:rPr>
  </w:style>
  <w:style w:type="paragraph" w:customStyle="1" w:styleId="P68B1DB1-Normal30">
    <w:name w:val="P68B1DB1-Normal30"/>
    <w:basedOn w:val="Normal"/>
    <w:rPr>
      <w:rFonts w:eastAsia="Calibri" w:cs="Times New Roman"/>
    </w:rPr>
  </w:style>
  <w:style w:type="paragraph" w:customStyle="1" w:styleId="P68B1DB1-NumPar131">
    <w:name w:val="P68B1DB1-NumPar131"/>
    <w:basedOn w:val="NumPar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394">
      <w:bodyDiv w:val="1"/>
      <w:marLeft w:val="0"/>
      <w:marRight w:val="0"/>
      <w:marTop w:val="0"/>
      <w:marBottom w:val="0"/>
      <w:divBdr>
        <w:top w:val="none" w:sz="0" w:space="0" w:color="auto"/>
        <w:left w:val="none" w:sz="0" w:space="0" w:color="auto"/>
        <w:bottom w:val="none" w:sz="0" w:space="0" w:color="auto"/>
        <w:right w:val="none" w:sz="0" w:space="0" w:color="auto"/>
      </w:divBdr>
    </w:div>
    <w:div w:id="99302903">
      <w:bodyDiv w:val="1"/>
      <w:marLeft w:val="0"/>
      <w:marRight w:val="0"/>
      <w:marTop w:val="0"/>
      <w:marBottom w:val="0"/>
      <w:divBdr>
        <w:top w:val="none" w:sz="0" w:space="0" w:color="auto"/>
        <w:left w:val="none" w:sz="0" w:space="0" w:color="auto"/>
        <w:bottom w:val="none" w:sz="0" w:space="0" w:color="auto"/>
        <w:right w:val="none" w:sz="0" w:space="0" w:color="auto"/>
      </w:divBdr>
    </w:div>
    <w:div w:id="122894642">
      <w:bodyDiv w:val="1"/>
      <w:marLeft w:val="0"/>
      <w:marRight w:val="0"/>
      <w:marTop w:val="0"/>
      <w:marBottom w:val="0"/>
      <w:divBdr>
        <w:top w:val="none" w:sz="0" w:space="0" w:color="auto"/>
        <w:left w:val="none" w:sz="0" w:space="0" w:color="auto"/>
        <w:bottom w:val="none" w:sz="0" w:space="0" w:color="auto"/>
        <w:right w:val="none" w:sz="0" w:space="0" w:color="auto"/>
      </w:divBdr>
    </w:div>
    <w:div w:id="186673813">
      <w:bodyDiv w:val="1"/>
      <w:marLeft w:val="0"/>
      <w:marRight w:val="0"/>
      <w:marTop w:val="0"/>
      <w:marBottom w:val="0"/>
      <w:divBdr>
        <w:top w:val="none" w:sz="0" w:space="0" w:color="auto"/>
        <w:left w:val="none" w:sz="0" w:space="0" w:color="auto"/>
        <w:bottom w:val="none" w:sz="0" w:space="0" w:color="auto"/>
        <w:right w:val="none" w:sz="0" w:space="0" w:color="auto"/>
      </w:divBdr>
    </w:div>
    <w:div w:id="327637844">
      <w:bodyDiv w:val="1"/>
      <w:marLeft w:val="0"/>
      <w:marRight w:val="0"/>
      <w:marTop w:val="0"/>
      <w:marBottom w:val="0"/>
      <w:divBdr>
        <w:top w:val="none" w:sz="0" w:space="0" w:color="auto"/>
        <w:left w:val="none" w:sz="0" w:space="0" w:color="auto"/>
        <w:bottom w:val="none" w:sz="0" w:space="0" w:color="auto"/>
        <w:right w:val="none" w:sz="0" w:space="0" w:color="auto"/>
      </w:divBdr>
    </w:div>
    <w:div w:id="459232137">
      <w:bodyDiv w:val="1"/>
      <w:marLeft w:val="0"/>
      <w:marRight w:val="0"/>
      <w:marTop w:val="0"/>
      <w:marBottom w:val="0"/>
      <w:divBdr>
        <w:top w:val="none" w:sz="0" w:space="0" w:color="auto"/>
        <w:left w:val="none" w:sz="0" w:space="0" w:color="auto"/>
        <w:bottom w:val="none" w:sz="0" w:space="0" w:color="auto"/>
        <w:right w:val="none" w:sz="0" w:space="0" w:color="auto"/>
      </w:divBdr>
      <w:divsChild>
        <w:div w:id="211046123">
          <w:marLeft w:val="0"/>
          <w:marRight w:val="0"/>
          <w:marTop w:val="0"/>
          <w:marBottom w:val="0"/>
          <w:divBdr>
            <w:top w:val="none" w:sz="0" w:space="0" w:color="auto"/>
            <w:left w:val="none" w:sz="0" w:space="0" w:color="auto"/>
            <w:bottom w:val="none" w:sz="0" w:space="0" w:color="auto"/>
            <w:right w:val="none" w:sz="0" w:space="0" w:color="auto"/>
          </w:divBdr>
        </w:div>
        <w:div w:id="1706054268">
          <w:marLeft w:val="0"/>
          <w:marRight w:val="0"/>
          <w:marTop w:val="0"/>
          <w:marBottom w:val="0"/>
          <w:divBdr>
            <w:top w:val="none" w:sz="0" w:space="0" w:color="auto"/>
            <w:left w:val="none" w:sz="0" w:space="0" w:color="auto"/>
            <w:bottom w:val="none" w:sz="0" w:space="0" w:color="auto"/>
            <w:right w:val="none" w:sz="0" w:space="0" w:color="auto"/>
          </w:divBdr>
          <w:divsChild>
            <w:div w:id="436827207">
              <w:marLeft w:val="-75"/>
              <w:marRight w:val="0"/>
              <w:marTop w:val="30"/>
              <w:marBottom w:val="30"/>
              <w:divBdr>
                <w:top w:val="none" w:sz="0" w:space="0" w:color="auto"/>
                <w:left w:val="none" w:sz="0" w:space="0" w:color="auto"/>
                <w:bottom w:val="none" w:sz="0" w:space="0" w:color="auto"/>
                <w:right w:val="none" w:sz="0" w:space="0" w:color="auto"/>
              </w:divBdr>
              <w:divsChild>
                <w:div w:id="172838510">
                  <w:marLeft w:val="0"/>
                  <w:marRight w:val="0"/>
                  <w:marTop w:val="0"/>
                  <w:marBottom w:val="0"/>
                  <w:divBdr>
                    <w:top w:val="none" w:sz="0" w:space="0" w:color="auto"/>
                    <w:left w:val="none" w:sz="0" w:space="0" w:color="auto"/>
                    <w:bottom w:val="none" w:sz="0" w:space="0" w:color="auto"/>
                    <w:right w:val="none" w:sz="0" w:space="0" w:color="auto"/>
                  </w:divBdr>
                  <w:divsChild>
                    <w:div w:id="1094592945">
                      <w:marLeft w:val="0"/>
                      <w:marRight w:val="0"/>
                      <w:marTop w:val="0"/>
                      <w:marBottom w:val="0"/>
                      <w:divBdr>
                        <w:top w:val="none" w:sz="0" w:space="0" w:color="auto"/>
                        <w:left w:val="none" w:sz="0" w:space="0" w:color="auto"/>
                        <w:bottom w:val="none" w:sz="0" w:space="0" w:color="auto"/>
                        <w:right w:val="none" w:sz="0" w:space="0" w:color="auto"/>
                      </w:divBdr>
                    </w:div>
                  </w:divsChild>
                </w:div>
                <w:div w:id="500584092">
                  <w:marLeft w:val="0"/>
                  <w:marRight w:val="0"/>
                  <w:marTop w:val="0"/>
                  <w:marBottom w:val="0"/>
                  <w:divBdr>
                    <w:top w:val="none" w:sz="0" w:space="0" w:color="auto"/>
                    <w:left w:val="none" w:sz="0" w:space="0" w:color="auto"/>
                    <w:bottom w:val="none" w:sz="0" w:space="0" w:color="auto"/>
                    <w:right w:val="none" w:sz="0" w:space="0" w:color="auto"/>
                  </w:divBdr>
                  <w:divsChild>
                    <w:div w:id="2126998890">
                      <w:marLeft w:val="0"/>
                      <w:marRight w:val="0"/>
                      <w:marTop w:val="0"/>
                      <w:marBottom w:val="0"/>
                      <w:divBdr>
                        <w:top w:val="none" w:sz="0" w:space="0" w:color="auto"/>
                        <w:left w:val="none" w:sz="0" w:space="0" w:color="auto"/>
                        <w:bottom w:val="none" w:sz="0" w:space="0" w:color="auto"/>
                        <w:right w:val="none" w:sz="0" w:space="0" w:color="auto"/>
                      </w:divBdr>
                    </w:div>
                  </w:divsChild>
                </w:div>
                <w:div w:id="685641370">
                  <w:marLeft w:val="0"/>
                  <w:marRight w:val="0"/>
                  <w:marTop w:val="0"/>
                  <w:marBottom w:val="0"/>
                  <w:divBdr>
                    <w:top w:val="none" w:sz="0" w:space="0" w:color="auto"/>
                    <w:left w:val="none" w:sz="0" w:space="0" w:color="auto"/>
                    <w:bottom w:val="none" w:sz="0" w:space="0" w:color="auto"/>
                    <w:right w:val="none" w:sz="0" w:space="0" w:color="auto"/>
                  </w:divBdr>
                  <w:divsChild>
                    <w:div w:id="2057510561">
                      <w:marLeft w:val="0"/>
                      <w:marRight w:val="0"/>
                      <w:marTop w:val="0"/>
                      <w:marBottom w:val="0"/>
                      <w:divBdr>
                        <w:top w:val="none" w:sz="0" w:space="0" w:color="auto"/>
                        <w:left w:val="none" w:sz="0" w:space="0" w:color="auto"/>
                        <w:bottom w:val="none" w:sz="0" w:space="0" w:color="auto"/>
                        <w:right w:val="none" w:sz="0" w:space="0" w:color="auto"/>
                      </w:divBdr>
                    </w:div>
                  </w:divsChild>
                </w:div>
                <w:div w:id="1009871958">
                  <w:marLeft w:val="0"/>
                  <w:marRight w:val="0"/>
                  <w:marTop w:val="0"/>
                  <w:marBottom w:val="0"/>
                  <w:divBdr>
                    <w:top w:val="none" w:sz="0" w:space="0" w:color="auto"/>
                    <w:left w:val="none" w:sz="0" w:space="0" w:color="auto"/>
                    <w:bottom w:val="none" w:sz="0" w:space="0" w:color="auto"/>
                    <w:right w:val="none" w:sz="0" w:space="0" w:color="auto"/>
                  </w:divBdr>
                  <w:divsChild>
                    <w:div w:id="82384729">
                      <w:marLeft w:val="0"/>
                      <w:marRight w:val="0"/>
                      <w:marTop w:val="0"/>
                      <w:marBottom w:val="0"/>
                      <w:divBdr>
                        <w:top w:val="none" w:sz="0" w:space="0" w:color="auto"/>
                        <w:left w:val="none" w:sz="0" w:space="0" w:color="auto"/>
                        <w:bottom w:val="none" w:sz="0" w:space="0" w:color="auto"/>
                        <w:right w:val="none" w:sz="0" w:space="0" w:color="auto"/>
                      </w:divBdr>
                    </w:div>
                  </w:divsChild>
                </w:div>
                <w:div w:id="1421100426">
                  <w:marLeft w:val="0"/>
                  <w:marRight w:val="0"/>
                  <w:marTop w:val="0"/>
                  <w:marBottom w:val="0"/>
                  <w:divBdr>
                    <w:top w:val="none" w:sz="0" w:space="0" w:color="auto"/>
                    <w:left w:val="none" w:sz="0" w:space="0" w:color="auto"/>
                    <w:bottom w:val="none" w:sz="0" w:space="0" w:color="auto"/>
                    <w:right w:val="none" w:sz="0" w:space="0" w:color="auto"/>
                  </w:divBdr>
                  <w:divsChild>
                    <w:div w:id="1503740898">
                      <w:marLeft w:val="0"/>
                      <w:marRight w:val="0"/>
                      <w:marTop w:val="0"/>
                      <w:marBottom w:val="0"/>
                      <w:divBdr>
                        <w:top w:val="none" w:sz="0" w:space="0" w:color="auto"/>
                        <w:left w:val="none" w:sz="0" w:space="0" w:color="auto"/>
                        <w:bottom w:val="none" w:sz="0" w:space="0" w:color="auto"/>
                        <w:right w:val="none" w:sz="0" w:space="0" w:color="auto"/>
                      </w:divBdr>
                    </w:div>
                  </w:divsChild>
                </w:div>
                <w:div w:id="1525436178">
                  <w:marLeft w:val="0"/>
                  <w:marRight w:val="0"/>
                  <w:marTop w:val="0"/>
                  <w:marBottom w:val="0"/>
                  <w:divBdr>
                    <w:top w:val="none" w:sz="0" w:space="0" w:color="auto"/>
                    <w:left w:val="none" w:sz="0" w:space="0" w:color="auto"/>
                    <w:bottom w:val="none" w:sz="0" w:space="0" w:color="auto"/>
                    <w:right w:val="none" w:sz="0" w:space="0" w:color="auto"/>
                  </w:divBdr>
                  <w:divsChild>
                    <w:div w:id="2020885658">
                      <w:marLeft w:val="0"/>
                      <w:marRight w:val="0"/>
                      <w:marTop w:val="0"/>
                      <w:marBottom w:val="0"/>
                      <w:divBdr>
                        <w:top w:val="none" w:sz="0" w:space="0" w:color="auto"/>
                        <w:left w:val="none" w:sz="0" w:space="0" w:color="auto"/>
                        <w:bottom w:val="none" w:sz="0" w:space="0" w:color="auto"/>
                        <w:right w:val="none" w:sz="0" w:space="0" w:color="auto"/>
                      </w:divBdr>
                    </w:div>
                  </w:divsChild>
                </w:div>
                <w:div w:id="1635210708">
                  <w:marLeft w:val="0"/>
                  <w:marRight w:val="0"/>
                  <w:marTop w:val="0"/>
                  <w:marBottom w:val="0"/>
                  <w:divBdr>
                    <w:top w:val="none" w:sz="0" w:space="0" w:color="auto"/>
                    <w:left w:val="none" w:sz="0" w:space="0" w:color="auto"/>
                    <w:bottom w:val="none" w:sz="0" w:space="0" w:color="auto"/>
                    <w:right w:val="none" w:sz="0" w:space="0" w:color="auto"/>
                  </w:divBdr>
                  <w:divsChild>
                    <w:div w:id="396169393">
                      <w:marLeft w:val="0"/>
                      <w:marRight w:val="0"/>
                      <w:marTop w:val="0"/>
                      <w:marBottom w:val="0"/>
                      <w:divBdr>
                        <w:top w:val="none" w:sz="0" w:space="0" w:color="auto"/>
                        <w:left w:val="none" w:sz="0" w:space="0" w:color="auto"/>
                        <w:bottom w:val="none" w:sz="0" w:space="0" w:color="auto"/>
                        <w:right w:val="none" w:sz="0" w:space="0" w:color="auto"/>
                      </w:divBdr>
                    </w:div>
                  </w:divsChild>
                </w:div>
                <w:div w:id="1659845120">
                  <w:marLeft w:val="0"/>
                  <w:marRight w:val="0"/>
                  <w:marTop w:val="0"/>
                  <w:marBottom w:val="0"/>
                  <w:divBdr>
                    <w:top w:val="none" w:sz="0" w:space="0" w:color="auto"/>
                    <w:left w:val="none" w:sz="0" w:space="0" w:color="auto"/>
                    <w:bottom w:val="none" w:sz="0" w:space="0" w:color="auto"/>
                    <w:right w:val="none" w:sz="0" w:space="0" w:color="auto"/>
                  </w:divBdr>
                  <w:divsChild>
                    <w:div w:id="768502187">
                      <w:marLeft w:val="0"/>
                      <w:marRight w:val="0"/>
                      <w:marTop w:val="0"/>
                      <w:marBottom w:val="0"/>
                      <w:divBdr>
                        <w:top w:val="none" w:sz="0" w:space="0" w:color="auto"/>
                        <w:left w:val="none" w:sz="0" w:space="0" w:color="auto"/>
                        <w:bottom w:val="none" w:sz="0" w:space="0" w:color="auto"/>
                        <w:right w:val="none" w:sz="0" w:space="0" w:color="auto"/>
                      </w:divBdr>
                    </w:div>
                  </w:divsChild>
                </w:div>
                <w:div w:id="1809665731">
                  <w:marLeft w:val="0"/>
                  <w:marRight w:val="0"/>
                  <w:marTop w:val="0"/>
                  <w:marBottom w:val="0"/>
                  <w:divBdr>
                    <w:top w:val="none" w:sz="0" w:space="0" w:color="auto"/>
                    <w:left w:val="none" w:sz="0" w:space="0" w:color="auto"/>
                    <w:bottom w:val="none" w:sz="0" w:space="0" w:color="auto"/>
                    <w:right w:val="none" w:sz="0" w:space="0" w:color="auto"/>
                  </w:divBdr>
                  <w:divsChild>
                    <w:div w:id="1436901479">
                      <w:marLeft w:val="0"/>
                      <w:marRight w:val="0"/>
                      <w:marTop w:val="0"/>
                      <w:marBottom w:val="0"/>
                      <w:divBdr>
                        <w:top w:val="none" w:sz="0" w:space="0" w:color="auto"/>
                        <w:left w:val="none" w:sz="0" w:space="0" w:color="auto"/>
                        <w:bottom w:val="none" w:sz="0" w:space="0" w:color="auto"/>
                        <w:right w:val="none" w:sz="0" w:space="0" w:color="auto"/>
                      </w:divBdr>
                    </w:div>
                  </w:divsChild>
                </w:div>
                <w:div w:id="1814983999">
                  <w:marLeft w:val="0"/>
                  <w:marRight w:val="0"/>
                  <w:marTop w:val="0"/>
                  <w:marBottom w:val="0"/>
                  <w:divBdr>
                    <w:top w:val="none" w:sz="0" w:space="0" w:color="auto"/>
                    <w:left w:val="none" w:sz="0" w:space="0" w:color="auto"/>
                    <w:bottom w:val="none" w:sz="0" w:space="0" w:color="auto"/>
                    <w:right w:val="none" w:sz="0" w:space="0" w:color="auto"/>
                  </w:divBdr>
                  <w:divsChild>
                    <w:div w:id="748768668">
                      <w:marLeft w:val="0"/>
                      <w:marRight w:val="0"/>
                      <w:marTop w:val="0"/>
                      <w:marBottom w:val="0"/>
                      <w:divBdr>
                        <w:top w:val="none" w:sz="0" w:space="0" w:color="auto"/>
                        <w:left w:val="none" w:sz="0" w:space="0" w:color="auto"/>
                        <w:bottom w:val="none" w:sz="0" w:space="0" w:color="auto"/>
                        <w:right w:val="none" w:sz="0" w:space="0" w:color="auto"/>
                      </w:divBdr>
                    </w:div>
                  </w:divsChild>
                </w:div>
                <w:div w:id="2021347070">
                  <w:marLeft w:val="0"/>
                  <w:marRight w:val="0"/>
                  <w:marTop w:val="0"/>
                  <w:marBottom w:val="0"/>
                  <w:divBdr>
                    <w:top w:val="none" w:sz="0" w:space="0" w:color="auto"/>
                    <w:left w:val="none" w:sz="0" w:space="0" w:color="auto"/>
                    <w:bottom w:val="none" w:sz="0" w:space="0" w:color="auto"/>
                    <w:right w:val="none" w:sz="0" w:space="0" w:color="auto"/>
                  </w:divBdr>
                  <w:divsChild>
                    <w:div w:id="1510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39401">
      <w:bodyDiv w:val="1"/>
      <w:marLeft w:val="0"/>
      <w:marRight w:val="0"/>
      <w:marTop w:val="0"/>
      <w:marBottom w:val="0"/>
      <w:divBdr>
        <w:top w:val="none" w:sz="0" w:space="0" w:color="auto"/>
        <w:left w:val="none" w:sz="0" w:space="0" w:color="auto"/>
        <w:bottom w:val="none" w:sz="0" w:space="0" w:color="auto"/>
        <w:right w:val="none" w:sz="0" w:space="0" w:color="auto"/>
      </w:divBdr>
    </w:div>
    <w:div w:id="531380286">
      <w:bodyDiv w:val="1"/>
      <w:marLeft w:val="0"/>
      <w:marRight w:val="0"/>
      <w:marTop w:val="0"/>
      <w:marBottom w:val="0"/>
      <w:divBdr>
        <w:top w:val="none" w:sz="0" w:space="0" w:color="auto"/>
        <w:left w:val="none" w:sz="0" w:space="0" w:color="auto"/>
        <w:bottom w:val="none" w:sz="0" w:space="0" w:color="auto"/>
        <w:right w:val="none" w:sz="0" w:space="0" w:color="auto"/>
      </w:divBdr>
    </w:div>
    <w:div w:id="556472296">
      <w:bodyDiv w:val="1"/>
      <w:marLeft w:val="0"/>
      <w:marRight w:val="0"/>
      <w:marTop w:val="0"/>
      <w:marBottom w:val="0"/>
      <w:divBdr>
        <w:top w:val="none" w:sz="0" w:space="0" w:color="auto"/>
        <w:left w:val="none" w:sz="0" w:space="0" w:color="auto"/>
        <w:bottom w:val="none" w:sz="0" w:space="0" w:color="auto"/>
        <w:right w:val="none" w:sz="0" w:space="0" w:color="auto"/>
      </w:divBdr>
    </w:div>
    <w:div w:id="573587924">
      <w:bodyDiv w:val="1"/>
      <w:marLeft w:val="0"/>
      <w:marRight w:val="0"/>
      <w:marTop w:val="0"/>
      <w:marBottom w:val="0"/>
      <w:divBdr>
        <w:top w:val="none" w:sz="0" w:space="0" w:color="auto"/>
        <w:left w:val="none" w:sz="0" w:space="0" w:color="auto"/>
        <w:bottom w:val="none" w:sz="0" w:space="0" w:color="auto"/>
        <w:right w:val="none" w:sz="0" w:space="0" w:color="auto"/>
      </w:divBdr>
    </w:div>
    <w:div w:id="588152245">
      <w:bodyDiv w:val="1"/>
      <w:marLeft w:val="0"/>
      <w:marRight w:val="0"/>
      <w:marTop w:val="0"/>
      <w:marBottom w:val="0"/>
      <w:divBdr>
        <w:top w:val="none" w:sz="0" w:space="0" w:color="auto"/>
        <w:left w:val="none" w:sz="0" w:space="0" w:color="auto"/>
        <w:bottom w:val="none" w:sz="0" w:space="0" w:color="auto"/>
        <w:right w:val="none" w:sz="0" w:space="0" w:color="auto"/>
      </w:divBdr>
    </w:div>
    <w:div w:id="667296035">
      <w:bodyDiv w:val="1"/>
      <w:marLeft w:val="0"/>
      <w:marRight w:val="0"/>
      <w:marTop w:val="0"/>
      <w:marBottom w:val="0"/>
      <w:divBdr>
        <w:top w:val="none" w:sz="0" w:space="0" w:color="auto"/>
        <w:left w:val="none" w:sz="0" w:space="0" w:color="auto"/>
        <w:bottom w:val="none" w:sz="0" w:space="0" w:color="auto"/>
        <w:right w:val="none" w:sz="0" w:space="0" w:color="auto"/>
      </w:divBdr>
    </w:div>
    <w:div w:id="712001318">
      <w:bodyDiv w:val="1"/>
      <w:marLeft w:val="0"/>
      <w:marRight w:val="0"/>
      <w:marTop w:val="0"/>
      <w:marBottom w:val="0"/>
      <w:divBdr>
        <w:top w:val="none" w:sz="0" w:space="0" w:color="auto"/>
        <w:left w:val="none" w:sz="0" w:space="0" w:color="auto"/>
        <w:bottom w:val="none" w:sz="0" w:space="0" w:color="auto"/>
        <w:right w:val="none" w:sz="0" w:space="0" w:color="auto"/>
      </w:divBdr>
    </w:div>
    <w:div w:id="834882343">
      <w:bodyDiv w:val="1"/>
      <w:marLeft w:val="0"/>
      <w:marRight w:val="0"/>
      <w:marTop w:val="0"/>
      <w:marBottom w:val="0"/>
      <w:divBdr>
        <w:top w:val="none" w:sz="0" w:space="0" w:color="auto"/>
        <w:left w:val="none" w:sz="0" w:space="0" w:color="auto"/>
        <w:bottom w:val="none" w:sz="0" w:space="0" w:color="auto"/>
        <w:right w:val="none" w:sz="0" w:space="0" w:color="auto"/>
      </w:divBdr>
    </w:div>
    <w:div w:id="854418164">
      <w:bodyDiv w:val="1"/>
      <w:marLeft w:val="0"/>
      <w:marRight w:val="0"/>
      <w:marTop w:val="0"/>
      <w:marBottom w:val="0"/>
      <w:divBdr>
        <w:top w:val="none" w:sz="0" w:space="0" w:color="auto"/>
        <w:left w:val="none" w:sz="0" w:space="0" w:color="auto"/>
        <w:bottom w:val="none" w:sz="0" w:space="0" w:color="auto"/>
        <w:right w:val="none" w:sz="0" w:space="0" w:color="auto"/>
      </w:divBdr>
      <w:divsChild>
        <w:div w:id="1148085890">
          <w:marLeft w:val="0"/>
          <w:marRight w:val="0"/>
          <w:marTop w:val="0"/>
          <w:marBottom w:val="0"/>
          <w:divBdr>
            <w:top w:val="none" w:sz="0" w:space="0" w:color="auto"/>
            <w:left w:val="none" w:sz="0" w:space="0" w:color="auto"/>
            <w:bottom w:val="none" w:sz="0" w:space="0" w:color="auto"/>
            <w:right w:val="none" w:sz="0" w:space="0" w:color="auto"/>
          </w:divBdr>
          <w:divsChild>
            <w:div w:id="19615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6149">
      <w:bodyDiv w:val="1"/>
      <w:marLeft w:val="0"/>
      <w:marRight w:val="0"/>
      <w:marTop w:val="0"/>
      <w:marBottom w:val="0"/>
      <w:divBdr>
        <w:top w:val="none" w:sz="0" w:space="0" w:color="auto"/>
        <w:left w:val="none" w:sz="0" w:space="0" w:color="auto"/>
        <w:bottom w:val="none" w:sz="0" w:space="0" w:color="auto"/>
        <w:right w:val="none" w:sz="0" w:space="0" w:color="auto"/>
      </w:divBdr>
    </w:div>
    <w:div w:id="951009324">
      <w:bodyDiv w:val="1"/>
      <w:marLeft w:val="0"/>
      <w:marRight w:val="0"/>
      <w:marTop w:val="0"/>
      <w:marBottom w:val="0"/>
      <w:divBdr>
        <w:top w:val="none" w:sz="0" w:space="0" w:color="auto"/>
        <w:left w:val="none" w:sz="0" w:space="0" w:color="auto"/>
        <w:bottom w:val="none" w:sz="0" w:space="0" w:color="auto"/>
        <w:right w:val="none" w:sz="0" w:space="0" w:color="auto"/>
      </w:divBdr>
    </w:div>
    <w:div w:id="992836393">
      <w:bodyDiv w:val="1"/>
      <w:marLeft w:val="0"/>
      <w:marRight w:val="0"/>
      <w:marTop w:val="0"/>
      <w:marBottom w:val="0"/>
      <w:divBdr>
        <w:top w:val="none" w:sz="0" w:space="0" w:color="auto"/>
        <w:left w:val="none" w:sz="0" w:space="0" w:color="auto"/>
        <w:bottom w:val="none" w:sz="0" w:space="0" w:color="auto"/>
        <w:right w:val="none" w:sz="0" w:space="0" w:color="auto"/>
      </w:divBdr>
    </w:div>
    <w:div w:id="1045714342">
      <w:bodyDiv w:val="1"/>
      <w:marLeft w:val="0"/>
      <w:marRight w:val="0"/>
      <w:marTop w:val="0"/>
      <w:marBottom w:val="0"/>
      <w:divBdr>
        <w:top w:val="none" w:sz="0" w:space="0" w:color="auto"/>
        <w:left w:val="none" w:sz="0" w:space="0" w:color="auto"/>
        <w:bottom w:val="none" w:sz="0" w:space="0" w:color="auto"/>
        <w:right w:val="none" w:sz="0" w:space="0" w:color="auto"/>
      </w:divBdr>
    </w:div>
    <w:div w:id="1058748380">
      <w:bodyDiv w:val="1"/>
      <w:marLeft w:val="0"/>
      <w:marRight w:val="0"/>
      <w:marTop w:val="0"/>
      <w:marBottom w:val="0"/>
      <w:divBdr>
        <w:top w:val="none" w:sz="0" w:space="0" w:color="auto"/>
        <w:left w:val="none" w:sz="0" w:space="0" w:color="auto"/>
        <w:bottom w:val="none" w:sz="0" w:space="0" w:color="auto"/>
        <w:right w:val="none" w:sz="0" w:space="0" w:color="auto"/>
      </w:divBdr>
    </w:div>
    <w:div w:id="1076779478">
      <w:bodyDiv w:val="1"/>
      <w:marLeft w:val="0"/>
      <w:marRight w:val="0"/>
      <w:marTop w:val="0"/>
      <w:marBottom w:val="0"/>
      <w:divBdr>
        <w:top w:val="none" w:sz="0" w:space="0" w:color="auto"/>
        <w:left w:val="none" w:sz="0" w:space="0" w:color="auto"/>
        <w:bottom w:val="none" w:sz="0" w:space="0" w:color="auto"/>
        <w:right w:val="none" w:sz="0" w:space="0" w:color="auto"/>
      </w:divBdr>
    </w:div>
    <w:div w:id="1094477066">
      <w:bodyDiv w:val="1"/>
      <w:marLeft w:val="0"/>
      <w:marRight w:val="0"/>
      <w:marTop w:val="0"/>
      <w:marBottom w:val="0"/>
      <w:divBdr>
        <w:top w:val="none" w:sz="0" w:space="0" w:color="auto"/>
        <w:left w:val="none" w:sz="0" w:space="0" w:color="auto"/>
        <w:bottom w:val="none" w:sz="0" w:space="0" w:color="auto"/>
        <w:right w:val="none" w:sz="0" w:space="0" w:color="auto"/>
      </w:divBdr>
    </w:div>
    <w:div w:id="1140734365">
      <w:bodyDiv w:val="1"/>
      <w:marLeft w:val="0"/>
      <w:marRight w:val="0"/>
      <w:marTop w:val="0"/>
      <w:marBottom w:val="0"/>
      <w:divBdr>
        <w:top w:val="none" w:sz="0" w:space="0" w:color="auto"/>
        <w:left w:val="none" w:sz="0" w:space="0" w:color="auto"/>
        <w:bottom w:val="none" w:sz="0" w:space="0" w:color="auto"/>
        <w:right w:val="none" w:sz="0" w:space="0" w:color="auto"/>
      </w:divBdr>
    </w:div>
    <w:div w:id="1177885318">
      <w:bodyDiv w:val="1"/>
      <w:marLeft w:val="0"/>
      <w:marRight w:val="0"/>
      <w:marTop w:val="0"/>
      <w:marBottom w:val="0"/>
      <w:divBdr>
        <w:top w:val="none" w:sz="0" w:space="0" w:color="auto"/>
        <w:left w:val="none" w:sz="0" w:space="0" w:color="auto"/>
        <w:bottom w:val="none" w:sz="0" w:space="0" w:color="auto"/>
        <w:right w:val="none" w:sz="0" w:space="0" w:color="auto"/>
      </w:divBdr>
    </w:div>
    <w:div w:id="1253127730">
      <w:bodyDiv w:val="1"/>
      <w:marLeft w:val="0"/>
      <w:marRight w:val="0"/>
      <w:marTop w:val="0"/>
      <w:marBottom w:val="0"/>
      <w:divBdr>
        <w:top w:val="none" w:sz="0" w:space="0" w:color="auto"/>
        <w:left w:val="none" w:sz="0" w:space="0" w:color="auto"/>
        <w:bottom w:val="none" w:sz="0" w:space="0" w:color="auto"/>
        <w:right w:val="none" w:sz="0" w:space="0" w:color="auto"/>
      </w:divBdr>
    </w:div>
    <w:div w:id="1442989041">
      <w:bodyDiv w:val="1"/>
      <w:marLeft w:val="0"/>
      <w:marRight w:val="0"/>
      <w:marTop w:val="0"/>
      <w:marBottom w:val="0"/>
      <w:divBdr>
        <w:top w:val="none" w:sz="0" w:space="0" w:color="auto"/>
        <w:left w:val="none" w:sz="0" w:space="0" w:color="auto"/>
        <w:bottom w:val="none" w:sz="0" w:space="0" w:color="auto"/>
        <w:right w:val="none" w:sz="0" w:space="0" w:color="auto"/>
      </w:divBdr>
    </w:div>
    <w:div w:id="1526938111">
      <w:bodyDiv w:val="1"/>
      <w:marLeft w:val="0"/>
      <w:marRight w:val="0"/>
      <w:marTop w:val="0"/>
      <w:marBottom w:val="0"/>
      <w:divBdr>
        <w:top w:val="none" w:sz="0" w:space="0" w:color="auto"/>
        <w:left w:val="none" w:sz="0" w:space="0" w:color="auto"/>
        <w:bottom w:val="none" w:sz="0" w:space="0" w:color="auto"/>
        <w:right w:val="none" w:sz="0" w:space="0" w:color="auto"/>
      </w:divBdr>
    </w:div>
    <w:div w:id="1625694151">
      <w:bodyDiv w:val="1"/>
      <w:marLeft w:val="0"/>
      <w:marRight w:val="0"/>
      <w:marTop w:val="0"/>
      <w:marBottom w:val="0"/>
      <w:divBdr>
        <w:top w:val="none" w:sz="0" w:space="0" w:color="auto"/>
        <w:left w:val="none" w:sz="0" w:space="0" w:color="auto"/>
        <w:bottom w:val="none" w:sz="0" w:space="0" w:color="auto"/>
        <w:right w:val="none" w:sz="0" w:space="0" w:color="auto"/>
      </w:divBdr>
    </w:div>
    <w:div w:id="1709991611">
      <w:bodyDiv w:val="1"/>
      <w:marLeft w:val="0"/>
      <w:marRight w:val="0"/>
      <w:marTop w:val="0"/>
      <w:marBottom w:val="0"/>
      <w:divBdr>
        <w:top w:val="none" w:sz="0" w:space="0" w:color="auto"/>
        <w:left w:val="none" w:sz="0" w:space="0" w:color="auto"/>
        <w:bottom w:val="none" w:sz="0" w:space="0" w:color="auto"/>
        <w:right w:val="none" w:sz="0" w:space="0" w:color="auto"/>
      </w:divBdr>
      <w:divsChild>
        <w:div w:id="501047065">
          <w:marLeft w:val="0"/>
          <w:marRight w:val="0"/>
          <w:marTop w:val="0"/>
          <w:marBottom w:val="0"/>
          <w:divBdr>
            <w:top w:val="none" w:sz="0" w:space="0" w:color="auto"/>
            <w:left w:val="none" w:sz="0" w:space="0" w:color="auto"/>
            <w:bottom w:val="none" w:sz="0" w:space="0" w:color="auto"/>
            <w:right w:val="none" w:sz="0" w:space="0" w:color="auto"/>
          </w:divBdr>
        </w:div>
        <w:div w:id="1710035449">
          <w:marLeft w:val="0"/>
          <w:marRight w:val="0"/>
          <w:marTop w:val="0"/>
          <w:marBottom w:val="0"/>
          <w:divBdr>
            <w:top w:val="none" w:sz="0" w:space="0" w:color="auto"/>
            <w:left w:val="none" w:sz="0" w:space="0" w:color="auto"/>
            <w:bottom w:val="none" w:sz="0" w:space="0" w:color="auto"/>
            <w:right w:val="none" w:sz="0" w:space="0" w:color="auto"/>
          </w:divBdr>
          <w:divsChild>
            <w:div w:id="912544299">
              <w:marLeft w:val="-75"/>
              <w:marRight w:val="0"/>
              <w:marTop w:val="30"/>
              <w:marBottom w:val="30"/>
              <w:divBdr>
                <w:top w:val="none" w:sz="0" w:space="0" w:color="auto"/>
                <w:left w:val="none" w:sz="0" w:space="0" w:color="auto"/>
                <w:bottom w:val="none" w:sz="0" w:space="0" w:color="auto"/>
                <w:right w:val="none" w:sz="0" w:space="0" w:color="auto"/>
              </w:divBdr>
              <w:divsChild>
                <w:div w:id="473984732">
                  <w:marLeft w:val="0"/>
                  <w:marRight w:val="0"/>
                  <w:marTop w:val="0"/>
                  <w:marBottom w:val="0"/>
                  <w:divBdr>
                    <w:top w:val="none" w:sz="0" w:space="0" w:color="auto"/>
                    <w:left w:val="none" w:sz="0" w:space="0" w:color="auto"/>
                    <w:bottom w:val="none" w:sz="0" w:space="0" w:color="auto"/>
                    <w:right w:val="none" w:sz="0" w:space="0" w:color="auto"/>
                  </w:divBdr>
                  <w:divsChild>
                    <w:div w:id="426848777">
                      <w:marLeft w:val="0"/>
                      <w:marRight w:val="0"/>
                      <w:marTop w:val="0"/>
                      <w:marBottom w:val="0"/>
                      <w:divBdr>
                        <w:top w:val="none" w:sz="0" w:space="0" w:color="auto"/>
                        <w:left w:val="none" w:sz="0" w:space="0" w:color="auto"/>
                        <w:bottom w:val="none" w:sz="0" w:space="0" w:color="auto"/>
                        <w:right w:val="none" w:sz="0" w:space="0" w:color="auto"/>
                      </w:divBdr>
                    </w:div>
                  </w:divsChild>
                </w:div>
                <w:div w:id="1067846679">
                  <w:marLeft w:val="0"/>
                  <w:marRight w:val="0"/>
                  <w:marTop w:val="0"/>
                  <w:marBottom w:val="0"/>
                  <w:divBdr>
                    <w:top w:val="none" w:sz="0" w:space="0" w:color="auto"/>
                    <w:left w:val="none" w:sz="0" w:space="0" w:color="auto"/>
                    <w:bottom w:val="none" w:sz="0" w:space="0" w:color="auto"/>
                    <w:right w:val="none" w:sz="0" w:space="0" w:color="auto"/>
                  </w:divBdr>
                  <w:divsChild>
                    <w:div w:id="1481310793">
                      <w:marLeft w:val="0"/>
                      <w:marRight w:val="0"/>
                      <w:marTop w:val="0"/>
                      <w:marBottom w:val="0"/>
                      <w:divBdr>
                        <w:top w:val="none" w:sz="0" w:space="0" w:color="auto"/>
                        <w:left w:val="none" w:sz="0" w:space="0" w:color="auto"/>
                        <w:bottom w:val="none" w:sz="0" w:space="0" w:color="auto"/>
                        <w:right w:val="none" w:sz="0" w:space="0" w:color="auto"/>
                      </w:divBdr>
                    </w:div>
                  </w:divsChild>
                </w:div>
                <w:div w:id="1160658573">
                  <w:marLeft w:val="0"/>
                  <w:marRight w:val="0"/>
                  <w:marTop w:val="0"/>
                  <w:marBottom w:val="0"/>
                  <w:divBdr>
                    <w:top w:val="none" w:sz="0" w:space="0" w:color="auto"/>
                    <w:left w:val="none" w:sz="0" w:space="0" w:color="auto"/>
                    <w:bottom w:val="none" w:sz="0" w:space="0" w:color="auto"/>
                    <w:right w:val="none" w:sz="0" w:space="0" w:color="auto"/>
                  </w:divBdr>
                  <w:divsChild>
                    <w:div w:id="404959461">
                      <w:marLeft w:val="0"/>
                      <w:marRight w:val="0"/>
                      <w:marTop w:val="0"/>
                      <w:marBottom w:val="0"/>
                      <w:divBdr>
                        <w:top w:val="none" w:sz="0" w:space="0" w:color="auto"/>
                        <w:left w:val="none" w:sz="0" w:space="0" w:color="auto"/>
                        <w:bottom w:val="none" w:sz="0" w:space="0" w:color="auto"/>
                        <w:right w:val="none" w:sz="0" w:space="0" w:color="auto"/>
                      </w:divBdr>
                    </w:div>
                  </w:divsChild>
                </w:div>
                <w:div w:id="1211459882">
                  <w:marLeft w:val="0"/>
                  <w:marRight w:val="0"/>
                  <w:marTop w:val="0"/>
                  <w:marBottom w:val="0"/>
                  <w:divBdr>
                    <w:top w:val="none" w:sz="0" w:space="0" w:color="auto"/>
                    <w:left w:val="none" w:sz="0" w:space="0" w:color="auto"/>
                    <w:bottom w:val="none" w:sz="0" w:space="0" w:color="auto"/>
                    <w:right w:val="none" w:sz="0" w:space="0" w:color="auto"/>
                  </w:divBdr>
                  <w:divsChild>
                    <w:div w:id="1734230709">
                      <w:marLeft w:val="0"/>
                      <w:marRight w:val="0"/>
                      <w:marTop w:val="0"/>
                      <w:marBottom w:val="0"/>
                      <w:divBdr>
                        <w:top w:val="none" w:sz="0" w:space="0" w:color="auto"/>
                        <w:left w:val="none" w:sz="0" w:space="0" w:color="auto"/>
                        <w:bottom w:val="none" w:sz="0" w:space="0" w:color="auto"/>
                        <w:right w:val="none" w:sz="0" w:space="0" w:color="auto"/>
                      </w:divBdr>
                    </w:div>
                  </w:divsChild>
                </w:div>
                <w:div w:id="1265655695">
                  <w:marLeft w:val="0"/>
                  <w:marRight w:val="0"/>
                  <w:marTop w:val="0"/>
                  <w:marBottom w:val="0"/>
                  <w:divBdr>
                    <w:top w:val="none" w:sz="0" w:space="0" w:color="auto"/>
                    <w:left w:val="none" w:sz="0" w:space="0" w:color="auto"/>
                    <w:bottom w:val="none" w:sz="0" w:space="0" w:color="auto"/>
                    <w:right w:val="none" w:sz="0" w:space="0" w:color="auto"/>
                  </w:divBdr>
                  <w:divsChild>
                    <w:div w:id="1404066324">
                      <w:marLeft w:val="0"/>
                      <w:marRight w:val="0"/>
                      <w:marTop w:val="0"/>
                      <w:marBottom w:val="0"/>
                      <w:divBdr>
                        <w:top w:val="none" w:sz="0" w:space="0" w:color="auto"/>
                        <w:left w:val="none" w:sz="0" w:space="0" w:color="auto"/>
                        <w:bottom w:val="none" w:sz="0" w:space="0" w:color="auto"/>
                        <w:right w:val="none" w:sz="0" w:space="0" w:color="auto"/>
                      </w:divBdr>
                    </w:div>
                  </w:divsChild>
                </w:div>
                <w:div w:id="1282885152">
                  <w:marLeft w:val="0"/>
                  <w:marRight w:val="0"/>
                  <w:marTop w:val="0"/>
                  <w:marBottom w:val="0"/>
                  <w:divBdr>
                    <w:top w:val="none" w:sz="0" w:space="0" w:color="auto"/>
                    <w:left w:val="none" w:sz="0" w:space="0" w:color="auto"/>
                    <w:bottom w:val="none" w:sz="0" w:space="0" w:color="auto"/>
                    <w:right w:val="none" w:sz="0" w:space="0" w:color="auto"/>
                  </w:divBdr>
                  <w:divsChild>
                    <w:div w:id="1230532444">
                      <w:marLeft w:val="0"/>
                      <w:marRight w:val="0"/>
                      <w:marTop w:val="0"/>
                      <w:marBottom w:val="0"/>
                      <w:divBdr>
                        <w:top w:val="none" w:sz="0" w:space="0" w:color="auto"/>
                        <w:left w:val="none" w:sz="0" w:space="0" w:color="auto"/>
                        <w:bottom w:val="none" w:sz="0" w:space="0" w:color="auto"/>
                        <w:right w:val="none" w:sz="0" w:space="0" w:color="auto"/>
                      </w:divBdr>
                    </w:div>
                  </w:divsChild>
                </w:div>
                <w:div w:id="1341078745">
                  <w:marLeft w:val="0"/>
                  <w:marRight w:val="0"/>
                  <w:marTop w:val="0"/>
                  <w:marBottom w:val="0"/>
                  <w:divBdr>
                    <w:top w:val="none" w:sz="0" w:space="0" w:color="auto"/>
                    <w:left w:val="none" w:sz="0" w:space="0" w:color="auto"/>
                    <w:bottom w:val="none" w:sz="0" w:space="0" w:color="auto"/>
                    <w:right w:val="none" w:sz="0" w:space="0" w:color="auto"/>
                  </w:divBdr>
                  <w:divsChild>
                    <w:div w:id="426848949">
                      <w:marLeft w:val="0"/>
                      <w:marRight w:val="0"/>
                      <w:marTop w:val="0"/>
                      <w:marBottom w:val="0"/>
                      <w:divBdr>
                        <w:top w:val="none" w:sz="0" w:space="0" w:color="auto"/>
                        <w:left w:val="none" w:sz="0" w:space="0" w:color="auto"/>
                        <w:bottom w:val="none" w:sz="0" w:space="0" w:color="auto"/>
                        <w:right w:val="none" w:sz="0" w:space="0" w:color="auto"/>
                      </w:divBdr>
                    </w:div>
                  </w:divsChild>
                </w:div>
                <w:div w:id="1398431408">
                  <w:marLeft w:val="0"/>
                  <w:marRight w:val="0"/>
                  <w:marTop w:val="0"/>
                  <w:marBottom w:val="0"/>
                  <w:divBdr>
                    <w:top w:val="none" w:sz="0" w:space="0" w:color="auto"/>
                    <w:left w:val="none" w:sz="0" w:space="0" w:color="auto"/>
                    <w:bottom w:val="none" w:sz="0" w:space="0" w:color="auto"/>
                    <w:right w:val="none" w:sz="0" w:space="0" w:color="auto"/>
                  </w:divBdr>
                  <w:divsChild>
                    <w:div w:id="1478454395">
                      <w:marLeft w:val="0"/>
                      <w:marRight w:val="0"/>
                      <w:marTop w:val="0"/>
                      <w:marBottom w:val="0"/>
                      <w:divBdr>
                        <w:top w:val="none" w:sz="0" w:space="0" w:color="auto"/>
                        <w:left w:val="none" w:sz="0" w:space="0" w:color="auto"/>
                        <w:bottom w:val="none" w:sz="0" w:space="0" w:color="auto"/>
                        <w:right w:val="none" w:sz="0" w:space="0" w:color="auto"/>
                      </w:divBdr>
                    </w:div>
                  </w:divsChild>
                </w:div>
                <w:div w:id="1522622710">
                  <w:marLeft w:val="0"/>
                  <w:marRight w:val="0"/>
                  <w:marTop w:val="0"/>
                  <w:marBottom w:val="0"/>
                  <w:divBdr>
                    <w:top w:val="none" w:sz="0" w:space="0" w:color="auto"/>
                    <w:left w:val="none" w:sz="0" w:space="0" w:color="auto"/>
                    <w:bottom w:val="none" w:sz="0" w:space="0" w:color="auto"/>
                    <w:right w:val="none" w:sz="0" w:space="0" w:color="auto"/>
                  </w:divBdr>
                  <w:divsChild>
                    <w:div w:id="1840853848">
                      <w:marLeft w:val="0"/>
                      <w:marRight w:val="0"/>
                      <w:marTop w:val="0"/>
                      <w:marBottom w:val="0"/>
                      <w:divBdr>
                        <w:top w:val="none" w:sz="0" w:space="0" w:color="auto"/>
                        <w:left w:val="none" w:sz="0" w:space="0" w:color="auto"/>
                        <w:bottom w:val="none" w:sz="0" w:space="0" w:color="auto"/>
                        <w:right w:val="none" w:sz="0" w:space="0" w:color="auto"/>
                      </w:divBdr>
                    </w:div>
                  </w:divsChild>
                </w:div>
                <w:div w:id="1724059064">
                  <w:marLeft w:val="0"/>
                  <w:marRight w:val="0"/>
                  <w:marTop w:val="0"/>
                  <w:marBottom w:val="0"/>
                  <w:divBdr>
                    <w:top w:val="none" w:sz="0" w:space="0" w:color="auto"/>
                    <w:left w:val="none" w:sz="0" w:space="0" w:color="auto"/>
                    <w:bottom w:val="none" w:sz="0" w:space="0" w:color="auto"/>
                    <w:right w:val="none" w:sz="0" w:space="0" w:color="auto"/>
                  </w:divBdr>
                  <w:divsChild>
                    <w:div w:id="409087252">
                      <w:marLeft w:val="0"/>
                      <w:marRight w:val="0"/>
                      <w:marTop w:val="0"/>
                      <w:marBottom w:val="0"/>
                      <w:divBdr>
                        <w:top w:val="none" w:sz="0" w:space="0" w:color="auto"/>
                        <w:left w:val="none" w:sz="0" w:space="0" w:color="auto"/>
                        <w:bottom w:val="none" w:sz="0" w:space="0" w:color="auto"/>
                        <w:right w:val="none" w:sz="0" w:space="0" w:color="auto"/>
                      </w:divBdr>
                    </w:div>
                  </w:divsChild>
                </w:div>
                <w:div w:id="1880121740">
                  <w:marLeft w:val="0"/>
                  <w:marRight w:val="0"/>
                  <w:marTop w:val="0"/>
                  <w:marBottom w:val="0"/>
                  <w:divBdr>
                    <w:top w:val="none" w:sz="0" w:space="0" w:color="auto"/>
                    <w:left w:val="none" w:sz="0" w:space="0" w:color="auto"/>
                    <w:bottom w:val="none" w:sz="0" w:space="0" w:color="auto"/>
                    <w:right w:val="none" w:sz="0" w:space="0" w:color="auto"/>
                  </w:divBdr>
                  <w:divsChild>
                    <w:div w:id="8633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82283">
      <w:bodyDiv w:val="1"/>
      <w:marLeft w:val="0"/>
      <w:marRight w:val="0"/>
      <w:marTop w:val="0"/>
      <w:marBottom w:val="0"/>
      <w:divBdr>
        <w:top w:val="none" w:sz="0" w:space="0" w:color="auto"/>
        <w:left w:val="none" w:sz="0" w:space="0" w:color="auto"/>
        <w:bottom w:val="none" w:sz="0" w:space="0" w:color="auto"/>
        <w:right w:val="none" w:sz="0" w:space="0" w:color="auto"/>
      </w:divBdr>
    </w:div>
    <w:div w:id="1733501281">
      <w:bodyDiv w:val="1"/>
      <w:marLeft w:val="0"/>
      <w:marRight w:val="0"/>
      <w:marTop w:val="0"/>
      <w:marBottom w:val="0"/>
      <w:divBdr>
        <w:top w:val="none" w:sz="0" w:space="0" w:color="auto"/>
        <w:left w:val="none" w:sz="0" w:space="0" w:color="auto"/>
        <w:bottom w:val="none" w:sz="0" w:space="0" w:color="auto"/>
        <w:right w:val="none" w:sz="0" w:space="0" w:color="auto"/>
      </w:divBdr>
      <w:divsChild>
        <w:div w:id="358821441">
          <w:marLeft w:val="0"/>
          <w:marRight w:val="0"/>
          <w:marTop w:val="0"/>
          <w:marBottom w:val="0"/>
          <w:divBdr>
            <w:top w:val="none" w:sz="0" w:space="0" w:color="auto"/>
            <w:left w:val="none" w:sz="0" w:space="0" w:color="auto"/>
            <w:bottom w:val="none" w:sz="0" w:space="0" w:color="auto"/>
            <w:right w:val="none" w:sz="0" w:space="0" w:color="auto"/>
          </w:divBdr>
        </w:div>
        <w:div w:id="488253230">
          <w:marLeft w:val="0"/>
          <w:marRight w:val="0"/>
          <w:marTop w:val="0"/>
          <w:marBottom w:val="0"/>
          <w:divBdr>
            <w:top w:val="none" w:sz="0" w:space="0" w:color="auto"/>
            <w:left w:val="none" w:sz="0" w:space="0" w:color="auto"/>
            <w:bottom w:val="none" w:sz="0" w:space="0" w:color="auto"/>
            <w:right w:val="none" w:sz="0" w:space="0" w:color="auto"/>
          </w:divBdr>
        </w:div>
        <w:div w:id="2144887277">
          <w:marLeft w:val="0"/>
          <w:marRight w:val="0"/>
          <w:marTop w:val="0"/>
          <w:marBottom w:val="0"/>
          <w:divBdr>
            <w:top w:val="none" w:sz="0" w:space="0" w:color="auto"/>
            <w:left w:val="none" w:sz="0" w:space="0" w:color="auto"/>
            <w:bottom w:val="none" w:sz="0" w:space="0" w:color="auto"/>
            <w:right w:val="none" w:sz="0" w:space="0" w:color="auto"/>
          </w:divBdr>
        </w:div>
      </w:divsChild>
    </w:div>
    <w:div w:id="1775592393">
      <w:bodyDiv w:val="1"/>
      <w:marLeft w:val="0"/>
      <w:marRight w:val="0"/>
      <w:marTop w:val="0"/>
      <w:marBottom w:val="0"/>
      <w:divBdr>
        <w:top w:val="none" w:sz="0" w:space="0" w:color="auto"/>
        <w:left w:val="none" w:sz="0" w:space="0" w:color="auto"/>
        <w:bottom w:val="none" w:sz="0" w:space="0" w:color="auto"/>
        <w:right w:val="none" w:sz="0" w:space="0" w:color="auto"/>
      </w:divBdr>
    </w:div>
    <w:div w:id="1790203936">
      <w:bodyDiv w:val="1"/>
      <w:marLeft w:val="0"/>
      <w:marRight w:val="0"/>
      <w:marTop w:val="0"/>
      <w:marBottom w:val="0"/>
      <w:divBdr>
        <w:top w:val="none" w:sz="0" w:space="0" w:color="auto"/>
        <w:left w:val="none" w:sz="0" w:space="0" w:color="auto"/>
        <w:bottom w:val="none" w:sz="0" w:space="0" w:color="auto"/>
        <w:right w:val="none" w:sz="0" w:space="0" w:color="auto"/>
      </w:divBdr>
      <w:divsChild>
        <w:div w:id="307591726">
          <w:marLeft w:val="0"/>
          <w:marRight w:val="0"/>
          <w:marTop w:val="0"/>
          <w:marBottom w:val="0"/>
          <w:divBdr>
            <w:top w:val="none" w:sz="0" w:space="0" w:color="auto"/>
            <w:left w:val="none" w:sz="0" w:space="0" w:color="auto"/>
            <w:bottom w:val="none" w:sz="0" w:space="0" w:color="auto"/>
            <w:right w:val="none" w:sz="0" w:space="0" w:color="auto"/>
          </w:divBdr>
          <w:divsChild>
            <w:div w:id="810512562">
              <w:marLeft w:val="0"/>
              <w:marRight w:val="0"/>
              <w:marTop w:val="0"/>
              <w:marBottom w:val="0"/>
              <w:divBdr>
                <w:top w:val="none" w:sz="0" w:space="0" w:color="auto"/>
                <w:left w:val="none" w:sz="0" w:space="0" w:color="auto"/>
                <w:bottom w:val="none" w:sz="0" w:space="0" w:color="auto"/>
                <w:right w:val="none" w:sz="0" w:space="0" w:color="auto"/>
              </w:divBdr>
            </w:div>
          </w:divsChild>
        </w:div>
        <w:div w:id="495851910">
          <w:marLeft w:val="0"/>
          <w:marRight w:val="0"/>
          <w:marTop w:val="0"/>
          <w:marBottom w:val="0"/>
          <w:divBdr>
            <w:top w:val="none" w:sz="0" w:space="0" w:color="auto"/>
            <w:left w:val="none" w:sz="0" w:space="0" w:color="auto"/>
            <w:bottom w:val="none" w:sz="0" w:space="0" w:color="auto"/>
            <w:right w:val="none" w:sz="0" w:space="0" w:color="auto"/>
          </w:divBdr>
          <w:divsChild>
            <w:div w:id="1889418602">
              <w:marLeft w:val="0"/>
              <w:marRight w:val="0"/>
              <w:marTop w:val="0"/>
              <w:marBottom w:val="0"/>
              <w:divBdr>
                <w:top w:val="none" w:sz="0" w:space="0" w:color="auto"/>
                <w:left w:val="none" w:sz="0" w:space="0" w:color="auto"/>
                <w:bottom w:val="none" w:sz="0" w:space="0" w:color="auto"/>
                <w:right w:val="none" w:sz="0" w:space="0" w:color="auto"/>
              </w:divBdr>
            </w:div>
          </w:divsChild>
        </w:div>
        <w:div w:id="529881411">
          <w:marLeft w:val="0"/>
          <w:marRight w:val="0"/>
          <w:marTop w:val="0"/>
          <w:marBottom w:val="0"/>
          <w:divBdr>
            <w:top w:val="none" w:sz="0" w:space="0" w:color="auto"/>
            <w:left w:val="none" w:sz="0" w:space="0" w:color="auto"/>
            <w:bottom w:val="none" w:sz="0" w:space="0" w:color="auto"/>
            <w:right w:val="none" w:sz="0" w:space="0" w:color="auto"/>
          </w:divBdr>
          <w:divsChild>
            <w:div w:id="1026446299">
              <w:marLeft w:val="0"/>
              <w:marRight w:val="0"/>
              <w:marTop w:val="0"/>
              <w:marBottom w:val="0"/>
              <w:divBdr>
                <w:top w:val="none" w:sz="0" w:space="0" w:color="auto"/>
                <w:left w:val="none" w:sz="0" w:space="0" w:color="auto"/>
                <w:bottom w:val="none" w:sz="0" w:space="0" w:color="auto"/>
                <w:right w:val="none" w:sz="0" w:space="0" w:color="auto"/>
              </w:divBdr>
            </w:div>
          </w:divsChild>
        </w:div>
        <w:div w:id="565840732">
          <w:marLeft w:val="0"/>
          <w:marRight w:val="0"/>
          <w:marTop w:val="0"/>
          <w:marBottom w:val="0"/>
          <w:divBdr>
            <w:top w:val="none" w:sz="0" w:space="0" w:color="auto"/>
            <w:left w:val="none" w:sz="0" w:space="0" w:color="auto"/>
            <w:bottom w:val="none" w:sz="0" w:space="0" w:color="auto"/>
            <w:right w:val="none" w:sz="0" w:space="0" w:color="auto"/>
          </w:divBdr>
          <w:divsChild>
            <w:div w:id="1698852516">
              <w:marLeft w:val="0"/>
              <w:marRight w:val="0"/>
              <w:marTop w:val="0"/>
              <w:marBottom w:val="0"/>
              <w:divBdr>
                <w:top w:val="none" w:sz="0" w:space="0" w:color="auto"/>
                <w:left w:val="none" w:sz="0" w:space="0" w:color="auto"/>
                <w:bottom w:val="none" w:sz="0" w:space="0" w:color="auto"/>
                <w:right w:val="none" w:sz="0" w:space="0" w:color="auto"/>
              </w:divBdr>
            </w:div>
          </w:divsChild>
        </w:div>
        <w:div w:id="644893570">
          <w:marLeft w:val="0"/>
          <w:marRight w:val="0"/>
          <w:marTop w:val="0"/>
          <w:marBottom w:val="0"/>
          <w:divBdr>
            <w:top w:val="none" w:sz="0" w:space="0" w:color="auto"/>
            <w:left w:val="none" w:sz="0" w:space="0" w:color="auto"/>
            <w:bottom w:val="none" w:sz="0" w:space="0" w:color="auto"/>
            <w:right w:val="none" w:sz="0" w:space="0" w:color="auto"/>
          </w:divBdr>
          <w:divsChild>
            <w:div w:id="1751386671">
              <w:marLeft w:val="0"/>
              <w:marRight w:val="0"/>
              <w:marTop w:val="0"/>
              <w:marBottom w:val="0"/>
              <w:divBdr>
                <w:top w:val="none" w:sz="0" w:space="0" w:color="auto"/>
                <w:left w:val="none" w:sz="0" w:space="0" w:color="auto"/>
                <w:bottom w:val="none" w:sz="0" w:space="0" w:color="auto"/>
                <w:right w:val="none" w:sz="0" w:space="0" w:color="auto"/>
              </w:divBdr>
            </w:div>
          </w:divsChild>
        </w:div>
        <w:div w:id="770664497">
          <w:marLeft w:val="0"/>
          <w:marRight w:val="0"/>
          <w:marTop w:val="0"/>
          <w:marBottom w:val="0"/>
          <w:divBdr>
            <w:top w:val="none" w:sz="0" w:space="0" w:color="auto"/>
            <w:left w:val="none" w:sz="0" w:space="0" w:color="auto"/>
            <w:bottom w:val="none" w:sz="0" w:space="0" w:color="auto"/>
            <w:right w:val="none" w:sz="0" w:space="0" w:color="auto"/>
          </w:divBdr>
          <w:divsChild>
            <w:div w:id="1356274834">
              <w:marLeft w:val="0"/>
              <w:marRight w:val="0"/>
              <w:marTop w:val="0"/>
              <w:marBottom w:val="0"/>
              <w:divBdr>
                <w:top w:val="none" w:sz="0" w:space="0" w:color="auto"/>
                <w:left w:val="none" w:sz="0" w:space="0" w:color="auto"/>
                <w:bottom w:val="none" w:sz="0" w:space="0" w:color="auto"/>
                <w:right w:val="none" w:sz="0" w:space="0" w:color="auto"/>
              </w:divBdr>
            </w:div>
          </w:divsChild>
        </w:div>
        <w:div w:id="786461225">
          <w:marLeft w:val="0"/>
          <w:marRight w:val="0"/>
          <w:marTop w:val="0"/>
          <w:marBottom w:val="0"/>
          <w:divBdr>
            <w:top w:val="none" w:sz="0" w:space="0" w:color="auto"/>
            <w:left w:val="none" w:sz="0" w:space="0" w:color="auto"/>
            <w:bottom w:val="none" w:sz="0" w:space="0" w:color="auto"/>
            <w:right w:val="none" w:sz="0" w:space="0" w:color="auto"/>
          </w:divBdr>
          <w:divsChild>
            <w:div w:id="2007584988">
              <w:marLeft w:val="0"/>
              <w:marRight w:val="0"/>
              <w:marTop w:val="0"/>
              <w:marBottom w:val="0"/>
              <w:divBdr>
                <w:top w:val="none" w:sz="0" w:space="0" w:color="auto"/>
                <w:left w:val="none" w:sz="0" w:space="0" w:color="auto"/>
                <w:bottom w:val="none" w:sz="0" w:space="0" w:color="auto"/>
                <w:right w:val="none" w:sz="0" w:space="0" w:color="auto"/>
              </w:divBdr>
            </w:div>
          </w:divsChild>
        </w:div>
        <w:div w:id="859245724">
          <w:marLeft w:val="0"/>
          <w:marRight w:val="0"/>
          <w:marTop w:val="0"/>
          <w:marBottom w:val="0"/>
          <w:divBdr>
            <w:top w:val="none" w:sz="0" w:space="0" w:color="auto"/>
            <w:left w:val="none" w:sz="0" w:space="0" w:color="auto"/>
            <w:bottom w:val="none" w:sz="0" w:space="0" w:color="auto"/>
            <w:right w:val="none" w:sz="0" w:space="0" w:color="auto"/>
          </w:divBdr>
          <w:divsChild>
            <w:div w:id="371003765">
              <w:marLeft w:val="0"/>
              <w:marRight w:val="0"/>
              <w:marTop w:val="0"/>
              <w:marBottom w:val="0"/>
              <w:divBdr>
                <w:top w:val="none" w:sz="0" w:space="0" w:color="auto"/>
                <w:left w:val="none" w:sz="0" w:space="0" w:color="auto"/>
                <w:bottom w:val="none" w:sz="0" w:space="0" w:color="auto"/>
                <w:right w:val="none" w:sz="0" w:space="0" w:color="auto"/>
              </w:divBdr>
            </w:div>
          </w:divsChild>
        </w:div>
        <w:div w:id="877087595">
          <w:marLeft w:val="0"/>
          <w:marRight w:val="0"/>
          <w:marTop w:val="0"/>
          <w:marBottom w:val="0"/>
          <w:divBdr>
            <w:top w:val="none" w:sz="0" w:space="0" w:color="auto"/>
            <w:left w:val="none" w:sz="0" w:space="0" w:color="auto"/>
            <w:bottom w:val="none" w:sz="0" w:space="0" w:color="auto"/>
            <w:right w:val="none" w:sz="0" w:space="0" w:color="auto"/>
          </w:divBdr>
          <w:divsChild>
            <w:div w:id="1470628929">
              <w:marLeft w:val="0"/>
              <w:marRight w:val="0"/>
              <w:marTop w:val="0"/>
              <w:marBottom w:val="0"/>
              <w:divBdr>
                <w:top w:val="none" w:sz="0" w:space="0" w:color="auto"/>
                <w:left w:val="none" w:sz="0" w:space="0" w:color="auto"/>
                <w:bottom w:val="none" w:sz="0" w:space="0" w:color="auto"/>
                <w:right w:val="none" w:sz="0" w:space="0" w:color="auto"/>
              </w:divBdr>
            </w:div>
          </w:divsChild>
        </w:div>
        <w:div w:id="993988378">
          <w:marLeft w:val="0"/>
          <w:marRight w:val="0"/>
          <w:marTop w:val="0"/>
          <w:marBottom w:val="0"/>
          <w:divBdr>
            <w:top w:val="none" w:sz="0" w:space="0" w:color="auto"/>
            <w:left w:val="none" w:sz="0" w:space="0" w:color="auto"/>
            <w:bottom w:val="none" w:sz="0" w:space="0" w:color="auto"/>
            <w:right w:val="none" w:sz="0" w:space="0" w:color="auto"/>
          </w:divBdr>
          <w:divsChild>
            <w:div w:id="213586380">
              <w:marLeft w:val="0"/>
              <w:marRight w:val="0"/>
              <w:marTop w:val="0"/>
              <w:marBottom w:val="0"/>
              <w:divBdr>
                <w:top w:val="none" w:sz="0" w:space="0" w:color="auto"/>
                <w:left w:val="none" w:sz="0" w:space="0" w:color="auto"/>
                <w:bottom w:val="none" w:sz="0" w:space="0" w:color="auto"/>
                <w:right w:val="none" w:sz="0" w:space="0" w:color="auto"/>
              </w:divBdr>
            </w:div>
          </w:divsChild>
        </w:div>
        <w:div w:id="1054936341">
          <w:marLeft w:val="0"/>
          <w:marRight w:val="0"/>
          <w:marTop w:val="0"/>
          <w:marBottom w:val="0"/>
          <w:divBdr>
            <w:top w:val="none" w:sz="0" w:space="0" w:color="auto"/>
            <w:left w:val="none" w:sz="0" w:space="0" w:color="auto"/>
            <w:bottom w:val="none" w:sz="0" w:space="0" w:color="auto"/>
            <w:right w:val="none" w:sz="0" w:space="0" w:color="auto"/>
          </w:divBdr>
          <w:divsChild>
            <w:div w:id="1780292298">
              <w:marLeft w:val="0"/>
              <w:marRight w:val="0"/>
              <w:marTop w:val="0"/>
              <w:marBottom w:val="0"/>
              <w:divBdr>
                <w:top w:val="none" w:sz="0" w:space="0" w:color="auto"/>
                <w:left w:val="none" w:sz="0" w:space="0" w:color="auto"/>
                <w:bottom w:val="none" w:sz="0" w:space="0" w:color="auto"/>
                <w:right w:val="none" w:sz="0" w:space="0" w:color="auto"/>
              </w:divBdr>
            </w:div>
          </w:divsChild>
        </w:div>
        <w:div w:id="1065952015">
          <w:marLeft w:val="0"/>
          <w:marRight w:val="0"/>
          <w:marTop w:val="0"/>
          <w:marBottom w:val="0"/>
          <w:divBdr>
            <w:top w:val="none" w:sz="0" w:space="0" w:color="auto"/>
            <w:left w:val="none" w:sz="0" w:space="0" w:color="auto"/>
            <w:bottom w:val="none" w:sz="0" w:space="0" w:color="auto"/>
            <w:right w:val="none" w:sz="0" w:space="0" w:color="auto"/>
          </w:divBdr>
          <w:divsChild>
            <w:div w:id="1508522567">
              <w:marLeft w:val="0"/>
              <w:marRight w:val="0"/>
              <w:marTop w:val="0"/>
              <w:marBottom w:val="0"/>
              <w:divBdr>
                <w:top w:val="none" w:sz="0" w:space="0" w:color="auto"/>
                <w:left w:val="none" w:sz="0" w:space="0" w:color="auto"/>
                <w:bottom w:val="none" w:sz="0" w:space="0" w:color="auto"/>
                <w:right w:val="none" w:sz="0" w:space="0" w:color="auto"/>
              </w:divBdr>
            </w:div>
          </w:divsChild>
        </w:div>
        <w:div w:id="1125612495">
          <w:marLeft w:val="0"/>
          <w:marRight w:val="0"/>
          <w:marTop w:val="0"/>
          <w:marBottom w:val="0"/>
          <w:divBdr>
            <w:top w:val="none" w:sz="0" w:space="0" w:color="auto"/>
            <w:left w:val="none" w:sz="0" w:space="0" w:color="auto"/>
            <w:bottom w:val="none" w:sz="0" w:space="0" w:color="auto"/>
            <w:right w:val="none" w:sz="0" w:space="0" w:color="auto"/>
          </w:divBdr>
          <w:divsChild>
            <w:div w:id="683826451">
              <w:marLeft w:val="0"/>
              <w:marRight w:val="0"/>
              <w:marTop w:val="0"/>
              <w:marBottom w:val="0"/>
              <w:divBdr>
                <w:top w:val="none" w:sz="0" w:space="0" w:color="auto"/>
                <w:left w:val="none" w:sz="0" w:space="0" w:color="auto"/>
                <w:bottom w:val="none" w:sz="0" w:space="0" w:color="auto"/>
                <w:right w:val="none" w:sz="0" w:space="0" w:color="auto"/>
              </w:divBdr>
            </w:div>
          </w:divsChild>
        </w:div>
        <w:div w:id="1139614623">
          <w:marLeft w:val="0"/>
          <w:marRight w:val="0"/>
          <w:marTop w:val="0"/>
          <w:marBottom w:val="0"/>
          <w:divBdr>
            <w:top w:val="none" w:sz="0" w:space="0" w:color="auto"/>
            <w:left w:val="none" w:sz="0" w:space="0" w:color="auto"/>
            <w:bottom w:val="none" w:sz="0" w:space="0" w:color="auto"/>
            <w:right w:val="none" w:sz="0" w:space="0" w:color="auto"/>
          </w:divBdr>
          <w:divsChild>
            <w:div w:id="1054890412">
              <w:marLeft w:val="0"/>
              <w:marRight w:val="0"/>
              <w:marTop w:val="0"/>
              <w:marBottom w:val="0"/>
              <w:divBdr>
                <w:top w:val="none" w:sz="0" w:space="0" w:color="auto"/>
                <w:left w:val="none" w:sz="0" w:space="0" w:color="auto"/>
                <w:bottom w:val="none" w:sz="0" w:space="0" w:color="auto"/>
                <w:right w:val="none" w:sz="0" w:space="0" w:color="auto"/>
              </w:divBdr>
            </w:div>
          </w:divsChild>
        </w:div>
        <w:div w:id="1366129485">
          <w:marLeft w:val="0"/>
          <w:marRight w:val="0"/>
          <w:marTop w:val="0"/>
          <w:marBottom w:val="0"/>
          <w:divBdr>
            <w:top w:val="none" w:sz="0" w:space="0" w:color="auto"/>
            <w:left w:val="none" w:sz="0" w:space="0" w:color="auto"/>
            <w:bottom w:val="none" w:sz="0" w:space="0" w:color="auto"/>
            <w:right w:val="none" w:sz="0" w:space="0" w:color="auto"/>
          </w:divBdr>
          <w:divsChild>
            <w:div w:id="38287486">
              <w:marLeft w:val="0"/>
              <w:marRight w:val="0"/>
              <w:marTop w:val="0"/>
              <w:marBottom w:val="0"/>
              <w:divBdr>
                <w:top w:val="none" w:sz="0" w:space="0" w:color="auto"/>
                <w:left w:val="none" w:sz="0" w:space="0" w:color="auto"/>
                <w:bottom w:val="none" w:sz="0" w:space="0" w:color="auto"/>
                <w:right w:val="none" w:sz="0" w:space="0" w:color="auto"/>
              </w:divBdr>
            </w:div>
          </w:divsChild>
        </w:div>
        <w:div w:id="1395473689">
          <w:marLeft w:val="0"/>
          <w:marRight w:val="0"/>
          <w:marTop w:val="0"/>
          <w:marBottom w:val="0"/>
          <w:divBdr>
            <w:top w:val="none" w:sz="0" w:space="0" w:color="auto"/>
            <w:left w:val="none" w:sz="0" w:space="0" w:color="auto"/>
            <w:bottom w:val="none" w:sz="0" w:space="0" w:color="auto"/>
            <w:right w:val="none" w:sz="0" w:space="0" w:color="auto"/>
          </w:divBdr>
          <w:divsChild>
            <w:div w:id="1265765989">
              <w:marLeft w:val="0"/>
              <w:marRight w:val="0"/>
              <w:marTop w:val="0"/>
              <w:marBottom w:val="0"/>
              <w:divBdr>
                <w:top w:val="none" w:sz="0" w:space="0" w:color="auto"/>
                <w:left w:val="none" w:sz="0" w:space="0" w:color="auto"/>
                <w:bottom w:val="none" w:sz="0" w:space="0" w:color="auto"/>
                <w:right w:val="none" w:sz="0" w:space="0" w:color="auto"/>
              </w:divBdr>
            </w:div>
          </w:divsChild>
        </w:div>
        <w:div w:id="1450317720">
          <w:marLeft w:val="0"/>
          <w:marRight w:val="0"/>
          <w:marTop w:val="0"/>
          <w:marBottom w:val="0"/>
          <w:divBdr>
            <w:top w:val="none" w:sz="0" w:space="0" w:color="auto"/>
            <w:left w:val="none" w:sz="0" w:space="0" w:color="auto"/>
            <w:bottom w:val="none" w:sz="0" w:space="0" w:color="auto"/>
            <w:right w:val="none" w:sz="0" w:space="0" w:color="auto"/>
          </w:divBdr>
          <w:divsChild>
            <w:div w:id="1702851294">
              <w:marLeft w:val="0"/>
              <w:marRight w:val="0"/>
              <w:marTop w:val="0"/>
              <w:marBottom w:val="0"/>
              <w:divBdr>
                <w:top w:val="none" w:sz="0" w:space="0" w:color="auto"/>
                <w:left w:val="none" w:sz="0" w:space="0" w:color="auto"/>
                <w:bottom w:val="none" w:sz="0" w:space="0" w:color="auto"/>
                <w:right w:val="none" w:sz="0" w:space="0" w:color="auto"/>
              </w:divBdr>
            </w:div>
          </w:divsChild>
        </w:div>
        <w:div w:id="1536576412">
          <w:marLeft w:val="0"/>
          <w:marRight w:val="0"/>
          <w:marTop w:val="0"/>
          <w:marBottom w:val="0"/>
          <w:divBdr>
            <w:top w:val="none" w:sz="0" w:space="0" w:color="auto"/>
            <w:left w:val="none" w:sz="0" w:space="0" w:color="auto"/>
            <w:bottom w:val="none" w:sz="0" w:space="0" w:color="auto"/>
            <w:right w:val="none" w:sz="0" w:space="0" w:color="auto"/>
          </w:divBdr>
          <w:divsChild>
            <w:div w:id="1906335906">
              <w:marLeft w:val="0"/>
              <w:marRight w:val="0"/>
              <w:marTop w:val="0"/>
              <w:marBottom w:val="0"/>
              <w:divBdr>
                <w:top w:val="none" w:sz="0" w:space="0" w:color="auto"/>
                <w:left w:val="none" w:sz="0" w:space="0" w:color="auto"/>
                <w:bottom w:val="none" w:sz="0" w:space="0" w:color="auto"/>
                <w:right w:val="none" w:sz="0" w:space="0" w:color="auto"/>
              </w:divBdr>
            </w:div>
          </w:divsChild>
        </w:div>
        <w:div w:id="1648167817">
          <w:marLeft w:val="0"/>
          <w:marRight w:val="0"/>
          <w:marTop w:val="0"/>
          <w:marBottom w:val="0"/>
          <w:divBdr>
            <w:top w:val="none" w:sz="0" w:space="0" w:color="auto"/>
            <w:left w:val="none" w:sz="0" w:space="0" w:color="auto"/>
            <w:bottom w:val="none" w:sz="0" w:space="0" w:color="auto"/>
            <w:right w:val="none" w:sz="0" w:space="0" w:color="auto"/>
          </w:divBdr>
          <w:divsChild>
            <w:div w:id="1975595598">
              <w:marLeft w:val="0"/>
              <w:marRight w:val="0"/>
              <w:marTop w:val="0"/>
              <w:marBottom w:val="0"/>
              <w:divBdr>
                <w:top w:val="none" w:sz="0" w:space="0" w:color="auto"/>
                <w:left w:val="none" w:sz="0" w:space="0" w:color="auto"/>
                <w:bottom w:val="none" w:sz="0" w:space="0" w:color="auto"/>
                <w:right w:val="none" w:sz="0" w:space="0" w:color="auto"/>
              </w:divBdr>
            </w:div>
          </w:divsChild>
        </w:div>
        <w:div w:id="1708329357">
          <w:marLeft w:val="0"/>
          <w:marRight w:val="0"/>
          <w:marTop w:val="0"/>
          <w:marBottom w:val="0"/>
          <w:divBdr>
            <w:top w:val="none" w:sz="0" w:space="0" w:color="auto"/>
            <w:left w:val="none" w:sz="0" w:space="0" w:color="auto"/>
            <w:bottom w:val="none" w:sz="0" w:space="0" w:color="auto"/>
            <w:right w:val="none" w:sz="0" w:space="0" w:color="auto"/>
          </w:divBdr>
          <w:divsChild>
            <w:div w:id="460656637">
              <w:marLeft w:val="0"/>
              <w:marRight w:val="0"/>
              <w:marTop w:val="0"/>
              <w:marBottom w:val="0"/>
              <w:divBdr>
                <w:top w:val="none" w:sz="0" w:space="0" w:color="auto"/>
                <w:left w:val="none" w:sz="0" w:space="0" w:color="auto"/>
                <w:bottom w:val="none" w:sz="0" w:space="0" w:color="auto"/>
                <w:right w:val="none" w:sz="0" w:space="0" w:color="auto"/>
              </w:divBdr>
            </w:div>
          </w:divsChild>
        </w:div>
        <w:div w:id="1798982784">
          <w:marLeft w:val="0"/>
          <w:marRight w:val="0"/>
          <w:marTop w:val="0"/>
          <w:marBottom w:val="0"/>
          <w:divBdr>
            <w:top w:val="none" w:sz="0" w:space="0" w:color="auto"/>
            <w:left w:val="none" w:sz="0" w:space="0" w:color="auto"/>
            <w:bottom w:val="none" w:sz="0" w:space="0" w:color="auto"/>
            <w:right w:val="none" w:sz="0" w:space="0" w:color="auto"/>
          </w:divBdr>
          <w:divsChild>
            <w:div w:id="8919858">
              <w:marLeft w:val="0"/>
              <w:marRight w:val="0"/>
              <w:marTop w:val="0"/>
              <w:marBottom w:val="0"/>
              <w:divBdr>
                <w:top w:val="none" w:sz="0" w:space="0" w:color="auto"/>
                <w:left w:val="none" w:sz="0" w:space="0" w:color="auto"/>
                <w:bottom w:val="none" w:sz="0" w:space="0" w:color="auto"/>
                <w:right w:val="none" w:sz="0" w:space="0" w:color="auto"/>
              </w:divBdr>
            </w:div>
          </w:divsChild>
        </w:div>
        <w:div w:id="1965454096">
          <w:marLeft w:val="0"/>
          <w:marRight w:val="0"/>
          <w:marTop w:val="0"/>
          <w:marBottom w:val="0"/>
          <w:divBdr>
            <w:top w:val="none" w:sz="0" w:space="0" w:color="auto"/>
            <w:left w:val="none" w:sz="0" w:space="0" w:color="auto"/>
            <w:bottom w:val="none" w:sz="0" w:space="0" w:color="auto"/>
            <w:right w:val="none" w:sz="0" w:space="0" w:color="auto"/>
          </w:divBdr>
          <w:divsChild>
            <w:div w:id="1926453904">
              <w:marLeft w:val="0"/>
              <w:marRight w:val="0"/>
              <w:marTop w:val="0"/>
              <w:marBottom w:val="0"/>
              <w:divBdr>
                <w:top w:val="none" w:sz="0" w:space="0" w:color="auto"/>
                <w:left w:val="none" w:sz="0" w:space="0" w:color="auto"/>
                <w:bottom w:val="none" w:sz="0" w:space="0" w:color="auto"/>
                <w:right w:val="none" w:sz="0" w:space="0" w:color="auto"/>
              </w:divBdr>
            </w:div>
          </w:divsChild>
        </w:div>
        <w:div w:id="2035688010">
          <w:marLeft w:val="0"/>
          <w:marRight w:val="0"/>
          <w:marTop w:val="0"/>
          <w:marBottom w:val="0"/>
          <w:divBdr>
            <w:top w:val="none" w:sz="0" w:space="0" w:color="auto"/>
            <w:left w:val="none" w:sz="0" w:space="0" w:color="auto"/>
            <w:bottom w:val="none" w:sz="0" w:space="0" w:color="auto"/>
            <w:right w:val="none" w:sz="0" w:space="0" w:color="auto"/>
          </w:divBdr>
          <w:divsChild>
            <w:div w:id="1853375359">
              <w:marLeft w:val="0"/>
              <w:marRight w:val="0"/>
              <w:marTop w:val="0"/>
              <w:marBottom w:val="0"/>
              <w:divBdr>
                <w:top w:val="none" w:sz="0" w:space="0" w:color="auto"/>
                <w:left w:val="none" w:sz="0" w:space="0" w:color="auto"/>
                <w:bottom w:val="none" w:sz="0" w:space="0" w:color="auto"/>
                <w:right w:val="none" w:sz="0" w:space="0" w:color="auto"/>
              </w:divBdr>
            </w:div>
          </w:divsChild>
        </w:div>
        <w:div w:id="2141216958">
          <w:marLeft w:val="0"/>
          <w:marRight w:val="0"/>
          <w:marTop w:val="0"/>
          <w:marBottom w:val="0"/>
          <w:divBdr>
            <w:top w:val="none" w:sz="0" w:space="0" w:color="auto"/>
            <w:left w:val="none" w:sz="0" w:space="0" w:color="auto"/>
            <w:bottom w:val="none" w:sz="0" w:space="0" w:color="auto"/>
            <w:right w:val="none" w:sz="0" w:space="0" w:color="auto"/>
          </w:divBdr>
          <w:divsChild>
            <w:div w:id="8949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2730">
      <w:bodyDiv w:val="1"/>
      <w:marLeft w:val="0"/>
      <w:marRight w:val="0"/>
      <w:marTop w:val="0"/>
      <w:marBottom w:val="0"/>
      <w:divBdr>
        <w:top w:val="none" w:sz="0" w:space="0" w:color="auto"/>
        <w:left w:val="none" w:sz="0" w:space="0" w:color="auto"/>
        <w:bottom w:val="none" w:sz="0" w:space="0" w:color="auto"/>
        <w:right w:val="none" w:sz="0" w:space="0" w:color="auto"/>
      </w:divBdr>
    </w:div>
    <w:div w:id="2051950737">
      <w:bodyDiv w:val="1"/>
      <w:marLeft w:val="0"/>
      <w:marRight w:val="0"/>
      <w:marTop w:val="0"/>
      <w:marBottom w:val="0"/>
      <w:divBdr>
        <w:top w:val="none" w:sz="0" w:space="0" w:color="auto"/>
        <w:left w:val="none" w:sz="0" w:space="0" w:color="auto"/>
        <w:bottom w:val="none" w:sz="0" w:space="0" w:color="auto"/>
        <w:right w:val="none" w:sz="0" w:space="0" w:color="auto"/>
      </w:divBdr>
      <w:divsChild>
        <w:div w:id="181239733">
          <w:marLeft w:val="0"/>
          <w:marRight w:val="0"/>
          <w:marTop w:val="0"/>
          <w:marBottom w:val="0"/>
          <w:divBdr>
            <w:top w:val="none" w:sz="0" w:space="0" w:color="auto"/>
            <w:left w:val="none" w:sz="0" w:space="0" w:color="auto"/>
            <w:bottom w:val="none" w:sz="0" w:space="0" w:color="auto"/>
            <w:right w:val="none" w:sz="0" w:space="0" w:color="auto"/>
          </w:divBdr>
          <w:divsChild>
            <w:div w:id="18648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38" Type="http://schemas.openxmlformats.org/officeDocument/2006/relationships/footer" Target="footer65.xml"/><Relationship Id="rId154" Type="http://schemas.openxmlformats.org/officeDocument/2006/relationships/header" Target="header74.xml"/><Relationship Id="rId159" Type="http://schemas.openxmlformats.org/officeDocument/2006/relationships/header" Target="header76.xml"/><Relationship Id="rId175" Type="http://schemas.openxmlformats.org/officeDocument/2006/relationships/header" Target="header84.xml"/><Relationship Id="rId170" Type="http://schemas.openxmlformats.org/officeDocument/2006/relationships/footer" Target="footer81.xml"/><Relationship Id="rId16" Type="http://schemas.openxmlformats.org/officeDocument/2006/relationships/header" Target="header5.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28" Type="http://schemas.openxmlformats.org/officeDocument/2006/relationships/footer" Target="footer60.xml"/><Relationship Id="rId144" Type="http://schemas.openxmlformats.org/officeDocument/2006/relationships/footer" Target="footer68.xml"/><Relationship Id="rId149" Type="http://schemas.openxmlformats.org/officeDocument/2006/relationships/footer" Target="footer70.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footer" Target="footer43.xml"/><Relationship Id="rId160" Type="http://schemas.openxmlformats.org/officeDocument/2006/relationships/header" Target="header77.xml"/><Relationship Id="rId165" Type="http://schemas.openxmlformats.org/officeDocument/2006/relationships/header" Target="header79.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55" Type="http://schemas.openxmlformats.org/officeDocument/2006/relationships/footer" Target="footer73.xml"/><Relationship Id="rId171" Type="http://schemas.openxmlformats.org/officeDocument/2006/relationships/header" Target="header82.xml"/><Relationship Id="rId176" Type="http://schemas.openxmlformats.org/officeDocument/2006/relationships/footer" Target="footer84.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header" Target="header8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eader" Target="header37.xml"/><Relationship Id="rId86" Type="http://schemas.openxmlformats.org/officeDocument/2006/relationships/footer" Target="footer39.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30" Type="http://schemas.openxmlformats.org/officeDocument/2006/relationships/header" Target="header62.xml"/><Relationship Id="rId135" Type="http://schemas.openxmlformats.org/officeDocument/2006/relationships/header" Target="header64.xml"/><Relationship Id="rId143" Type="http://schemas.openxmlformats.org/officeDocument/2006/relationships/footer" Target="footer67.xml"/><Relationship Id="rId148" Type="http://schemas.openxmlformats.org/officeDocument/2006/relationships/header" Target="header71.xml"/><Relationship Id="rId151" Type="http://schemas.openxmlformats.org/officeDocument/2006/relationships/header" Target="header72.xml"/><Relationship Id="rId156" Type="http://schemas.openxmlformats.org/officeDocument/2006/relationships/footer" Target="footer74.xml"/><Relationship Id="rId164" Type="http://schemas.openxmlformats.org/officeDocument/2006/relationships/footer" Target="footer78.xml"/><Relationship Id="rId169" Type="http://schemas.openxmlformats.org/officeDocument/2006/relationships/header" Target="header81.xm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header" Target="header83.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theme" Target="theme/theme1.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C637-73C0-4D28-B41B-15775321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111101</Words>
  <Characters>633280</Characters>
  <Application>Microsoft Office Word</Application>
  <DocSecurity>0</DocSecurity>
  <Lines>5277</Lines>
  <Paragraphs>1485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2023-11-17T16:44:00Z</dcterms:created>
  <dcterms:modified xsi:type="dcterms:W3CDTF">2023-11-28T11:45:00Z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2023-11-15T17:50:44Z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5df930aa-9d21-4bcb-ab43-e56cbfbbca55</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CPTemplateID">
    <vt:lpwstr>CP-036</vt:lpwstr>
  </property>
</Properties>
</file>